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</w:pPr>
      <w:r>
        <w:rPr>
          <w:rFonts w:ascii="Calibri" w:hAnsi="Calibri"/>
          <w:b/>
          <w:i w:val="0"/>
          <w:color w:val="1C2328"/>
          <w:sz w:val="36"/>
        </w:rPr>
        <w:t>My First 90 Days as a Scaled CSM at Harvey</w:t>
      </w:r>
    </w:p>
    <w:p>
      <w:pPr>
        <w:spacing w:after="60" w:before="0" w:line="300" w:lineRule="auto"/>
      </w:pPr>
      <w:r>
        <w:rPr>
          <w:rFonts w:ascii="Calibri" w:hAnsi="Calibri"/>
          <w:b/>
          <w:i w:val="0"/>
          <w:color w:val="245F73"/>
          <w:sz w:val="20"/>
        </w:rPr>
        <w:t>A ramp plan — prepared by Alex Donnelly</w:t>
      </w:r>
    </w:p>
    <w:p>
      <w:pPr>
        <w:spacing w:after="180" w:before="0" w:line="288" w:lineRule="auto"/>
      </w:pPr>
      <w:r>
        <w:rPr>
          <w:rFonts w:ascii="Calibri" w:hAnsi="Calibri"/>
          <w:b w:val="0"/>
          <w:i/>
          <w:color w:val="4A555D"/>
          <w:sz w:val="16"/>
        </w:rPr>
        <w:t>Illustrative plan built for the Scaled Customer Success Manager application; based on Harvey’s public product set, not internal information. Not affiliated with or endorsed by Harvey.</w:t>
      </w:r>
    </w:p>
    <w:p>
      <w:pPr>
        <w:spacing w:after="80" w:before="0" w:line="312" w:lineRule="auto"/>
      </w:pPr>
      <w:r>
        <w:rPr>
          <w:rFonts w:ascii="Calibri" w:hAnsi="Calibri"/>
          <w:b w:val="0"/>
          <w:i w:val="0"/>
          <w:color w:val="1C2328"/>
          <w:sz w:val="21"/>
        </w:rPr>
        <w:t>My operating belief: in scaled CS, the fastest path to retention is productized adoption — lift the whole book with reusable enablement, then spend high-touch time only where it moves the number. Here’s how I’d ramp into that.</w:t>
      </w:r>
    </w:p>
    <w:p>
      <w:pPr>
        <w:spacing w:before="220" w:after="60"/>
        <w:pBdr>
          <w:bottom w:val="single" w:sz="6" w:space="2" w:color="245F73"/>
        </w:pBdr>
      </w:pPr>
      <w:r>
        <w:rPr>
          <w:rFonts w:ascii="Calibri" w:hAnsi="Calibri"/>
          <w:b/>
          <w:color w:val="245F73"/>
          <w:sz w:val="24"/>
        </w:rPr>
        <w:t>Days 0–30 — Learn the product, the playbooks, and the book</w:t>
      </w:r>
    </w:p>
    <w:p>
      <w:pPr>
        <w:pStyle w:val="ListBullet"/>
        <w:spacing w:after="60" w:line="283" w:lineRule="auto"/>
      </w:pPr>
      <w:r>
        <w:rPr>
          <w:rFonts w:ascii="Calibri" w:hAnsi="Calibri"/>
          <w:b/>
          <w:color w:val="1C2328"/>
          <w:sz w:val="20"/>
        </w:rPr>
        <w:t xml:space="preserve">Product fluency: </w:t>
      </w:r>
      <w:r>
        <w:rPr>
          <w:rFonts w:ascii="Calibri" w:hAnsi="Calibri"/>
          <w:color w:val="4A555D"/>
          <w:sz w:val="20"/>
        </w:rPr>
        <w:t>get hands-on across Assistant, Vault, Knowledge, and Workflow Agents so I can speak to real customer workflows, not features.</w:t>
      </w:r>
    </w:p>
    <w:p>
      <w:pPr>
        <w:pStyle w:val="ListBullet"/>
        <w:spacing w:after="60" w:line="283" w:lineRule="auto"/>
      </w:pPr>
      <w:r>
        <w:rPr>
          <w:rFonts w:ascii="Calibri" w:hAnsi="Calibri"/>
          <w:b/>
          <w:color w:val="1C2328"/>
          <w:sz w:val="20"/>
        </w:rPr>
        <w:t xml:space="preserve">Shadow &amp; absorb: </w:t>
      </w:r>
      <w:r>
        <w:rPr>
          <w:rFonts w:ascii="Calibri" w:hAnsi="Calibri"/>
          <w:color w:val="4A555D"/>
          <w:sz w:val="20"/>
        </w:rPr>
        <w:t>sit in on value reviews/QBRs and renewal calls; learn the existing scaled playbooks and the CS platform, health scores, and reporting.</w:t>
      </w:r>
    </w:p>
    <w:p>
      <w:pPr>
        <w:pStyle w:val="ListBullet"/>
        <w:spacing w:after="60" w:line="283" w:lineRule="auto"/>
      </w:pPr>
      <w:r>
        <w:rPr>
          <w:rFonts w:ascii="Calibri" w:hAnsi="Calibri"/>
          <w:b/>
          <w:color w:val="1C2328"/>
          <w:sz w:val="20"/>
        </w:rPr>
        <w:t xml:space="preserve">Read the book: </w:t>
      </w:r>
      <w:r>
        <w:rPr>
          <w:rFonts w:ascii="Calibri" w:hAnsi="Calibri"/>
          <w:color w:val="4A555D"/>
          <w:sz w:val="20"/>
        </w:rPr>
        <w:t>segment my accounts by health, usage, value realized, and renewal date — build a triaged priority list (who’s at risk, who’s ready to expand).</w:t>
      </w:r>
    </w:p>
    <w:p>
      <w:pPr>
        <w:pStyle w:val="ListBullet"/>
        <w:spacing w:after="60" w:line="283" w:lineRule="auto"/>
      </w:pPr>
      <w:r>
        <w:rPr>
          <w:rFonts w:ascii="Calibri" w:hAnsi="Calibri"/>
          <w:b/>
          <w:color w:val="1C2328"/>
          <w:sz w:val="20"/>
        </w:rPr>
        <w:t xml:space="preserve">Meet the partners: </w:t>
      </w:r>
      <w:r>
        <w:rPr>
          <w:rFonts w:ascii="Calibri" w:hAnsi="Calibri"/>
          <w:color w:val="4A555D"/>
          <w:sz w:val="20"/>
        </w:rPr>
        <w:t>establish working relationships with Sales, Legal Engineering, and Product so the feedback loop is live from day one.</w:t>
      </w:r>
    </w:p>
    <w:p>
      <w:pPr>
        <w:spacing w:after="100" w:before="20" w:line="300" w:lineRule="auto"/>
      </w:pPr>
      <w:r>
        <w:rPr>
          <w:rFonts w:ascii="Calibri" w:hAnsi="Calibri"/>
          <w:b w:val="0"/>
          <w:i/>
          <w:color w:val="4A555D"/>
          <w:sz w:val="19"/>
        </w:rPr>
        <w:t>Outcome: a triaged book and a prioritized 60-day action plan.</w:t>
      </w:r>
    </w:p>
    <w:p>
      <w:pPr>
        <w:spacing w:before="220" w:after="60"/>
        <w:pBdr>
          <w:bottom w:val="single" w:sz="6" w:space="2" w:color="245F73"/>
        </w:pBdr>
      </w:pPr>
      <w:r>
        <w:rPr>
          <w:rFonts w:ascii="Calibri" w:hAnsi="Calibri"/>
          <w:b/>
          <w:color w:val="245F73"/>
          <w:sz w:val="24"/>
        </w:rPr>
        <w:t>Days 31–60 — Engage every account, stabilize the at-risk</w:t>
      </w:r>
    </w:p>
    <w:p>
      <w:pPr>
        <w:pStyle w:val="ListBullet"/>
        <w:spacing w:after="60" w:line="283" w:lineRule="auto"/>
      </w:pPr>
      <w:r>
        <w:rPr>
          <w:rFonts w:ascii="Calibri" w:hAnsi="Calibri"/>
          <w:b/>
          <w:color w:val="1C2328"/>
          <w:sz w:val="20"/>
        </w:rPr>
        <w:t xml:space="preserve">Touch the whole book: </w:t>
      </w:r>
      <w:r>
        <w:rPr>
          <w:rFonts w:ascii="Calibri" w:hAnsi="Calibri"/>
          <w:color w:val="4A555D"/>
          <w:sz w:val="20"/>
        </w:rPr>
        <w:t>launch or sharpen self-serve onboarding, office hours, and use-case templates so low-touch accounts still progress toward a daily habit.</w:t>
      </w:r>
    </w:p>
    <w:p>
      <w:pPr>
        <w:pStyle w:val="ListBullet"/>
        <w:spacing w:after="60" w:line="283" w:lineRule="auto"/>
      </w:pPr>
      <w:r>
        <w:rPr>
          <w:rFonts w:ascii="Calibri" w:hAnsi="Calibri"/>
          <w:b/>
          <w:color w:val="1C2328"/>
          <w:sz w:val="20"/>
        </w:rPr>
        <w:t xml:space="preserve">Run value reviews: </w:t>
      </w:r>
      <w:r>
        <w:rPr>
          <w:rFonts w:ascii="Calibri" w:hAnsi="Calibri"/>
          <w:color w:val="4A555D"/>
          <w:sz w:val="20"/>
        </w:rPr>
        <w:t>deliver the first round of value reviews to key accounts, translating usage into ROI the sponsor can defend.</w:t>
      </w:r>
    </w:p>
    <w:p>
      <w:pPr>
        <w:pStyle w:val="ListBullet"/>
        <w:spacing w:after="60" w:line="283" w:lineRule="auto"/>
      </w:pPr>
      <w:r>
        <w:rPr>
          <w:rFonts w:ascii="Calibri" w:hAnsi="Calibri"/>
          <w:b/>
          <w:color w:val="1C2328"/>
          <w:sz w:val="20"/>
        </w:rPr>
        <w:t xml:space="preserve">Work the risk: </w:t>
      </w:r>
      <w:r>
        <w:rPr>
          <w:rFonts w:ascii="Calibri" w:hAnsi="Calibri"/>
          <w:color w:val="4A555D"/>
          <w:sz w:val="20"/>
        </w:rPr>
        <w:t>identify churn signals early and run structured interventions on the most at-risk accounts before they reach the renewal window.</w:t>
      </w:r>
    </w:p>
    <w:p>
      <w:pPr>
        <w:pStyle w:val="ListBullet"/>
        <w:spacing w:after="60" w:line="283" w:lineRule="auto"/>
      </w:pPr>
      <w:r>
        <w:rPr>
          <w:rFonts w:ascii="Calibri" w:hAnsi="Calibri"/>
          <w:b/>
          <w:color w:val="1C2328"/>
          <w:sz w:val="20"/>
        </w:rPr>
        <w:t xml:space="preserve">Spot expansion: </w:t>
      </w:r>
      <w:r>
        <w:rPr>
          <w:rFonts w:ascii="Calibri" w:hAnsi="Calibri"/>
          <w:color w:val="4A555D"/>
          <w:sz w:val="20"/>
        </w:rPr>
        <w:t>flag the first seat-add and cross-team expansion candidates from usage signals.</w:t>
      </w:r>
    </w:p>
    <w:p>
      <w:pPr>
        <w:spacing w:after="100" w:before="20" w:line="300" w:lineRule="auto"/>
      </w:pPr>
      <w:r>
        <w:rPr>
          <w:rFonts w:ascii="Calibri" w:hAnsi="Calibri"/>
          <w:b w:val="0"/>
          <w:i/>
          <w:color w:val="4A555D"/>
          <w:sz w:val="19"/>
        </w:rPr>
        <w:t>Outcome: every account engaged, at-risk plays in motion, measurable adoption lifts.</w:t>
      </w:r>
    </w:p>
    <w:p>
      <w:pPr>
        <w:spacing w:before="220" w:after="60"/>
        <w:pBdr>
          <w:bottom w:val="single" w:sz="6" w:space="2" w:color="245F73"/>
        </w:pBdr>
      </w:pPr>
      <w:r>
        <w:rPr>
          <w:rFonts w:ascii="Calibri" w:hAnsi="Calibri"/>
          <w:b/>
          <w:color w:val="245F73"/>
          <w:sz w:val="24"/>
        </w:rPr>
        <w:t>Days 61–90 — Prove value, make it repeatable</w:t>
      </w:r>
    </w:p>
    <w:p>
      <w:pPr>
        <w:pStyle w:val="ListBullet"/>
        <w:spacing w:after="60" w:line="283" w:lineRule="auto"/>
      </w:pPr>
      <w:r>
        <w:rPr>
          <w:rFonts w:ascii="Calibri" w:hAnsi="Calibri"/>
          <w:b/>
          <w:color w:val="1C2328"/>
          <w:sz w:val="20"/>
        </w:rPr>
        <w:t xml:space="preserve">Handle first renewals: </w:t>
      </w:r>
      <w:r>
        <w:rPr>
          <w:rFonts w:ascii="Calibri" w:hAnsi="Calibri"/>
          <w:color w:val="4A555D"/>
          <w:sz w:val="20"/>
        </w:rPr>
        <w:t>carry early renewals on evidence, not last-minute scrambles; document the ROI stories behind them.</w:t>
      </w:r>
    </w:p>
    <w:p>
      <w:pPr>
        <w:pStyle w:val="ListBullet"/>
        <w:spacing w:after="60" w:line="283" w:lineRule="auto"/>
      </w:pPr>
      <w:r>
        <w:rPr>
          <w:rFonts w:ascii="Calibri" w:hAnsi="Calibri"/>
          <w:b/>
          <w:color w:val="1C2328"/>
          <w:sz w:val="20"/>
        </w:rPr>
        <w:t xml:space="preserve">Ship a reusable asset: </w:t>
      </w:r>
      <w:r>
        <w:rPr>
          <w:rFonts w:ascii="Calibri" w:hAnsi="Calibri"/>
          <w:color w:val="4A555D"/>
          <w:sz w:val="20"/>
        </w:rPr>
        <w:t>build one playbook or template that measurably lifts the whole book — the scaled multiplier.</w:t>
      </w:r>
    </w:p>
    <w:p>
      <w:pPr>
        <w:pStyle w:val="ListBullet"/>
        <w:spacing w:after="60" w:line="283" w:lineRule="auto"/>
      </w:pPr>
      <w:r>
        <w:rPr>
          <w:rFonts w:ascii="Calibri" w:hAnsi="Calibri"/>
          <w:b/>
          <w:color w:val="1C2328"/>
          <w:sz w:val="20"/>
        </w:rPr>
        <w:t xml:space="preserve">Close the loop: </w:t>
      </w:r>
      <w:r>
        <w:rPr>
          <w:rFonts w:ascii="Calibri" w:hAnsi="Calibri"/>
          <w:color w:val="4A555D"/>
          <w:sz w:val="20"/>
        </w:rPr>
        <w:t>bring structured customer feedback to Product and Legal Engineering to influence the roadmap.</w:t>
      </w:r>
    </w:p>
    <w:p>
      <w:pPr>
        <w:pStyle w:val="ListBullet"/>
        <w:spacing w:after="60" w:line="283" w:lineRule="auto"/>
      </w:pPr>
      <w:r>
        <w:rPr>
          <w:rFonts w:ascii="Calibri" w:hAnsi="Calibri"/>
          <w:b/>
          <w:color w:val="1C2328"/>
          <w:sz w:val="20"/>
        </w:rPr>
        <w:t xml:space="preserve">Set the cadence: </w:t>
      </w:r>
      <w:r>
        <w:rPr>
          <w:rFonts w:ascii="Calibri" w:hAnsi="Calibri"/>
          <w:color w:val="4A555D"/>
          <w:sz w:val="20"/>
        </w:rPr>
        <w:t>lock in a weekly health scan, monthly check-ins/office hours, and quarterly value reviews across the book.</w:t>
      </w:r>
    </w:p>
    <w:p>
      <w:pPr>
        <w:spacing w:after="100" w:before="20" w:line="300" w:lineRule="auto"/>
      </w:pPr>
      <w:r>
        <w:rPr>
          <w:rFonts w:ascii="Calibri" w:hAnsi="Calibri"/>
          <w:b w:val="0"/>
          <w:i/>
          <w:color w:val="4A555D"/>
          <w:sz w:val="19"/>
        </w:rPr>
        <w:t>Outcome: gross retention protected, first expansions identified, and a repeatable motion teammates can reuse.</w:t>
      </w:r>
    </w:p>
    <w:p>
      <w:pPr>
        <w:spacing w:before="220" w:after="60"/>
        <w:pBdr>
          <w:bottom w:val="single" w:sz="6" w:space="2" w:color="245F73"/>
        </w:pBdr>
      </w:pPr>
      <w:r>
        <w:rPr>
          <w:rFonts w:ascii="Calibri" w:hAnsi="Calibri"/>
          <w:b/>
          <w:color w:val="245F73"/>
          <w:sz w:val="24"/>
        </w:rPr>
        <w:t>How I’d measure myself</w:t>
      </w:r>
    </w:p>
    <w:p>
      <w:pPr>
        <w:spacing w:after="40" w:before="0" w:line="300" w:lineRule="auto"/>
      </w:pPr>
      <w:r>
        <w:rPr>
          <w:rFonts w:ascii="Calibri" w:hAnsi="Calibri"/>
          <w:b w:val="0"/>
          <w:i w:val="0"/>
          <w:color w:val="1C2328"/>
          <w:sz w:val="20"/>
        </w:rPr>
        <w:t>Adoption / weekly active usage across the book · value reviews delivered · at-risk accounts saved · gross and net revenue retention trajectory · expansion pipeline created.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