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>
          <w:b/>
          <w:bCs/>
          <w:color w:val="16212B"/>
          <w:sz w:val="40"/>
          <w:szCs w:val="40"/>
        </w:rPr>
        <w:t>Workflow Design Canvas</w:t>
      </w:r>
    </w:p>
    <w:p>
      <w:pPr>
        <w:pStyle w:val="Normal"/>
        <w:spacing w:before="40" w:after="60"/>
        <w:rPr/>
      </w:pPr>
      <w:r>
        <w:rPr>
          <w:b/>
          <w:bCs/>
          <w:color w:val="0F8C8C"/>
          <w:sz w:val="24"/>
          <w:szCs w:val="24"/>
        </w:rPr>
        <w:t>Field-by-Field Guidance</w:t>
      </w:r>
    </w:p>
    <w:p>
      <w:pPr>
        <w:pStyle w:val="Normal"/>
        <w:pBdr>
          <w:bottom w:val="single" w:sz="8" w:space="2" w:color="0F8C8C"/>
        </w:pBdr>
        <w:spacing w:before="0" w:after="160"/>
        <w:rPr/>
      </w:pPr>
      <w:r>
        <w:rPr>
          <w:color w:val="5A6672"/>
          <w:sz w:val="18"/>
          <w:szCs w:val="18"/>
        </w:rPr>
        <w:t>Complete one canvas per workflow. Start from the work as it actually happens today — not as it is supposed to happen. Be specific about where AI helps, and equally specific about where a person must check.</w:t>
      </w:r>
    </w:p>
    <w:tbl>
      <w:tblPr>
        <w:tblW w:w="10080" w:type="dxa"/>
        <w:jc w:val="left"/>
        <w:tblInd w:w="127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>
              <w:top w:val="single" w:sz="6" w:space="0" w:color="D8DEE2"/>
              <w:left w:val="single" w:sz="6" w:space="0" w:color="D8DEE2"/>
              <w:bottom w:val="single" w:sz="6" w:space="0" w:color="D8DEE2"/>
              <w:right w:val="single" w:sz="6" w:space="0" w:color="D8DEE2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color w:val="0F6E56"/>
                <w:spacing w:val="20"/>
                <w:sz w:val="14"/>
                <w:szCs w:val="14"/>
              </w:rPr>
              <w:t>WORKFLOW / PROCESS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/>
            </w:r>
          </w:p>
        </w:tc>
        <w:tc>
          <w:tcPr>
            <w:tcW w:w="3360" w:type="dxa"/>
            <w:tcBorders>
              <w:top w:val="single" w:sz="6" w:space="0" w:color="D8DEE2"/>
              <w:left w:val="single" w:sz="6" w:space="0" w:color="D8DEE2"/>
              <w:bottom w:val="single" w:sz="6" w:space="0" w:color="D8DEE2"/>
              <w:right w:val="single" w:sz="6" w:space="0" w:color="D8DEE2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color w:val="0F6E56"/>
                <w:spacing w:val="20"/>
                <w:sz w:val="14"/>
                <w:szCs w:val="14"/>
              </w:rPr>
              <w:t>YOUR ROLE OR PERSONA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/>
            </w:r>
          </w:p>
        </w:tc>
        <w:tc>
          <w:tcPr>
            <w:tcW w:w="3360" w:type="dxa"/>
            <w:tcBorders>
              <w:top w:val="single" w:sz="6" w:space="0" w:color="D8DEE2"/>
              <w:left w:val="single" w:sz="6" w:space="0" w:color="D8DEE2"/>
              <w:bottom w:val="single" w:sz="6" w:space="0" w:color="D8DEE2"/>
              <w:right w:val="single" w:sz="6" w:space="0" w:color="D8DEE2"/>
            </w:tcBorders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color w:val="0F6E56"/>
                <w:spacing w:val="20"/>
                <w:sz w:val="14"/>
                <w:szCs w:val="14"/>
              </w:rPr>
              <w:t>DATE</w:t>
            </w:r>
          </w:p>
          <w:p>
            <w:pPr>
              <w:pStyle w:val="Normal"/>
              <w:rPr>
                <w:sz w:val="22"/>
                <w:szCs w:val="22"/>
              </w:rPr>
            </w:pPr>
            <w:r>
              <w:rPr/>
            </w:r>
          </w:p>
        </w:tc>
      </w:tr>
    </w:tbl>
    <w:p>
      <w:pPr>
        <w:pStyle w:val="Normal"/>
        <w:spacing w:before="260" w:after="60"/>
        <w:rPr/>
      </w:pPr>
      <w:r>
        <w:rPr>
          <w:b/>
          <w:bCs/>
          <w:color w:val="0F8C8C"/>
          <w:sz w:val="22"/>
          <w:szCs w:val="22"/>
        </w:rPr>
        <w:t xml:space="preserve">1.  </w:t>
      </w:r>
      <w:r>
        <w:rPr>
          <w:b/>
          <w:bCs/>
          <w:color w:val="16212B"/>
          <w:spacing w:val="14"/>
          <w:sz w:val="20"/>
          <w:szCs w:val="20"/>
        </w:rPr>
        <w:t>CURRENT PROCESS</w:t>
      </w:r>
    </w:p>
    <w:p>
      <w:pPr>
        <w:pStyle w:val="Normal"/>
        <w:spacing w:before="0" w:after="40"/>
        <w:rPr/>
      </w:pPr>
      <w:r>
        <w:rPr>
          <w:color w:val="5A6672"/>
          <w:sz w:val="17"/>
          <w:szCs w:val="17"/>
        </w:rPr>
        <w:t>Describe the workflow as it exists today, step by step. Include who is involved, what tools are used, and the sequence of actions.</w:t>
      </w:r>
    </w:p>
    <w:p>
      <w:pPr>
        <w:pStyle w:val="Normal"/>
        <w:spacing w:before="0" w:after="90"/>
        <w:rPr/>
      </w:pPr>
      <w:r>
        <w:rPr>
          <w:i/>
          <w:iCs/>
          <w:color w:val="0F6E56"/>
          <w:sz w:val="16"/>
          <w:szCs w:val="16"/>
        </w:rPr>
        <w:t>Example: “Paralegal receives client documents, organizes files, drafts initial summaries, and submits them for attorney review.”</w:t>
      </w:r>
    </w:p>
    <w:tbl>
      <w:tblPr>
        <w:tblW w:w="10080" w:type="dxa"/>
        <w:jc w:val="left"/>
        <w:tblInd w:w="147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80"/>
      </w:tblGrid>
      <w:tr>
        <w:trPr>
          <w:trHeight w:val="1400" w:hRule="atLeast"/>
        </w:trPr>
        <w:tc>
          <w:tcPr>
            <w:tcW w:w="10080" w:type="dxa"/>
            <w:tcBorders>
              <w:top w:val="single" w:sz="6" w:space="0" w:color="D8DEE2"/>
              <w:left w:val="single" w:sz="6" w:space="0" w:color="D8DEE2"/>
              <w:bottom w:val="single" w:sz="6" w:space="0" w:color="D8DEE2"/>
              <w:right w:val="single" w:sz="6" w:space="0" w:color="D8DEE2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260" w:after="60"/>
        <w:rPr/>
      </w:pPr>
      <w:r>
        <w:rPr>
          <w:b/>
          <w:bCs/>
          <w:color w:val="0F8C8C"/>
          <w:sz w:val="22"/>
          <w:szCs w:val="22"/>
        </w:rPr>
        <w:t xml:space="preserve">2.  </w:t>
      </w:r>
      <w:r>
        <w:rPr>
          <w:b/>
          <w:bCs/>
          <w:color w:val="16212B"/>
          <w:spacing w:val="14"/>
          <w:sz w:val="20"/>
          <w:szCs w:val="20"/>
        </w:rPr>
        <w:t>PAIN POINTS</w:t>
      </w:r>
    </w:p>
    <w:p>
      <w:pPr>
        <w:pStyle w:val="Normal"/>
        <w:spacing w:before="0" w:after="40"/>
        <w:rPr/>
      </w:pPr>
      <w:r>
        <w:rPr>
          <w:color w:val="5A6672"/>
          <w:sz w:val="17"/>
          <w:szCs w:val="17"/>
        </w:rPr>
        <w:t>List specific challenges or inefficiencies. Focus on the steps that cause delays, errors, rework, or frustration.</w:t>
      </w:r>
    </w:p>
    <w:p>
      <w:pPr>
        <w:pStyle w:val="Normal"/>
        <w:spacing w:before="0" w:after="90"/>
        <w:rPr/>
      </w:pPr>
      <w:r>
        <w:rPr>
          <w:i/>
          <w:iCs/>
          <w:color w:val="0F6E56"/>
          <w:sz w:val="16"/>
          <w:szCs w:val="16"/>
        </w:rPr>
        <w:t>Example: “Manual data entry leads to frequent mistakes and slows down document preparation.”</w:t>
      </w:r>
    </w:p>
    <w:tbl>
      <w:tblPr>
        <w:tblW w:w="10080" w:type="dxa"/>
        <w:jc w:val="left"/>
        <w:tblInd w:w="147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80"/>
      </w:tblGrid>
      <w:tr>
        <w:trPr>
          <w:trHeight w:val="1200" w:hRule="atLeast"/>
        </w:trPr>
        <w:tc>
          <w:tcPr>
            <w:tcW w:w="10080" w:type="dxa"/>
            <w:tcBorders>
              <w:top w:val="single" w:sz="6" w:space="0" w:color="D8DEE2"/>
              <w:left w:val="single" w:sz="6" w:space="0" w:color="D8DEE2"/>
              <w:bottom w:val="single" w:sz="6" w:space="0" w:color="D8DEE2"/>
              <w:right w:val="single" w:sz="6" w:space="0" w:color="D8DEE2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260" w:after="60"/>
        <w:rPr/>
      </w:pPr>
      <w:r>
        <w:rPr>
          <w:b/>
          <w:bCs/>
          <w:color w:val="0F8C8C"/>
          <w:sz w:val="22"/>
          <w:szCs w:val="22"/>
        </w:rPr>
        <w:t xml:space="preserve">3.  </w:t>
      </w:r>
      <w:r>
        <w:rPr>
          <w:b/>
          <w:bCs/>
          <w:color w:val="16212B"/>
          <w:spacing w:val="14"/>
          <w:sz w:val="20"/>
          <w:szCs w:val="20"/>
        </w:rPr>
        <w:t>AI OPPORTUNITIES</w:t>
      </w:r>
    </w:p>
    <w:p>
      <w:pPr>
        <w:pStyle w:val="Normal"/>
        <w:spacing w:before="0" w:after="40"/>
        <w:rPr/>
      </w:pPr>
      <w:r>
        <w:rPr>
          <w:color w:val="5A6672"/>
          <w:sz w:val="17"/>
          <w:szCs w:val="17"/>
        </w:rPr>
        <w:t>Identify tasks that could be improved with AI — look for repetitive, structured, or information-heavy activities. Be specific about the AI’s role.</w:t>
      </w:r>
    </w:p>
    <w:p>
      <w:pPr>
        <w:pStyle w:val="Normal"/>
        <w:spacing w:before="0" w:after="90"/>
        <w:rPr/>
      </w:pPr>
      <w:r>
        <w:rPr>
          <w:i/>
          <w:iCs/>
          <w:color w:val="0F6E56"/>
          <w:sz w:val="16"/>
          <w:szCs w:val="16"/>
        </w:rPr>
        <w:t>Example: “Use AI to extract key information from client documents, reducing manual review time.”</w:t>
      </w:r>
    </w:p>
    <w:tbl>
      <w:tblPr>
        <w:tblW w:w="10080" w:type="dxa"/>
        <w:jc w:val="left"/>
        <w:tblInd w:w="147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80"/>
      </w:tblGrid>
      <w:tr>
        <w:trPr>
          <w:trHeight w:val="1200" w:hRule="atLeast"/>
        </w:trPr>
        <w:tc>
          <w:tcPr>
            <w:tcW w:w="10080" w:type="dxa"/>
            <w:tcBorders>
              <w:top w:val="single" w:sz="6" w:space="0" w:color="D8DEE2"/>
              <w:left w:val="single" w:sz="6" w:space="0" w:color="D8DEE2"/>
              <w:bottom w:val="single" w:sz="6" w:space="0" w:color="D8DEE2"/>
              <w:right w:val="single" w:sz="6" w:space="0" w:color="D8DEE2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260" w:after="60"/>
        <w:rPr/>
      </w:pPr>
      <w:r>
        <w:rPr>
          <w:b/>
          <w:bCs/>
          <w:color w:val="0F8C8C"/>
          <w:sz w:val="22"/>
          <w:szCs w:val="22"/>
        </w:rPr>
        <w:t xml:space="preserve">4.  </w:t>
      </w:r>
      <w:r>
        <w:rPr>
          <w:b/>
          <w:bCs/>
          <w:color w:val="16212B"/>
          <w:spacing w:val="14"/>
          <w:sz w:val="20"/>
          <w:szCs w:val="20"/>
        </w:rPr>
        <w:t>RISKS</w:t>
      </w:r>
    </w:p>
    <w:p>
      <w:pPr>
        <w:pStyle w:val="Normal"/>
        <w:spacing w:before="0" w:after="40"/>
        <w:rPr/>
      </w:pPr>
      <w:r>
        <w:rPr>
          <w:color w:val="5A6672"/>
          <w:sz w:val="17"/>
          <w:szCs w:val="17"/>
        </w:rPr>
        <w:t>Document the risks — confidentiality, data privacy, bias, hallucination, process breakdowns — and how you will mitigate each one.</w:t>
      </w:r>
    </w:p>
    <w:p>
      <w:pPr>
        <w:pStyle w:val="Normal"/>
        <w:spacing w:before="0" w:after="90"/>
        <w:rPr/>
      </w:pPr>
      <w:r>
        <w:rPr>
          <w:i/>
          <w:iCs/>
          <w:color w:val="0F6E56"/>
          <w:sz w:val="16"/>
          <w:szCs w:val="16"/>
        </w:rPr>
        <w:t>Example: “Sensitive client data stays in approved tools; outputs are reviewed before anything is shared.”</w:t>
      </w:r>
    </w:p>
    <w:tbl>
      <w:tblPr>
        <w:tblW w:w="10080" w:type="dxa"/>
        <w:jc w:val="left"/>
        <w:tblInd w:w="147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80"/>
      </w:tblGrid>
      <w:tr>
        <w:trPr>
          <w:trHeight w:val="1200" w:hRule="atLeast"/>
        </w:trPr>
        <w:tc>
          <w:tcPr>
            <w:tcW w:w="10080" w:type="dxa"/>
            <w:tcBorders>
              <w:top w:val="single" w:sz="6" w:space="0" w:color="D8DEE2"/>
              <w:left w:val="single" w:sz="6" w:space="0" w:color="D8DEE2"/>
              <w:bottom w:val="single" w:sz="6" w:space="0" w:color="D8DEE2"/>
              <w:right w:val="single" w:sz="6" w:space="0" w:color="D8DEE2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260" w:after="60"/>
        <w:rPr/>
      </w:pPr>
      <w:r>
        <w:rPr>
          <w:b/>
          <w:bCs/>
          <w:color w:val="0F8C8C"/>
          <w:sz w:val="22"/>
          <w:szCs w:val="22"/>
        </w:rPr>
        <w:t xml:space="preserve">5.  </w:t>
      </w:r>
      <w:r>
        <w:rPr>
          <w:b/>
          <w:bCs/>
          <w:color w:val="16212B"/>
          <w:spacing w:val="14"/>
          <w:sz w:val="20"/>
          <w:szCs w:val="20"/>
        </w:rPr>
        <w:t>HUMAN REVIEW</w:t>
      </w:r>
    </w:p>
    <w:p>
      <w:pPr>
        <w:pStyle w:val="Normal"/>
        <w:spacing w:before="0" w:after="40"/>
        <w:rPr/>
      </w:pPr>
      <w:r>
        <w:rPr>
          <w:color w:val="5A6672"/>
          <w:sz w:val="17"/>
          <w:szCs w:val="17"/>
        </w:rPr>
        <w:t>Define where and how human oversight happens. Name the checkpoints, the quality controls, and the escalation path.</w:t>
      </w:r>
    </w:p>
    <w:p>
      <w:pPr>
        <w:pStyle w:val="Normal"/>
        <w:spacing w:before="0" w:after="90"/>
        <w:rPr/>
      </w:pPr>
      <w:r>
        <w:rPr>
          <w:i/>
          <w:iCs/>
          <w:color w:val="0F6E56"/>
          <w:sz w:val="16"/>
          <w:szCs w:val="16"/>
        </w:rPr>
        <w:t>Example: “Attorney reviews all AI-generated summaries against source before client delivery.”</w:t>
      </w:r>
    </w:p>
    <w:tbl>
      <w:tblPr>
        <w:tblW w:w="10080" w:type="dxa"/>
        <w:jc w:val="left"/>
        <w:tblInd w:w="147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80"/>
      </w:tblGrid>
      <w:tr>
        <w:trPr>
          <w:trHeight w:val="1200" w:hRule="atLeast"/>
        </w:trPr>
        <w:tc>
          <w:tcPr>
            <w:tcW w:w="10080" w:type="dxa"/>
            <w:tcBorders>
              <w:top w:val="single" w:sz="6" w:space="0" w:color="D8DEE2"/>
              <w:left w:val="single" w:sz="6" w:space="0" w:color="D8DEE2"/>
              <w:bottom w:val="single" w:sz="6" w:space="0" w:color="D8DEE2"/>
              <w:right w:val="single" w:sz="6" w:space="0" w:color="D8DEE2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260" w:after="60"/>
        <w:rPr/>
      </w:pPr>
      <w:r>
        <w:rPr>
          <w:b/>
          <w:bCs/>
          <w:color w:val="0F8C8C"/>
          <w:sz w:val="22"/>
          <w:szCs w:val="22"/>
        </w:rPr>
        <w:t xml:space="preserve">6.  </w:t>
      </w:r>
      <w:r>
        <w:rPr>
          <w:b/>
          <w:bCs/>
          <w:color w:val="16212B"/>
          <w:spacing w:val="14"/>
          <w:sz w:val="20"/>
          <w:szCs w:val="20"/>
        </w:rPr>
        <w:t>SUCCESS METRICS</w:t>
      </w:r>
    </w:p>
    <w:p>
      <w:pPr>
        <w:pStyle w:val="Normal"/>
        <w:spacing w:before="0" w:after="40"/>
        <w:rPr/>
      </w:pPr>
      <w:r>
        <w:rPr>
          <w:color w:val="5A6672"/>
          <w:sz w:val="17"/>
          <w:szCs w:val="17"/>
        </w:rPr>
        <w:t>List measurable outcomes that show the workflow is better. Choose metrics that are relevant and easy to track — and set a baseline first.</w:t>
      </w:r>
    </w:p>
    <w:p>
      <w:pPr>
        <w:pStyle w:val="Normal"/>
        <w:spacing w:before="0" w:after="90"/>
        <w:rPr/>
      </w:pPr>
      <w:r>
        <w:rPr>
          <w:i/>
          <w:iCs/>
          <w:color w:val="0F6E56"/>
          <w:sz w:val="16"/>
          <w:szCs w:val="16"/>
        </w:rPr>
        <w:t>Example: “Turnaround time per chronology; errors caught in review; user confidence (1–5).”</w:t>
      </w:r>
    </w:p>
    <w:tbl>
      <w:tblPr>
        <w:tblW w:w="10080" w:type="dxa"/>
        <w:jc w:val="left"/>
        <w:tblInd w:w="147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80"/>
      </w:tblGrid>
      <w:tr>
        <w:trPr>
          <w:trHeight w:val="1200" w:hRule="atLeast"/>
        </w:trPr>
        <w:tc>
          <w:tcPr>
            <w:tcW w:w="10080" w:type="dxa"/>
            <w:tcBorders>
              <w:top w:val="single" w:sz="6" w:space="0" w:color="D8DEE2"/>
              <w:left w:val="single" w:sz="6" w:space="0" w:color="D8DEE2"/>
              <w:bottom w:val="single" w:sz="6" w:space="0" w:color="D8DEE2"/>
              <w:right w:val="single" w:sz="6" w:space="0" w:color="D8DEE2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260" w:after="60"/>
        <w:rPr/>
      </w:pPr>
      <w:r>
        <w:rPr>
          <w:b/>
          <w:bCs/>
          <w:color w:val="0F8C8C"/>
          <w:sz w:val="22"/>
          <w:szCs w:val="22"/>
        </w:rPr>
        <w:t xml:space="preserve">7.  </w:t>
      </w:r>
      <w:r>
        <w:rPr>
          <w:b/>
          <w:bCs/>
          <w:color w:val="16212B"/>
          <w:spacing w:val="14"/>
          <w:sz w:val="20"/>
          <w:szCs w:val="20"/>
        </w:rPr>
        <w:t>OWNER</w:t>
      </w:r>
    </w:p>
    <w:p>
      <w:pPr>
        <w:pStyle w:val="Normal"/>
        <w:spacing w:before="0" w:after="40"/>
        <w:rPr/>
      </w:pPr>
      <w:r>
        <w:rPr>
          <w:color w:val="5A6672"/>
          <w:sz w:val="17"/>
          <w:szCs w:val="17"/>
        </w:rPr>
        <w:t>Assign responsibility for maintaining and updating this workflow, and say how often it gets revisited.</w:t>
      </w:r>
    </w:p>
    <w:p>
      <w:pPr>
        <w:pStyle w:val="Normal"/>
        <w:spacing w:before="0" w:after="90"/>
        <w:rPr/>
      </w:pPr>
      <w:r>
        <w:rPr>
          <w:i/>
          <w:iCs/>
          <w:color w:val="0F6E56"/>
          <w:sz w:val="16"/>
          <w:szCs w:val="16"/>
        </w:rPr>
        <w:t>Example: “Paralegal manager reviews and updates quarterly based on team feedback and results.”</w:t>
      </w:r>
    </w:p>
    <w:tbl>
      <w:tblPr>
        <w:tblW w:w="10080" w:type="dxa"/>
        <w:jc w:val="left"/>
        <w:tblInd w:w="147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0080"/>
      </w:tblGrid>
      <w:tr>
        <w:trPr>
          <w:trHeight w:val="700" w:hRule="atLeast"/>
        </w:trPr>
        <w:tc>
          <w:tcPr>
            <w:tcW w:w="10080" w:type="dxa"/>
            <w:tcBorders>
              <w:top w:val="single" w:sz="6" w:space="0" w:color="D8DEE2"/>
              <w:left w:val="single" w:sz="6" w:space="0" w:color="D8DEE2"/>
              <w:bottom w:val="single" w:sz="6" w:space="0" w:color="D8DEE2"/>
              <w:right w:val="single" w:sz="6" w:space="0" w:color="D8DEE2"/>
            </w:tcBorders>
            <w:shd w:color="auto"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pBdr>
          <w:top w:val="single" w:sz="6" w:space="8" w:color="0F8C8C"/>
        </w:pBdr>
        <w:spacing w:before="300" w:after="0"/>
        <w:rPr/>
      </w:pPr>
      <w:r>
        <w:rPr>
          <w:b/>
          <w:bCs/>
          <w:color w:val="0F6E56"/>
          <w:sz w:val="19"/>
          <w:szCs w:val="19"/>
        </w:rPr>
        <w:t xml:space="preserve">Next steps.  </w:t>
      </w:r>
      <w:r>
        <w:rPr>
          <w:color w:val="5A6672"/>
          <w:sz w:val="18"/>
          <w:szCs w:val="18"/>
        </w:rPr>
        <w:t>Save this canvas and run the workflow. Afterward, come back and update it: what worked, what didn’t, what you’d change. Then share it — a documented, verified workflow is how one person’s good idea becomes the team’s standard practice.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080" w:right="1080" w:gutter="0" w:header="0" w:top="900" w:footer="708" w:bottom="9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D8DEE2"/>
      </w:pBdr>
      <w:tabs>
        <w:tab w:val="clear" w:pos="720"/>
        <w:tab w:val="right" w:pos="9026" w:leader="none"/>
      </w:tabs>
      <w:rPr/>
    </w:pPr>
    <w:r>
      <w:rPr>
        <w:color w:val="8A8F98"/>
        <w:sz w:val="15"/>
        <w:szCs w:val="15"/>
      </w:rPr>
      <w:t>Workflow Design Canvas — Field-by-Field Guidance</w:t>
      <w:tab/>
      <w:t xml:space="preserve">Page </w:t>
    </w:r>
    <w:r>
      <w:rPr>
        <w:color w:val="5A6672"/>
        <w:sz w:val="18"/>
        <w:szCs w:val="18"/>
      </w:rPr>
      <w:fldChar w:fldCharType="begin"/>
    </w:r>
    <w:r>
      <w:rPr>
        <w:color w:val="5A6672"/>
        <w:sz w:val="18"/>
        <w:szCs w:val="18"/>
      </w:rPr>
      <w:instrText xml:space="preserve"> PAGE </w:instrText>
    </w:r>
    <w:r>
      <w:rPr>
        <w:color w:val="5A6672"/>
        <w:sz w:val="18"/>
        <w:szCs w:val="18"/>
      </w:rPr>
      <w:fldChar w:fldCharType="separate"/>
    </w:r>
    <w:r>
      <w:rPr>
        <w:color w:val="5A6672"/>
        <w:sz w:val="18"/>
        <w:szCs w:val="18"/>
      </w:rPr>
      <w:t>2</w:t>
    </w:r>
    <w:r>
      <w:rPr>
        <w:color w:val="5A6672"/>
        <w:sz w:val="18"/>
        <w:szCs w:val="18"/>
      </w:rPr>
      <w:fldChar w:fldCharType="end"/>
    </w:r>
    <w:r>
      <w:rPr>
        <w:color w:val="8A8F98"/>
        <w:sz w:val="15"/>
        <w:szCs w:val="15"/>
      </w:rPr>
      <w:t xml:space="preserve"> of </w:t>
    </w:r>
    <w:r>
      <w:rPr>
        <w:color w:val="5A6672"/>
        <w:sz w:val="18"/>
        <w:szCs w:val="18"/>
      </w:rPr>
      <w:fldChar w:fldCharType="begin"/>
    </w:r>
    <w:r>
      <w:rPr>
        <w:color w:val="5A6672"/>
        <w:sz w:val="18"/>
        <w:szCs w:val="18"/>
      </w:rPr>
      <w:instrText xml:space="preserve"> NUMPAGES </w:instrText>
    </w:r>
    <w:r>
      <w:rPr>
        <w:color w:val="5A6672"/>
        <w:sz w:val="18"/>
        <w:szCs w:val="18"/>
      </w:rPr>
      <w:fldChar w:fldCharType="separate"/>
    </w:r>
    <w:r>
      <w:rPr>
        <w:color w:val="5A6672"/>
        <w:sz w:val="18"/>
        <w:szCs w:val="18"/>
      </w:rPr>
      <w:t>2</w:t>
    </w:r>
    <w:r>
      <w:rPr>
        <w:color w:val="5A6672"/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D8DEE2"/>
      </w:pBdr>
      <w:tabs>
        <w:tab w:val="clear" w:pos="720"/>
        <w:tab w:val="right" w:pos="9026" w:leader="none"/>
      </w:tabs>
      <w:rPr/>
    </w:pPr>
    <w:r>
      <w:rPr>
        <w:color w:val="8A8F98"/>
        <w:sz w:val="15"/>
        <w:szCs w:val="15"/>
      </w:rPr>
      <w:t>Workflow Design Canvas — Field-by-Field Guidance</w:t>
      <w:tab/>
      <w:t xml:space="preserve">Page </w:t>
    </w:r>
    <w:r>
      <w:rPr>
        <w:color w:val="5A6672"/>
        <w:sz w:val="18"/>
        <w:szCs w:val="18"/>
      </w:rPr>
      <w:fldChar w:fldCharType="begin"/>
    </w:r>
    <w:r>
      <w:rPr>
        <w:color w:val="5A6672"/>
        <w:sz w:val="18"/>
        <w:szCs w:val="18"/>
      </w:rPr>
      <w:instrText xml:space="preserve"> PAGE </w:instrText>
    </w:r>
    <w:r>
      <w:rPr>
        <w:color w:val="5A6672"/>
        <w:sz w:val="18"/>
        <w:szCs w:val="18"/>
      </w:rPr>
      <w:fldChar w:fldCharType="separate"/>
    </w:r>
    <w:r>
      <w:rPr>
        <w:color w:val="5A6672"/>
        <w:sz w:val="18"/>
        <w:szCs w:val="18"/>
      </w:rPr>
      <w:t>2</w:t>
    </w:r>
    <w:r>
      <w:rPr>
        <w:color w:val="5A6672"/>
        <w:sz w:val="18"/>
        <w:szCs w:val="18"/>
      </w:rPr>
      <w:fldChar w:fldCharType="end"/>
    </w:r>
    <w:r>
      <w:rPr>
        <w:color w:val="8A8F98"/>
        <w:sz w:val="15"/>
        <w:szCs w:val="15"/>
      </w:rPr>
      <w:t xml:space="preserve"> of </w:t>
    </w:r>
    <w:r>
      <w:rPr>
        <w:color w:val="5A6672"/>
        <w:sz w:val="18"/>
        <w:szCs w:val="18"/>
      </w:rPr>
      <w:fldChar w:fldCharType="begin"/>
    </w:r>
    <w:r>
      <w:rPr>
        <w:color w:val="5A6672"/>
        <w:sz w:val="18"/>
        <w:szCs w:val="18"/>
      </w:rPr>
      <w:instrText xml:space="preserve"> NUMPAGES </w:instrText>
    </w:r>
    <w:r>
      <w:rPr>
        <w:color w:val="5A6672"/>
        <w:sz w:val="18"/>
        <w:szCs w:val="18"/>
      </w:rPr>
      <w:fldChar w:fldCharType="separate"/>
    </w:r>
    <w:r>
      <w:rPr>
        <w:color w:val="5A6672"/>
        <w:sz w:val="18"/>
        <w:szCs w:val="18"/>
      </w:rPr>
      <w:t>2</w:t>
    </w:r>
    <w:r>
      <w:rPr>
        <w:color w:val="5A6672"/>
        <w:sz w:val="18"/>
        <w:szCs w:val="18"/>
      </w:rP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16212B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16212B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b/>
      <w:bCs/>
      <w:color w:val="16212B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16212B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2026-07-13T17:41:06Z</dcterms:created>
  <dc:creator>Un-named</dc:creator>
  <dc:description/>
  <dc:language>en-US</dc:language>
  <cp:lastModifiedBy>Un-named</cp:lastModifiedBy>
  <dcterms:modified xsi:type="dcterms:W3CDTF">2026-07-13T17:41:06Z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