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/>
          <w:b/>
          <w:i w:val="0"/>
          <w:color w:val="191919"/>
          <w:sz w:val="48"/>
        </w:rPr>
        <w:t>Alex Donnelly</w:t>
      </w:r>
    </w:p>
    <w:p>
      <w:pPr>
        <w:spacing w:after="80" w:before="0" w:line="276" w:lineRule="auto"/>
      </w:pPr>
      <w:r>
        <w:rPr>
          <w:rFonts w:ascii="Calibri" w:hAnsi="Calibri"/>
          <w:b/>
          <w:i w:val="0"/>
          <w:color w:val="6F2DC7"/>
          <w:sz w:val="22"/>
        </w:rPr>
        <w:t>AI Adoption &amp; Enablement  |  Responsible GenAI in Law Firms</w:t>
      </w:r>
    </w:p>
    <w:p>
      <w:pPr>
        <w:spacing w:after="280" w:before="0" w:line="276" w:lineRule="auto"/>
      </w:pPr>
      <w:r>
        <w:rPr>
          <w:rFonts w:ascii="Calibri" w:hAnsi="Calibri"/>
          <w:b w:val="0"/>
          <w:i w:val="0"/>
          <w:color w:val="5B5852"/>
          <w:sz w:val="19"/>
        </w:rPr>
        <w:t>Highland Park, IL  ·  (847) 338-8208  ·  a.james.donnelly@gmail.com</w:t>
      </w:r>
    </w:p>
    <w:p>
      <w:pPr>
        <w:spacing w:after="80" w:before="0" w:line="276" w:lineRule="auto"/>
      </w:pPr>
      <w:r>
        <w:rPr>
          <w:rFonts w:ascii="Calibri" w:hAnsi="Calibri"/>
          <w:b/>
          <w:i w:val="0"/>
          <w:color w:val="6F2DC7"/>
          <w:sz w:val="26"/>
        </w:rPr>
        <w:t>See the work</w:t>
      </w:r>
    </w:p>
    <w:p>
      <w:pPr>
        <w:spacing w:after="160" w:before="0" w:line="312" w:lineRule="auto"/>
      </w:pPr>
      <w:r>
        <w:rPr>
          <w:rFonts w:ascii="Calibri" w:hAnsi="Calibri"/>
          <w:b w:val="0"/>
          <w:i w:val="0"/>
          <w:color w:val="191919"/>
          <w:sz w:val="22"/>
        </w:rPr>
        <w:t>The heart of this application lives on the web. For the AI Adoption Specialist role I built a complete, working portfolio — a live site with the actual kinds of deliverables I would produce in the job. I would be glad if you took a look:</w:t>
      </w:r>
    </w:p>
    <w:p>
      <w:pPr>
        <w:spacing w:after="280"/>
        <w:jc w:val="center"/>
      </w:pPr>
      <w:hyperlink r:id="rId9">
        <w:r>
          <w:rPr>
            <w:rFonts w:ascii="Calibri" w:hAnsi="Calibri"/>
            <w:sz w:val="30"/>
            <w:b/>
            <w:color w:val="6F2DC7"/>
            <w:u w:val="single"/>
          </w:rPr>
          <w:t xml:space="preserve">ajdonnelly.github.io/winston-ai-adoption</w:t>
        </w:r>
      </w:hyperlink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6F2DC7"/>
          <w:sz w:val="26"/>
        </w:rPr>
        <w:t>What you’ll find there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 90-day operational pilot deck — </w:t>
      </w:r>
      <w:r>
        <w:rPr>
          <w:rFonts w:ascii="Calibri" w:hAnsi="Calibri"/>
          <w:color w:val="5B5852"/>
          <w:sz w:val="21"/>
        </w:rPr>
        <w:t>the committee-ready framing of a bounded, responsible-AI adoption pilot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 responsible-AI enablement playbook — </w:t>
      </w:r>
      <w:r>
        <w:rPr>
          <w:rFonts w:ascii="Calibri" w:hAnsi="Calibri"/>
          <w:color w:val="5B5852"/>
          <w:sz w:val="21"/>
        </w:rPr>
        <w:t>guardrails, role-based onboarding pathways, vetted use cases and anti-patterns, and value-and-risk metrics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An interactive training module — </w:t>
      </w:r>
      <w:r>
        <w:rPr>
          <w:rFonts w:ascii="Calibri" w:hAnsi="Calibri"/>
          <w:color w:val="5B5852"/>
          <w:sz w:val="21"/>
        </w:rPr>
        <w:t>a self-paced Articulate Rise course: prompt → verify → protect, with an attorney owning every output</w:t>
      </w:r>
      <w:r>
        <w:rPr>
          <w:rFonts w:ascii="Calibri" w:hAnsi="Calibri"/>
          <w:color w:val="5B5852"/>
          <w:sz w:val="21"/>
        </w:rPr>
        <w:t xml:space="preserve">  ·  </w:t>
      </w:r>
      <w:hyperlink r:id="rId10">
        <w:r>
          <w:rPr>
            <w:rFonts w:ascii="Calibri" w:hAnsi="Calibri"/>
            <w:sz w:val="21"/>
            <w:b/>
            <w:color w:val="6F2DC7"/>
            <w:u w:val="single"/>
          </w:rPr>
          <w:t xml:space="preserve">open the module</w:t>
        </w:r>
      </w:hyperlink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An adoption &amp; risk tracker — </w:t>
      </w:r>
      <w:r>
        <w:rPr>
          <w:rFonts w:ascii="Calibri" w:hAnsi="Calibri"/>
          <w:color w:val="5B5852"/>
          <w:sz w:val="21"/>
        </w:rPr>
        <w:t>a working command center for a pilot cohort — charter, use cases, workshops, risk log, and value metrics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 companion audio briefing — </w:t>
      </w:r>
      <w:r>
        <w:rPr>
          <w:rFonts w:ascii="Calibri" w:hAnsi="Calibri"/>
          <w:color w:val="5B5852"/>
          <w:sz w:val="21"/>
        </w:rPr>
        <w:t>a short NotebookLM podcast that reinforces the module — multimodal by design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Writing on responsible AI adoption — </w:t>
      </w:r>
      <w:r>
        <w:rPr>
          <w:rFonts w:ascii="Calibri" w:hAnsi="Calibri"/>
          <w:color w:val="5B5852"/>
          <w:sz w:val="21"/>
        </w:rPr>
        <w:t>short essays on the people side of adoption, instructional design, client-driven demand, and why a firm needs a public AI position</w:t>
      </w:r>
    </w:p>
    <w:p>
      <w:pPr>
        <w:pStyle w:val="ListBullet"/>
        <w:spacing w:after="100" w:line="269" w:lineRule="auto"/>
      </w:pPr>
      <w:r>
        <w:rPr>
          <w:rFonts w:ascii="Calibri" w:hAnsi="Calibri"/>
          <w:b/>
          <w:color w:val="191919"/>
          <w:sz w:val="21"/>
        </w:rPr>
        <w:t xml:space="preserve">A de-identified medical-chronology analysis — </w:t>
      </w:r>
      <w:r>
        <w:rPr>
          <w:rFonts w:ascii="Calibri" w:hAnsi="Calibri"/>
          <w:color w:val="5B5852"/>
          <w:sz w:val="21"/>
        </w:rPr>
        <w:t>a worked case study of five AI failure modes and the review techniques that catch each before it reaches an attorney</w:t>
      </w:r>
    </w:p>
    <w:p>
      <w:pPr>
        <w:spacing w:after="120" w:before="0" w:line="276" w:lineRule="auto"/>
      </w:pPr>
    </w:p>
    <w:p>
      <w:pPr>
        <w:spacing w:after="240"/>
      </w:pPr>
      <w:r>
        <w:rPr>
          <w:rFonts w:ascii="Calibri" w:hAnsi="Calibri"/>
          <w:color w:val="191919"/>
          <w:sz w:val="22"/>
        </w:rPr>
        <w:t xml:space="preserve">Connect on LinkedIn:  </w:t>
      </w:r>
      <w:hyperlink r:id="rId11">
        <w:r>
          <w:rPr>
            <w:rFonts w:ascii="Calibri" w:hAnsi="Calibri"/>
            <w:sz w:val="22"/>
            <w:b/>
            <w:color w:val="6F2DC7"/>
            <w:u w:val="single"/>
          </w:rPr>
          <w:t xml:space="preserve">linkedin.com/in/alexjdonnelly</w:t>
        </w:r>
      </w:hyperlink>
    </w:p>
    <w:p>
      <w:pPr>
        <w:spacing w:after="120" w:before="80" w:line="300" w:lineRule="auto"/>
      </w:pPr>
      <w:r>
        <w:rPr>
          <w:rFonts w:ascii="Calibri" w:hAnsi="Calibri"/>
          <w:b w:val="0"/>
          <w:i/>
          <w:color w:val="5B5852"/>
          <w:sz w:val="17"/>
        </w:rPr>
        <w:t>My résumé and cover letter are included separately. The site’s samples are independent work created for this application; they are not affiliated with or endorsed by Winston Taylor, and are set at a fictional practice group.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jdonnelly.github.io/winston-ai-adoption/" TargetMode="External"/><Relationship Id="rId10" Type="http://schemas.openxmlformats.org/officeDocument/2006/relationships/hyperlink" Target="https://ajdonnelly.github.io/winston-ai-adoption/training-module.html" TargetMode="External"/><Relationship Id="rId11" Type="http://schemas.openxmlformats.org/officeDocument/2006/relationships/hyperlink" Target="https://www.linkedin.com/in/alexjdonne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