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77EDC" w14:textId="77777777" w:rsidR="000404CD" w:rsidRPr="00DD63CE" w:rsidRDefault="000404CD" w:rsidP="000404CD">
      <w:bookmarkStart w:id="0" w:name="_heading=h.30j0zll" w:colFirst="0" w:colLast="0"/>
      <w:bookmarkEnd w:id="0"/>
    </w:p>
    <w:p w14:paraId="699AB940" w14:textId="77777777" w:rsidR="000404CD" w:rsidRPr="00DD63CE" w:rsidRDefault="000404CD" w:rsidP="000404CD"/>
    <w:p w14:paraId="15E65727" w14:textId="05115CD6" w:rsidR="006744FB" w:rsidRPr="00DD63CE" w:rsidRDefault="006744FB" w:rsidP="005C195D">
      <w:pPr>
        <w:pStyle w:val="Title"/>
        <w:tabs>
          <w:tab w:val="left" w:pos="3450"/>
        </w:tabs>
        <w:jc w:val="both"/>
      </w:pPr>
    </w:p>
    <w:p w14:paraId="054868FB" w14:textId="7D2FBCF2" w:rsidR="00DD5C42" w:rsidRPr="00DD63CE" w:rsidRDefault="00162ECE" w:rsidP="006744FB">
      <w:pPr>
        <w:pStyle w:val="Title"/>
      </w:pPr>
      <w:r w:rsidRPr="00DD63CE">
        <w:t>Manual</w:t>
      </w:r>
    </w:p>
    <w:p w14:paraId="45041DE9" w14:textId="1FA9B3CB" w:rsidR="006744FB" w:rsidRPr="00DD63CE" w:rsidRDefault="006744FB" w:rsidP="006744FB">
      <w:pPr>
        <w:pStyle w:val="Subtitle"/>
      </w:pPr>
    </w:p>
    <w:p w14:paraId="45F0180F" w14:textId="77777777" w:rsidR="00032A71" w:rsidRPr="00DD63CE" w:rsidRDefault="00032A71" w:rsidP="000404CD">
      <w:bookmarkStart w:id="1" w:name="_heading=h.1fob9te" w:colFirst="0" w:colLast="0"/>
      <w:bookmarkEnd w:id="1"/>
    </w:p>
    <w:p w14:paraId="26D7DE1A" w14:textId="77777777" w:rsidR="00032A71" w:rsidRPr="00DD63CE" w:rsidRDefault="00032A71" w:rsidP="000404CD"/>
    <w:p w14:paraId="42705F71" w14:textId="77777777" w:rsidR="000404CD" w:rsidRPr="00DD63CE" w:rsidRDefault="000404CD" w:rsidP="000404CD"/>
    <w:p w14:paraId="6C0A3D47" w14:textId="77777777" w:rsidR="000404CD" w:rsidRPr="00DD63CE" w:rsidRDefault="000404CD" w:rsidP="000404CD"/>
    <w:p w14:paraId="37789F63" w14:textId="77777777" w:rsidR="000404CD" w:rsidRPr="00DD63CE" w:rsidRDefault="000404CD" w:rsidP="000404CD"/>
    <w:p w14:paraId="29875CC7" w14:textId="77777777" w:rsidR="000404CD" w:rsidRPr="00DD63CE" w:rsidRDefault="000404CD" w:rsidP="000404CD"/>
    <w:p w14:paraId="48FF0088" w14:textId="77777777" w:rsidR="000404CD" w:rsidRPr="00DD63CE" w:rsidRDefault="000404CD" w:rsidP="000404CD"/>
    <w:p w14:paraId="75A94E02" w14:textId="77777777" w:rsidR="000404CD" w:rsidRPr="00DD63CE" w:rsidRDefault="000404CD" w:rsidP="000404CD"/>
    <w:p w14:paraId="7B22948A" w14:textId="77777777" w:rsidR="00032A71" w:rsidRPr="00DD63CE" w:rsidRDefault="00032A71" w:rsidP="000404CD"/>
    <w:p w14:paraId="2296880A" w14:textId="77777777" w:rsidR="006744FB" w:rsidRPr="00DD63CE" w:rsidRDefault="006744FB" w:rsidP="000404CD"/>
    <w:p w14:paraId="4D6452D8" w14:textId="77777777" w:rsidR="006744FB" w:rsidRPr="00DD63CE" w:rsidRDefault="006744FB" w:rsidP="000404CD"/>
    <w:p w14:paraId="33132326" w14:textId="77777777" w:rsidR="006744FB" w:rsidRPr="00DD63CE" w:rsidRDefault="006744FB" w:rsidP="000404CD"/>
    <w:p w14:paraId="78A96F09" w14:textId="0981D8BF" w:rsidR="00032A71" w:rsidRPr="00DD63CE" w:rsidRDefault="00974D90">
      <w:pPr>
        <w:widowControl/>
        <w:spacing w:before="20" w:after="120"/>
        <w:rPr>
          <w:rFonts w:eastAsia="Cambria" w:cs="Cambria"/>
          <w:sz w:val="36"/>
          <w:szCs w:val="36"/>
        </w:rPr>
      </w:pPr>
      <w:r w:rsidRPr="00DD63CE">
        <w:rPr>
          <w:rFonts w:eastAsia="Cambria" w:cs="Cambria"/>
          <w:b/>
          <w:sz w:val="36"/>
          <w:szCs w:val="36"/>
        </w:rPr>
        <w:t>Author</w:t>
      </w:r>
      <w:r w:rsidRPr="00DD63CE">
        <w:rPr>
          <w:rFonts w:eastAsia="Cambria" w:cs="Cambria"/>
          <w:sz w:val="36"/>
          <w:szCs w:val="36"/>
        </w:rPr>
        <w:t xml:space="preserve">: </w:t>
      </w:r>
      <w:r w:rsidR="009E271F">
        <w:rPr>
          <w:rFonts w:eastAsia="Cambria" w:cs="Cambria"/>
          <w:sz w:val="36"/>
          <w:szCs w:val="36"/>
        </w:rPr>
        <w:t xml:space="preserve"> </w:t>
      </w:r>
      <w:r w:rsidRPr="00DD63CE">
        <w:rPr>
          <w:rFonts w:eastAsia="Cambria" w:cs="Cambria"/>
          <w:sz w:val="36"/>
          <w:szCs w:val="36"/>
        </w:rPr>
        <w:t>Technical Commission</w:t>
      </w:r>
    </w:p>
    <w:tbl>
      <w:tblPr>
        <w:tblStyle w:val="7"/>
        <w:tblW w:w="9345" w:type="dxa"/>
        <w:tblLayout w:type="fixed"/>
        <w:tblLook w:val="04A0" w:firstRow="1" w:lastRow="0" w:firstColumn="1" w:lastColumn="0" w:noHBand="0" w:noVBand="1"/>
      </w:tblPr>
      <w:tblGrid>
        <w:gridCol w:w="2263"/>
        <w:gridCol w:w="7082"/>
      </w:tblGrid>
      <w:tr w:rsidR="00032A71" w:rsidRPr="00DD63CE" w14:paraId="26FF9E50" w14:textId="77777777" w:rsidTr="006B41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4DD281F" w14:textId="77777777" w:rsidR="00032A71" w:rsidRPr="00E958E9" w:rsidRDefault="00974D90" w:rsidP="004B7CF2">
            <w:pPr>
              <w:widowControl/>
              <w:spacing w:before="20"/>
              <w:rPr>
                <w:rFonts w:eastAsia="Cambria" w:cs="Cambria"/>
                <w:b w:val="0"/>
                <w:color w:val="auto"/>
                <w:szCs w:val="22"/>
              </w:rPr>
            </w:pPr>
            <w:r w:rsidRPr="00E958E9">
              <w:rPr>
                <w:rFonts w:eastAsia="Cambria" w:cs="Cambria"/>
                <w:b w:val="0"/>
                <w:color w:val="auto"/>
                <w:szCs w:val="22"/>
              </w:rPr>
              <w:t>Document type</w:t>
            </w:r>
          </w:p>
        </w:tc>
        <w:tc>
          <w:tcPr>
            <w:tcW w:w="7082" w:type="dxa"/>
          </w:tcPr>
          <w:p w14:paraId="2358F6C5" w14:textId="0706B6F4" w:rsidR="00032A71" w:rsidRPr="00E958E9" w:rsidRDefault="009A59D7" w:rsidP="004B7CF2">
            <w:pPr>
              <w:widowControl/>
              <w:spacing w:before="20"/>
              <w:cnfStyle w:val="100000000000" w:firstRow="1" w:lastRow="0" w:firstColumn="0" w:lastColumn="0" w:oddVBand="0" w:evenVBand="0" w:oddHBand="0" w:evenHBand="0" w:firstRowFirstColumn="0" w:firstRowLastColumn="0" w:lastRowFirstColumn="0" w:lastRowLastColumn="0"/>
              <w:rPr>
                <w:rFonts w:eastAsia="Cambria" w:cs="Cambria"/>
                <w:b w:val="0"/>
                <w:szCs w:val="22"/>
              </w:rPr>
            </w:pPr>
            <w:r w:rsidRPr="00E958E9">
              <w:rPr>
                <w:rFonts w:eastAsia="Cambria" w:cs="Cambria"/>
                <w:szCs w:val="22"/>
              </w:rPr>
              <w:t>Manual</w:t>
            </w:r>
          </w:p>
        </w:tc>
      </w:tr>
      <w:tr w:rsidR="00032A71" w:rsidRPr="00DD63CE" w14:paraId="09272A7D" w14:textId="77777777" w:rsidTr="006B4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7692620" w14:textId="77777777" w:rsidR="00032A71" w:rsidRPr="00E958E9" w:rsidRDefault="00974D90" w:rsidP="004B7CF2">
            <w:pPr>
              <w:widowControl/>
              <w:spacing w:before="20"/>
              <w:rPr>
                <w:rFonts w:eastAsia="Cambria" w:cs="Cambria"/>
                <w:b w:val="0"/>
                <w:szCs w:val="22"/>
              </w:rPr>
            </w:pPr>
            <w:r w:rsidRPr="00E958E9">
              <w:rPr>
                <w:rFonts w:eastAsia="Cambria" w:cs="Cambria"/>
                <w:szCs w:val="22"/>
              </w:rPr>
              <w:t>Subject of Report</w:t>
            </w:r>
          </w:p>
        </w:tc>
        <w:tc>
          <w:tcPr>
            <w:tcW w:w="7082" w:type="dxa"/>
          </w:tcPr>
          <w:p w14:paraId="57E862E7" w14:textId="044A16FA" w:rsidR="00032A71" w:rsidRPr="00DD63CE" w:rsidRDefault="009A59D7" w:rsidP="004B7CF2">
            <w:pPr>
              <w:widowControl/>
              <w:spacing w:before="20"/>
              <w:cnfStyle w:val="000000100000" w:firstRow="0" w:lastRow="0" w:firstColumn="0" w:lastColumn="0" w:oddVBand="0" w:evenVBand="0" w:oddHBand="1" w:evenHBand="0" w:firstRowFirstColumn="0" w:firstRowLastColumn="0" w:lastRowFirstColumn="0" w:lastRowLastColumn="0"/>
              <w:rPr>
                <w:rFonts w:eastAsia="Cambria" w:cs="Cambria"/>
              </w:rPr>
            </w:pPr>
            <w:r w:rsidRPr="00DD63CE">
              <w:rPr>
                <w:rFonts w:eastAsia="Cambria" w:cs="Cambria"/>
              </w:rPr>
              <w:t>FIDE Technical Commission Polic</w:t>
            </w:r>
            <w:r w:rsidR="008E41C9" w:rsidRPr="00DD63CE">
              <w:rPr>
                <w:rFonts w:eastAsia="Cambria" w:cs="Cambria"/>
              </w:rPr>
              <w:t>i</w:t>
            </w:r>
            <w:r w:rsidRPr="00DD63CE">
              <w:rPr>
                <w:rFonts w:eastAsia="Cambria" w:cs="Cambria"/>
              </w:rPr>
              <w:t xml:space="preserve">es </w:t>
            </w:r>
            <w:r w:rsidR="008E41C9" w:rsidRPr="00DD63CE">
              <w:rPr>
                <w:rFonts w:eastAsia="Cambria" w:cs="Cambria"/>
              </w:rPr>
              <w:t>and Procedures</w:t>
            </w:r>
            <w:r w:rsidRPr="00DD63CE">
              <w:rPr>
                <w:rFonts w:eastAsia="Cambria" w:cs="Cambria"/>
              </w:rPr>
              <w:t xml:space="preserve"> Manual</w:t>
            </w:r>
          </w:p>
        </w:tc>
      </w:tr>
      <w:tr w:rsidR="00CB1EC2" w:rsidRPr="00DD63CE" w14:paraId="0515874E" w14:textId="77777777" w:rsidTr="006B41D8">
        <w:tc>
          <w:tcPr>
            <w:cnfStyle w:val="001000000000" w:firstRow="0" w:lastRow="0" w:firstColumn="1" w:lastColumn="0" w:oddVBand="0" w:evenVBand="0" w:oddHBand="0" w:evenHBand="0" w:firstRowFirstColumn="0" w:firstRowLastColumn="0" w:lastRowFirstColumn="0" w:lastRowLastColumn="0"/>
            <w:tcW w:w="2263" w:type="dxa"/>
          </w:tcPr>
          <w:p w14:paraId="3E95A679" w14:textId="77777777" w:rsidR="00CB1EC2" w:rsidRPr="00E958E9" w:rsidRDefault="00CB1EC2" w:rsidP="00CB1EC2">
            <w:pPr>
              <w:widowControl/>
              <w:spacing w:before="20"/>
              <w:rPr>
                <w:rFonts w:eastAsia="Cambria" w:cs="Cambria"/>
                <w:b w:val="0"/>
                <w:szCs w:val="22"/>
              </w:rPr>
            </w:pPr>
            <w:r w:rsidRPr="00E958E9">
              <w:rPr>
                <w:rFonts w:eastAsia="Cambria" w:cs="Cambria"/>
                <w:szCs w:val="22"/>
              </w:rPr>
              <w:t>Document version</w:t>
            </w:r>
          </w:p>
        </w:tc>
        <w:tc>
          <w:tcPr>
            <w:tcW w:w="7082" w:type="dxa"/>
          </w:tcPr>
          <w:p w14:paraId="0E20381E" w14:textId="6AA28F5D" w:rsidR="00CB1EC2" w:rsidRPr="00DD63CE" w:rsidRDefault="00E227FC" w:rsidP="00CB1EC2">
            <w:pPr>
              <w:widowControl/>
              <w:spacing w:before="20"/>
              <w:cnfStyle w:val="000000000000" w:firstRow="0" w:lastRow="0" w:firstColumn="0" w:lastColumn="0" w:oddVBand="0" w:evenVBand="0" w:oddHBand="0" w:evenHBand="0" w:firstRowFirstColumn="0" w:firstRowLastColumn="0" w:lastRowFirstColumn="0" w:lastRowLastColumn="0"/>
              <w:rPr>
                <w:rFonts w:eastAsia="Cambria" w:cs="Cambria"/>
              </w:rPr>
            </w:pPr>
            <w:r>
              <w:rPr>
                <w:rFonts w:eastAsia="Cambria" w:cs="Cambria"/>
              </w:rPr>
              <w:t>2.0</w:t>
            </w:r>
          </w:p>
        </w:tc>
      </w:tr>
      <w:tr w:rsidR="00CB1EC2" w:rsidRPr="00DD63CE" w14:paraId="499B1729" w14:textId="77777777" w:rsidTr="00E9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5F47BDA" w14:textId="77777777" w:rsidR="00CB1EC2" w:rsidRPr="00E958E9" w:rsidRDefault="00CB1EC2" w:rsidP="00CB1EC2">
            <w:pPr>
              <w:widowControl/>
              <w:spacing w:before="20"/>
              <w:rPr>
                <w:rFonts w:eastAsia="Cambria" w:cs="Cambria"/>
                <w:b w:val="0"/>
                <w:szCs w:val="22"/>
              </w:rPr>
            </w:pPr>
            <w:r w:rsidRPr="00E958E9">
              <w:rPr>
                <w:rFonts w:eastAsia="Cambria" w:cs="Cambria"/>
                <w:szCs w:val="22"/>
              </w:rPr>
              <w:t>Date</w:t>
            </w:r>
          </w:p>
        </w:tc>
        <w:tc>
          <w:tcPr>
            <w:tcW w:w="7082" w:type="dxa"/>
          </w:tcPr>
          <w:p w14:paraId="2F401CBC" w14:textId="68CE805F" w:rsidR="00CB1EC2" w:rsidRPr="00DD63CE" w:rsidRDefault="00E227FC" w:rsidP="00CB1EC2">
            <w:pPr>
              <w:widowControl/>
              <w:spacing w:before="20"/>
              <w:cnfStyle w:val="000000100000" w:firstRow="0" w:lastRow="0" w:firstColumn="0" w:lastColumn="0" w:oddVBand="0" w:evenVBand="0" w:oddHBand="1" w:evenHBand="0" w:firstRowFirstColumn="0" w:firstRowLastColumn="0" w:lastRowFirstColumn="0" w:lastRowLastColumn="0"/>
              <w:rPr>
                <w:rFonts w:eastAsia="Cambria" w:cs="Cambria"/>
              </w:rPr>
            </w:pPr>
            <w:r>
              <w:rPr>
                <w:rFonts w:eastAsia="Cambria" w:cs="Cambria"/>
              </w:rPr>
              <w:t xml:space="preserve">12 August </w:t>
            </w:r>
            <w:r w:rsidR="00CB1EC2">
              <w:rPr>
                <w:rFonts w:eastAsia="Cambria" w:cs="Cambria"/>
              </w:rPr>
              <w:t>2026</w:t>
            </w:r>
          </w:p>
        </w:tc>
      </w:tr>
    </w:tbl>
    <w:p w14:paraId="4183A799" w14:textId="77777777" w:rsidR="00553BC7" w:rsidRPr="00DD63CE" w:rsidRDefault="00553BC7">
      <w:pPr>
        <w:tabs>
          <w:tab w:val="clear" w:pos="567"/>
          <w:tab w:val="clear" w:pos="1134"/>
          <w:tab w:val="clear" w:pos="1701"/>
          <w:tab w:val="clear" w:pos="2268"/>
          <w:tab w:val="clear" w:pos="2835"/>
          <w:tab w:val="clear" w:pos="3402"/>
        </w:tabs>
        <w:jc w:val="left"/>
        <w:rPr>
          <w:rFonts w:eastAsia="Cambria" w:cs="Cambria"/>
          <w:sz w:val="20"/>
          <w:szCs w:val="20"/>
        </w:rPr>
      </w:pPr>
    </w:p>
    <w:p w14:paraId="04AC716F" w14:textId="447B4F54" w:rsidR="00553BC7" w:rsidRPr="00DD63CE" w:rsidRDefault="00553BC7" w:rsidP="00553BC7">
      <w:pPr>
        <w:pStyle w:val="Title"/>
      </w:pPr>
      <w:r w:rsidRPr="00DD63CE">
        <w:t>Foreword</w:t>
      </w:r>
    </w:p>
    <w:p w14:paraId="2F314B38" w14:textId="77777777" w:rsidR="00017A51" w:rsidRPr="00017A51" w:rsidRDefault="00017A51" w:rsidP="00017A51">
      <w:pPr>
        <w:pStyle w:val="Body0"/>
        <w:rPr>
          <w:rFonts w:eastAsia="Cambria"/>
        </w:rPr>
      </w:pPr>
      <w:r w:rsidRPr="00017A51">
        <w:rPr>
          <w:rFonts w:eastAsia="Cambria"/>
        </w:rPr>
        <w:t>Dear chess friends,</w:t>
      </w:r>
    </w:p>
    <w:p w14:paraId="7DD91F59" w14:textId="77777777" w:rsidR="00017A51" w:rsidRPr="00017A51" w:rsidRDefault="00017A51" w:rsidP="00017A51">
      <w:pPr>
        <w:pStyle w:val="Body0"/>
        <w:rPr>
          <w:rFonts w:eastAsia="Cambria"/>
        </w:rPr>
      </w:pPr>
      <w:r w:rsidRPr="00017A51">
        <w:rPr>
          <w:rFonts w:eastAsia="Cambria"/>
        </w:rPr>
        <w:t>Chess today relies also on the quality and reliability of the equipment, pairing systems, and tie-break methods that support every move on the board. The FIDE Technical Commission (TEC) plays a central role in safeguarding this foundation. By defining, supervising, and regularly updating our technical standards, the Commission ensures that all tools used in official events meet the highest requirements of fairness, transparency, and consistency.</w:t>
      </w:r>
    </w:p>
    <w:p w14:paraId="1A4E5D73" w14:textId="77777777" w:rsidR="00017A51" w:rsidRPr="00017A51" w:rsidRDefault="00017A51" w:rsidP="00017A51">
      <w:pPr>
        <w:pStyle w:val="Body0"/>
        <w:rPr>
          <w:rFonts w:eastAsia="Cambria"/>
        </w:rPr>
      </w:pPr>
      <w:r w:rsidRPr="00017A51">
        <w:rPr>
          <w:rFonts w:eastAsia="Cambria"/>
        </w:rPr>
        <w:t>These standards are not abstract regulations; they are applied in every single FIDE tournament played around the world, from local open events to World Championships. When a digital board registers a move, a tournament handler program generates a pairing, or a tie-break decides a critical qualification, organizers, arbiters, and players rely on the work of the Technical Commission. The Commission’s policies and decisions give our chess community confidence that results are comparable, rules are applied uniformly, and technology serves the game rather than distorting it.</w:t>
      </w:r>
    </w:p>
    <w:p w14:paraId="4B9207EE" w14:textId="77777777" w:rsidR="00017A51" w:rsidRPr="00017A51" w:rsidRDefault="00017A51" w:rsidP="00017A51">
      <w:pPr>
        <w:pStyle w:val="Body0"/>
        <w:rPr>
          <w:rFonts w:eastAsia="Cambria"/>
        </w:rPr>
      </w:pPr>
      <w:r w:rsidRPr="00017A51">
        <w:rPr>
          <w:rFonts w:eastAsia="Cambria"/>
        </w:rPr>
        <w:t>This Manual clearly explains how chess equipment, software and systems are approved by FIDE. It shows how products are registered, checked against FIDE rules, endorsed for use, and regularly reviewed, and it outlines the basic data formats and tools needed for fair and consistent tournament reporting and pairings.</w:t>
      </w:r>
    </w:p>
    <w:p w14:paraId="10280BDC" w14:textId="77777777" w:rsidR="00017A51" w:rsidRPr="00017A51" w:rsidRDefault="00017A51" w:rsidP="00017A51">
      <w:pPr>
        <w:pStyle w:val="Body0"/>
        <w:rPr>
          <w:rFonts w:eastAsia="Cambria"/>
        </w:rPr>
      </w:pPr>
      <w:r w:rsidRPr="00017A51">
        <w:rPr>
          <w:rFonts w:eastAsia="Cambria"/>
        </w:rPr>
        <w:t>I wish to express my sincere appreciation to the members of the FIDE Technical Commission, its Chair, Secretary and all experts and contributors who have invested their time and knowledge in producing this Manual. Their work supports not only our top events, but also the countless organisers and arbiters who stage FIDE tournaments on every continent. I am confident that this document will be an essential reference for federations, vendors, software developers, arbiters, and all those who care about the technical integrity of our sport, and that it will help guide innovation in a way that preserves the spirit of chess.</w:t>
      </w:r>
    </w:p>
    <w:p w14:paraId="372BF6A6" w14:textId="77777777" w:rsidR="00017A51" w:rsidRDefault="00017A51" w:rsidP="00017A51">
      <w:pPr>
        <w:pStyle w:val="Body0"/>
        <w:rPr>
          <w:rFonts w:eastAsia="Cambria"/>
        </w:rPr>
      </w:pPr>
      <w:r w:rsidRPr="00017A51">
        <w:rPr>
          <w:rFonts w:eastAsia="Cambria"/>
        </w:rPr>
        <w:t>Gens Una Sumus</w:t>
      </w:r>
    </w:p>
    <w:p w14:paraId="3F7B8910" w14:textId="77777777" w:rsidR="00017A51" w:rsidRPr="00017A51" w:rsidRDefault="00017A51" w:rsidP="00017A51">
      <w:pPr>
        <w:pStyle w:val="Body0"/>
        <w:rPr>
          <w:rFonts w:eastAsia="Cambria"/>
        </w:rPr>
      </w:pPr>
    </w:p>
    <w:p w14:paraId="612ED8FE" w14:textId="77777777" w:rsidR="00017A51" w:rsidRPr="00017A51" w:rsidRDefault="00017A51" w:rsidP="00017A51">
      <w:pPr>
        <w:pStyle w:val="Body0"/>
        <w:spacing w:before="0" w:beforeAutospacing="0" w:after="0" w:afterAutospacing="0" w:line="240" w:lineRule="auto"/>
        <w:rPr>
          <w:rFonts w:eastAsia="Cambria"/>
        </w:rPr>
      </w:pPr>
      <w:r w:rsidRPr="00017A51">
        <w:rPr>
          <w:rFonts w:eastAsia="Cambria"/>
        </w:rPr>
        <w:t>Arkady Dvorkovich</w:t>
      </w:r>
    </w:p>
    <w:p w14:paraId="7FA6298E" w14:textId="750259C9" w:rsidR="00553BC7" w:rsidRPr="00DD63CE" w:rsidRDefault="00017A51" w:rsidP="00017A51">
      <w:pPr>
        <w:pStyle w:val="Body0"/>
        <w:spacing w:before="0" w:beforeAutospacing="0" w:after="0" w:afterAutospacing="0" w:line="240" w:lineRule="auto"/>
        <w:rPr>
          <w:rFonts w:eastAsia="Cambria" w:cs="Cambria"/>
          <w:sz w:val="20"/>
          <w:szCs w:val="20"/>
        </w:rPr>
      </w:pPr>
      <w:r w:rsidRPr="00017A51">
        <w:rPr>
          <w:rFonts w:eastAsia="Cambria"/>
        </w:rPr>
        <w:t>FIDE President</w:t>
      </w:r>
      <w:r w:rsidR="00553BC7" w:rsidRPr="00DD63CE">
        <w:rPr>
          <w:rFonts w:eastAsia="Cambria" w:cs="Cambria"/>
          <w:sz w:val="20"/>
          <w:szCs w:val="20"/>
        </w:rPr>
        <w:br w:type="page"/>
      </w:r>
    </w:p>
    <w:p w14:paraId="2BCFAA9B" w14:textId="7B91AF68" w:rsidR="00553BC7" w:rsidRPr="00DD63CE" w:rsidRDefault="00553BC7" w:rsidP="00553BC7">
      <w:pPr>
        <w:pStyle w:val="Title"/>
      </w:pPr>
      <w:r w:rsidRPr="00DD63CE">
        <w:lastRenderedPageBreak/>
        <w:t>Introduction</w:t>
      </w:r>
    </w:p>
    <w:p w14:paraId="036B284D" w14:textId="5B8832E6" w:rsidR="00D060C1" w:rsidRDefault="00D060C1" w:rsidP="00D060C1">
      <w:pPr>
        <w:pStyle w:val="Body0"/>
        <w:rPr>
          <w:rFonts w:eastAsia="Cambria"/>
        </w:rPr>
      </w:pPr>
      <w:r w:rsidRPr="00D060C1">
        <w:rPr>
          <w:rFonts w:eastAsia="Cambria"/>
        </w:rPr>
        <w:t>Dear Chess Friends</w:t>
      </w:r>
    </w:p>
    <w:p w14:paraId="40F5B244" w14:textId="77777777" w:rsidR="00D060C1" w:rsidRPr="00D060C1" w:rsidRDefault="00D060C1" w:rsidP="00D060C1">
      <w:pPr>
        <w:pStyle w:val="Body0"/>
        <w:rPr>
          <w:rFonts w:eastAsia="Cambria"/>
        </w:rPr>
      </w:pPr>
      <w:r w:rsidRPr="00D060C1">
        <w:rPr>
          <w:rFonts w:eastAsia="Cambria"/>
        </w:rPr>
        <w:t>We are pleased to present the new work of the FIDE Technical Commission, the result of dedication, collaboration and shared passion for chess and technology.</w:t>
      </w:r>
    </w:p>
    <w:p w14:paraId="2CC4BF8F" w14:textId="77777777" w:rsidR="00D060C1" w:rsidRPr="00D060C1" w:rsidRDefault="00D060C1" w:rsidP="00D060C1">
      <w:pPr>
        <w:pStyle w:val="Body0"/>
        <w:rPr>
          <w:rFonts w:eastAsia="Cambria"/>
        </w:rPr>
      </w:pPr>
      <w:r w:rsidRPr="00D060C1">
        <w:rPr>
          <w:rFonts w:eastAsia="Cambria"/>
        </w:rPr>
        <w:t xml:space="preserve">As a Commission, we deeply value the efforts of all vendors and developers who contribute to our field. Their innovations help the chess world move forward — from digital boards and clocks to software and analytical tools. We know that true progress comes through experimentation, and even if </w:t>
      </w:r>
      <w:proofErr w:type="gramStart"/>
      <w:r w:rsidRPr="00D060C1">
        <w:rPr>
          <w:rFonts w:eastAsia="Cambria"/>
        </w:rPr>
        <w:t>not</w:t>
      </w:r>
      <w:proofErr w:type="gramEnd"/>
      <w:r w:rsidRPr="00D060C1">
        <w:rPr>
          <w:rFonts w:eastAsia="Cambria"/>
        </w:rPr>
        <w:t xml:space="preserve"> every idea will be accepted or approved, every contribution counts. Each initiative takes us a step further.</w:t>
      </w:r>
    </w:p>
    <w:p w14:paraId="12F59729" w14:textId="77777777" w:rsidR="00D060C1" w:rsidRPr="00D060C1" w:rsidRDefault="00D060C1" w:rsidP="00D060C1">
      <w:pPr>
        <w:pStyle w:val="Body0"/>
        <w:rPr>
          <w:rFonts w:eastAsia="Cambria"/>
        </w:rPr>
      </w:pPr>
      <w:r w:rsidRPr="00D060C1">
        <w:rPr>
          <w:rFonts w:eastAsia="Cambria"/>
        </w:rPr>
        <w:t>The mission of the Technical Commission is to evaluate, guide, and support the introduction of new equipment in chess, ensuring the highest standards of quality, fairness, and development. We welcome innovation that adds value to the chess community and see ourselves as partners in progress, serving the global chess family.</w:t>
      </w:r>
    </w:p>
    <w:p w14:paraId="72B4BAEF" w14:textId="77777777" w:rsidR="00D060C1" w:rsidRPr="00D060C1" w:rsidRDefault="00D060C1" w:rsidP="00D060C1">
      <w:pPr>
        <w:pStyle w:val="Body0"/>
        <w:rPr>
          <w:rFonts w:eastAsia="Cambria"/>
        </w:rPr>
      </w:pPr>
      <w:r w:rsidRPr="00D060C1">
        <w:rPr>
          <w:rFonts w:eastAsia="Cambria"/>
        </w:rPr>
        <w:t>I am grateful to the entire Technical Commission team for their dedication and outstanding work.</w:t>
      </w:r>
    </w:p>
    <w:p w14:paraId="1A746820" w14:textId="77777777" w:rsidR="00D060C1" w:rsidRPr="00D060C1" w:rsidRDefault="00D060C1" w:rsidP="00D060C1">
      <w:pPr>
        <w:pStyle w:val="Body0"/>
        <w:rPr>
          <w:rFonts w:eastAsia="Cambria"/>
        </w:rPr>
      </w:pPr>
      <w:r w:rsidRPr="00D060C1">
        <w:rPr>
          <w:rFonts w:eastAsia="Cambria"/>
        </w:rPr>
        <w:t>Special recognition goes to Hendrik du Toit, who led the process with clarity and consistency; to Roberto Ricca, for his meticulous improvements and countless refinements;</w:t>
      </w:r>
    </w:p>
    <w:p w14:paraId="7ECB4C7E" w14:textId="77777777" w:rsidR="00D060C1" w:rsidRPr="00D060C1" w:rsidRDefault="00D060C1" w:rsidP="00D060C1">
      <w:pPr>
        <w:pStyle w:val="Body0"/>
        <w:rPr>
          <w:rFonts w:eastAsia="Cambria"/>
        </w:rPr>
      </w:pPr>
      <w:r w:rsidRPr="00D060C1">
        <w:rPr>
          <w:rFonts w:eastAsia="Cambria"/>
        </w:rPr>
        <w:t>to Mario Held, Otto Milvang, Arasu Balasubramani, and Mushaninga Fungirayiini, for their valuable contributions and insights.</w:t>
      </w:r>
    </w:p>
    <w:p w14:paraId="584278CE" w14:textId="77777777" w:rsidR="00D060C1" w:rsidRPr="00D060C1" w:rsidRDefault="00D060C1" w:rsidP="00D060C1">
      <w:pPr>
        <w:pStyle w:val="Body0"/>
        <w:rPr>
          <w:rFonts w:eastAsia="Cambria"/>
        </w:rPr>
      </w:pPr>
      <w:r w:rsidRPr="00D060C1">
        <w:rPr>
          <w:rFonts w:eastAsia="Cambria"/>
        </w:rPr>
        <w:t>We also sincerely acknowledge the continued support and constructive input of Victor Bologan and Sava Stoisavljevic.</w:t>
      </w:r>
    </w:p>
    <w:p w14:paraId="09215A92" w14:textId="77777777" w:rsidR="00D060C1" w:rsidRPr="00D060C1" w:rsidRDefault="00D060C1" w:rsidP="00D060C1">
      <w:pPr>
        <w:pStyle w:val="Body0"/>
        <w:rPr>
          <w:rFonts w:eastAsia="Cambria"/>
        </w:rPr>
      </w:pPr>
      <w:r w:rsidRPr="00D060C1">
        <w:rPr>
          <w:rFonts w:eastAsia="Cambria"/>
        </w:rPr>
        <w:t>Your professionalism, patience, and collaborative spirit made this achievement possible.</w:t>
      </w:r>
    </w:p>
    <w:p w14:paraId="7A513B87" w14:textId="305ADB7D" w:rsidR="00553BC7" w:rsidRPr="00DD63CE" w:rsidRDefault="00553BC7" w:rsidP="00D060C1">
      <w:pPr>
        <w:pStyle w:val="Body0"/>
        <w:rPr>
          <w:rFonts w:eastAsia="Cambria"/>
        </w:rPr>
      </w:pPr>
      <w:r w:rsidRPr="00DD63CE">
        <w:rPr>
          <w:rFonts w:eastAsia="Cambria"/>
        </w:rPr>
        <w:t>Gens Una Sumus</w:t>
      </w:r>
    </w:p>
    <w:p w14:paraId="7324812D" w14:textId="44BB8041" w:rsidR="00553BC7" w:rsidRPr="00DD63CE" w:rsidRDefault="00553BC7" w:rsidP="00D060C1">
      <w:pPr>
        <w:pStyle w:val="Body0"/>
        <w:rPr>
          <w:rFonts w:eastAsia="Cambria"/>
        </w:rPr>
      </w:pPr>
      <w:r w:rsidRPr="00DD63CE">
        <w:rPr>
          <w:rFonts w:eastAsia="Cambria"/>
        </w:rPr>
        <w:t xml:space="preserve">GM Tiberiu </w:t>
      </w:r>
      <w:r w:rsidR="00D3595B" w:rsidRPr="00DD63CE">
        <w:rPr>
          <w:rFonts w:eastAsia="Cambria"/>
        </w:rPr>
        <w:t>Georgescu</w:t>
      </w:r>
    </w:p>
    <w:p w14:paraId="12E99CFF" w14:textId="703A6033" w:rsidR="00D3595B" w:rsidRPr="00DD63CE" w:rsidRDefault="00D3595B" w:rsidP="00D060C1">
      <w:pPr>
        <w:pStyle w:val="Body0"/>
        <w:rPr>
          <w:rFonts w:eastAsia="Cambria"/>
        </w:rPr>
      </w:pPr>
      <w:r w:rsidRPr="00DD63CE">
        <w:rPr>
          <w:rFonts w:eastAsia="Cambria"/>
        </w:rPr>
        <w:t xml:space="preserve">Chairman: FIDE Technical Commission </w:t>
      </w:r>
    </w:p>
    <w:p w14:paraId="5DD468F1" w14:textId="61343B31" w:rsidR="000404CD" w:rsidRPr="00DD63CE" w:rsidRDefault="000404CD">
      <w:pPr>
        <w:tabs>
          <w:tab w:val="clear" w:pos="567"/>
          <w:tab w:val="clear" w:pos="1134"/>
          <w:tab w:val="clear" w:pos="1701"/>
          <w:tab w:val="clear" w:pos="2268"/>
          <w:tab w:val="clear" w:pos="2835"/>
          <w:tab w:val="clear" w:pos="3402"/>
        </w:tabs>
        <w:jc w:val="left"/>
        <w:rPr>
          <w:rFonts w:eastAsia="Cambria" w:cs="Cambria"/>
          <w:sz w:val="20"/>
          <w:szCs w:val="20"/>
        </w:rPr>
      </w:pPr>
      <w:r w:rsidRPr="00DD63CE">
        <w:rPr>
          <w:rFonts w:eastAsia="Cambria" w:cs="Cambria"/>
          <w:sz w:val="20"/>
          <w:szCs w:val="20"/>
        </w:rPr>
        <w:br w:type="page"/>
      </w:r>
    </w:p>
    <w:p w14:paraId="38CAD8B7" w14:textId="5431A0C8" w:rsidR="00032A71" w:rsidRPr="00DD63CE" w:rsidRDefault="00974D90" w:rsidP="00706ED0">
      <w:pPr>
        <w:pStyle w:val="Title"/>
      </w:pPr>
      <w:bookmarkStart w:id="2" w:name="_heading=h.3znysh7" w:colFirst="0" w:colLast="0"/>
      <w:bookmarkEnd w:id="2"/>
      <w:r w:rsidRPr="00DD63CE">
        <w:lastRenderedPageBreak/>
        <w:t>Contents</w:t>
      </w:r>
    </w:p>
    <w:p w14:paraId="66646C37" w14:textId="17A7DA79" w:rsidR="00641B68" w:rsidRDefault="009B6553">
      <w:pPr>
        <w:pStyle w:val="TOC1"/>
        <w:rPr>
          <w:rFonts w:asciiTheme="minorHAnsi" w:eastAsiaTheme="minorEastAsia" w:hAnsiTheme="minorHAnsi" w:cstheme="minorBidi"/>
          <w:b w:val="0"/>
          <w:bCs w:val="0"/>
          <w:caps w:val="0"/>
          <w:noProof/>
          <w:kern w:val="2"/>
          <w:sz w:val="24"/>
          <w:szCs w:val="24"/>
          <w:lang w:val="en-ZA" w:eastAsia="en-ZA"/>
          <w14:ligatures w14:val="standardContextual"/>
        </w:rPr>
      </w:pPr>
      <w:r>
        <w:fldChar w:fldCharType="begin"/>
      </w:r>
      <w:r>
        <w:instrText xml:space="preserve"> TOC \o "1-2" \h \z \t "Annexure;1" </w:instrText>
      </w:r>
      <w:r>
        <w:fldChar w:fldCharType="separate"/>
      </w:r>
      <w:hyperlink w:anchor="_Toc213159581" w:history="1">
        <w:r w:rsidR="00641B68" w:rsidRPr="00DC1450">
          <w:rPr>
            <w:rStyle w:val="Hyperlink"/>
            <w:noProof/>
          </w:rPr>
          <w:t>CHAPTER 1</w:t>
        </w:r>
        <w:r w:rsidR="00641B68">
          <w:rPr>
            <w:rFonts w:asciiTheme="minorHAnsi" w:eastAsiaTheme="minorEastAsia" w:hAnsiTheme="minorHAnsi" w:cstheme="minorBidi"/>
            <w:b w:val="0"/>
            <w:bCs w:val="0"/>
            <w:caps w:val="0"/>
            <w:noProof/>
            <w:kern w:val="2"/>
            <w:sz w:val="24"/>
            <w:szCs w:val="24"/>
            <w:lang w:val="en-ZA" w:eastAsia="en-ZA"/>
            <w14:ligatures w14:val="standardContextual"/>
          </w:rPr>
          <w:tab/>
        </w:r>
        <w:r w:rsidR="00641B68" w:rsidRPr="00DC1450">
          <w:rPr>
            <w:rStyle w:val="Hyperlink"/>
            <w:noProof/>
          </w:rPr>
          <w:t>General</w:t>
        </w:r>
        <w:r w:rsidR="00641B68">
          <w:rPr>
            <w:noProof/>
            <w:webHidden/>
          </w:rPr>
          <w:tab/>
        </w:r>
        <w:r w:rsidR="00641B68">
          <w:rPr>
            <w:noProof/>
            <w:webHidden/>
          </w:rPr>
          <w:fldChar w:fldCharType="begin"/>
        </w:r>
        <w:r w:rsidR="00641B68">
          <w:rPr>
            <w:noProof/>
            <w:webHidden/>
          </w:rPr>
          <w:instrText xml:space="preserve"> PAGEREF _Toc213159581 \h </w:instrText>
        </w:r>
        <w:r w:rsidR="00641B68">
          <w:rPr>
            <w:noProof/>
            <w:webHidden/>
          </w:rPr>
        </w:r>
        <w:r w:rsidR="00641B68">
          <w:rPr>
            <w:noProof/>
            <w:webHidden/>
          </w:rPr>
          <w:fldChar w:fldCharType="separate"/>
        </w:r>
        <w:r w:rsidR="00641B68">
          <w:rPr>
            <w:noProof/>
            <w:webHidden/>
          </w:rPr>
          <w:t>5</w:t>
        </w:r>
        <w:r w:rsidR="00641B68">
          <w:rPr>
            <w:noProof/>
            <w:webHidden/>
          </w:rPr>
          <w:fldChar w:fldCharType="end"/>
        </w:r>
      </w:hyperlink>
    </w:p>
    <w:p w14:paraId="3598620F" w14:textId="2FD5C60A"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82" w:history="1">
        <w:r w:rsidRPr="00DC1450">
          <w:rPr>
            <w:rStyle w:val="Hyperlink"/>
            <w:noProof/>
          </w:rPr>
          <w:t>1.1</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Usage of the Manual</w:t>
        </w:r>
        <w:r>
          <w:rPr>
            <w:noProof/>
            <w:webHidden/>
          </w:rPr>
          <w:tab/>
        </w:r>
        <w:r>
          <w:rPr>
            <w:noProof/>
            <w:webHidden/>
          </w:rPr>
          <w:fldChar w:fldCharType="begin"/>
        </w:r>
        <w:r>
          <w:rPr>
            <w:noProof/>
            <w:webHidden/>
          </w:rPr>
          <w:instrText xml:space="preserve"> PAGEREF _Toc213159582 \h </w:instrText>
        </w:r>
        <w:r>
          <w:rPr>
            <w:noProof/>
            <w:webHidden/>
          </w:rPr>
        </w:r>
        <w:r>
          <w:rPr>
            <w:noProof/>
            <w:webHidden/>
          </w:rPr>
          <w:fldChar w:fldCharType="separate"/>
        </w:r>
        <w:r>
          <w:rPr>
            <w:noProof/>
            <w:webHidden/>
          </w:rPr>
          <w:t>5</w:t>
        </w:r>
        <w:r>
          <w:rPr>
            <w:noProof/>
            <w:webHidden/>
          </w:rPr>
          <w:fldChar w:fldCharType="end"/>
        </w:r>
      </w:hyperlink>
    </w:p>
    <w:p w14:paraId="31F69864" w14:textId="284A8FE7"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83" w:history="1">
        <w:r w:rsidRPr="00DC1450">
          <w:rPr>
            <w:rStyle w:val="Hyperlink"/>
            <w:noProof/>
          </w:rPr>
          <w:t>1.2</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Definitions and Acronyms</w:t>
        </w:r>
        <w:r>
          <w:rPr>
            <w:noProof/>
            <w:webHidden/>
          </w:rPr>
          <w:tab/>
        </w:r>
        <w:r>
          <w:rPr>
            <w:noProof/>
            <w:webHidden/>
          </w:rPr>
          <w:fldChar w:fldCharType="begin"/>
        </w:r>
        <w:r>
          <w:rPr>
            <w:noProof/>
            <w:webHidden/>
          </w:rPr>
          <w:instrText xml:space="preserve"> PAGEREF _Toc213159583 \h </w:instrText>
        </w:r>
        <w:r>
          <w:rPr>
            <w:noProof/>
            <w:webHidden/>
          </w:rPr>
        </w:r>
        <w:r>
          <w:rPr>
            <w:noProof/>
            <w:webHidden/>
          </w:rPr>
          <w:fldChar w:fldCharType="separate"/>
        </w:r>
        <w:r>
          <w:rPr>
            <w:noProof/>
            <w:webHidden/>
          </w:rPr>
          <w:t>5</w:t>
        </w:r>
        <w:r>
          <w:rPr>
            <w:noProof/>
            <w:webHidden/>
          </w:rPr>
          <w:fldChar w:fldCharType="end"/>
        </w:r>
      </w:hyperlink>
    </w:p>
    <w:p w14:paraId="5C40FDFB" w14:textId="65B3CBB5"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84" w:history="1">
        <w:r w:rsidRPr="00DC1450">
          <w:rPr>
            <w:rStyle w:val="Hyperlink"/>
            <w:noProof/>
            <w:lang w:eastAsia="en-ZA"/>
          </w:rPr>
          <w:t>1.3</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Refer to Articles 2 and 3 of General Regulations (under Chess Equipment Technical Specifications, Rules and Regulations).</w:t>
        </w:r>
        <w:r w:rsidRPr="00DC1450">
          <w:rPr>
            <w:rStyle w:val="Hyperlink"/>
            <w:noProof/>
            <w:lang w:eastAsia="en-ZA"/>
          </w:rPr>
          <w:t>Acronyms</w:t>
        </w:r>
        <w:r>
          <w:rPr>
            <w:noProof/>
            <w:webHidden/>
          </w:rPr>
          <w:tab/>
        </w:r>
        <w:r>
          <w:rPr>
            <w:noProof/>
            <w:webHidden/>
          </w:rPr>
          <w:fldChar w:fldCharType="begin"/>
        </w:r>
        <w:r>
          <w:rPr>
            <w:noProof/>
            <w:webHidden/>
          </w:rPr>
          <w:instrText xml:space="preserve"> PAGEREF _Toc213159584 \h </w:instrText>
        </w:r>
        <w:r>
          <w:rPr>
            <w:noProof/>
            <w:webHidden/>
          </w:rPr>
        </w:r>
        <w:r>
          <w:rPr>
            <w:noProof/>
            <w:webHidden/>
          </w:rPr>
          <w:fldChar w:fldCharType="separate"/>
        </w:r>
        <w:r>
          <w:rPr>
            <w:noProof/>
            <w:webHidden/>
          </w:rPr>
          <w:t>5</w:t>
        </w:r>
        <w:r>
          <w:rPr>
            <w:noProof/>
            <w:webHidden/>
          </w:rPr>
          <w:fldChar w:fldCharType="end"/>
        </w:r>
      </w:hyperlink>
    </w:p>
    <w:p w14:paraId="445C753A" w14:textId="772668AB" w:rsidR="00641B68" w:rsidRDefault="00641B68">
      <w:pPr>
        <w:pStyle w:val="TOC1"/>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213159585" w:history="1">
        <w:r w:rsidRPr="00DC1450">
          <w:rPr>
            <w:rStyle w:val="Hyperlink"/>
            <w:noProof/>
          </w:rPr>
          <w:t>CHAPTER 2</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DC1450">
          <w:rPr>
            <w:rStyle w:val="Hyperlink"/>
            <w:noProof/>
          </w:rPr>
          <w:t>Applications</w:t>
        </w:r>
        <w:r>
          <w:rPr>
            <w:noProof/>
            <w:webHidden/>
          </w:rPr>
          <w:tab/>
        </w:r>
        <w:r>
          <w:rPr>
            <w:noProof/>
            <w:webHidden/>
          </w:rPr>
          <w:fldChar w:fldCharType="begin"/>
        </w:r>
        <w:r>
          <w:rPr>
            <w:noProof/>
            <w:webHidden/>
          </w:rPr>
          <w:instrText xml:space="preserve"> PAGEREF _Toc213159585 \h </w:instrText>
        </w:r>
        <w:r>
          <w:rPr>
            <w:noProof/>
            <w:webHidden/>
          </w:rPr>
        </w:r>
        <w:r>
          <w:rPr>
            <w:noProof/>
            <w:webHidden/>
          </w:rPr>
          <w:fldChar w:fldCharType="separate"/>
        </w:r>
        <w:r>
          <w:rPr>
            <w:noProof/>
            <w:webHidden/>
          </w:rPr>
          <w:t>6</w:t>
        </w:r>
        <w:r>
          <w:rPr>
            <w:noProof/>
            <w:webHidden/>
          </w:rPr>
          <w:fldChar w:fldCharType="end"/>
        </w:r>
      </w:hyperlink>
    </w:p>
    <w:p w14:paraId="2A0A1341" w14:textId="316705A1"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86" w:history="1">
        <w:r w:rsidRPr="00DC1450">
          <w:rPr>
            <w:rStyle w:val="Hyperlink"/>
            <w:noProof/>
          </w:rPr>
          <w:t>2.1</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Register as a Manufacturer or Vendor</w:t>
        </w:r>
        <w:r>
          <w:rPr>
            <w:noProof/>
            <w:webHidden/>
          </w:rPr>
          <w:tab/>
        </w:r>
        <w:r>
          <w:rPr>
            <w:noProof/>
            <w:webHidden/>
          </w:rPr>
          <w:fldChar w:fldCharType="begin"/>
        </w:r>
        <w:r>
          <w:rPr>
            <w:noProof/>
            <w:webHidden/>
          </w:rPr>
          <w:instrText xml:space="preserve"> PAGEREF _Toc213159586 \h </w:instrText>
        </w:r>
        <w:r>
          <w:rPr>
            <w:noProof/>
            <w:webHidden/>
          </w:rPr>
        </w:r>
        <w:r>
          <w:rPr>
            <w:noProof/>
            <w:webHidden/>
          </w:rPr>
          <w:fldChar w:fldCharType="separate"/>
        </w:r>
        <w:r>
          <w:rPr>
            <w:noProof/>
            <w:webHidden/>
          </w:rPr>
          <w:t>6</w:t>
        </w:r>
        <w:r>
          <w:rPr>
            <w:noProof/>
            <w:webHidden/>
          </w:rPr>
          <w:fldChar w:fldCharType="end"/>
        </w:r>
      </w:hyperlink>
    </w:p>
    <w:p w14:paraId="5F916EA4" w14:textId="08B3C1A1"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87" w:history="1">
        <w:r w:rsidRPr="00DC1450">
          <w:rPr>
            <w:rStyle w:val="Hyperlink"/>
            <w:noProof/>
          </w:rPr>
          <w:t>2.2</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w:t>
        </w:r>
        <w:r w:rsidRPr="00DC1450">
          <w:rPr>
            <w:rStyle w:val="Hyperlink"/>
            <w:bCs/>
            <w:noProof/>
            <w:lang w:eastAsia="en-ZA"/>
          </w:rPr>
          <w:t>Self-Declaration of Product Compliance</w:t>
        </w:r>
        <w:r w:rsidRPr="00DC1450">
          <w:rPr>
            <w:rStyle w:val="Hyperlink"/>
            <w:noProof/>
          </w:rPr>
          <w:t>”, “</w:t>
        </w:r>
        <w:r w:rsidRPr="00DC1450">
          <w:rPr>
            <w:rStyle w:val="Hyperlink"/>
            <w:bCs/>
            <w:noProof/>
            <w:lang w:eastAsia="en-ZA"/>
          </w:rPr>
          <w:t>Technical Acceptance of Product Compliance</w:t>
        </w:r>
        <w:r w:rsidRPr="00DC1450">
          <w:rPr>
            <w:rStyle w:val="Hyperlink"/>
            <w:noProof/>
          </w:rPr>
          <w:t>” or “FIDE Endorsement of Accepeted Product</w:t>
        </w:r>
        <w:r>
          <w:rPr>
            <w:noProof/>
            <w:webHidden/>
          </w:rPr>
          <w:tab/>
        </w:r>
        <w:r>
          <w:rPr>
            <w:noProof/>
            <w:webHidden/>
          </w:rPr>
          <w:fldChar w:fldCharType="begin"/>
        </w:r>
        <w:r>
          <w:rPr>
            <w:noProof/>
            <w:webHidden/>
          </w:rPr>
          <w:instrText xml:space="preserve"> PAGEREF _Toc213159587 \h </w:instrText>
        </w:r>
        <w:r>
          <w:rPr>
            <w:noProof/>
            <w:webHidden/>
          </w:rPr>
        </w:r>
        <w:r>
          <w:rPr>
            <w:noProof/>
            <w:webHidden/>
          </w:rPr>
          <w:fldChar w:fldCharType="separate"/>
        </w:r>
        <w:r>
          <w:rPr>
            <w:noProof/>
            <w:webHidden/>
          </w:rPr>
          <w:t>6</w:t>
        </w:r>
        <w:r>
          <w:rPr>
            <w:noProof/>
            <w:webHidden/>
          </w:rPr>
          <w:fldChar w:fldCharType="end"/>
        </w:r>
      </w:hyperlink>
    </w:p>
    <w:p w14:paraId="694E7519" w14:textId="7AA34CF5"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88" w:history="1">
        <w:r w:rsidRPr="00DC1450">
          <w:rPr>
            <w:rStyle w:val="Hyperlink"/>
            <w:noProof/>
          </w:rPr>
          <w:t>2.3</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Unlock an Application to Revise</w:t>
        </w:r>
        <w:r>
          <w:rPr>
            <w:noProof/>
            <w:webHidden/>
          </w:rPr>
          <w:tab/>
        </w:r>
        <w:r>
          <w:rPr>
            <w:noProof/>
            <w:webHidden/>
          </w:rPr>
          <w:fldChar w:fldCharType="begin"/>
        </w:r>
        <w:r>
          <w:rPr>
            <w:noProof/>
            <w:webHidden/>
          </w:rPr>
          <w:instrText xml:space="preserve"> PAGEREF _Toc213159588 \h </w:instrText>
        </w:r>
        <w:r>
          <w:rPr>
            <w:noProof/>
            <w:webHidden/>
          </w:rPr>
        </w:r>
        <w:r>
          <w:rPr>
            <w:noProof/>
            <w:webHidden/>
          </w:rPr>
          <w:fldChar w:fldCharType="separate"/>
        </w:r>
        <w:r>
          <w:rPr>
            <w:noProof/>
            <w:webHidden/>
          </w:rPr>
          <w:t>6</w:t>
        </w:r>
        <w:r>
          <w:rPr>
            <w:noProof/>
            <w:webHidden/>
          </w:rPr>
          <w:fldChar w:fldCharType="end"/>
        </w:r>
      </w:hyperlink>
    </w:p>
    <w:p w14:paraId="01EF3307" w14:textId="68D4FEB1" w:rsidR="00641B68" w:rsidRDefault="00641B68">
      <w:pPr>
        <w:pStyle w:val="TOC1"/>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213159589" w:history="1">
        <w:r w:rsidRPr="00DC1450">
          <w:rPr>
            <w:rStyle w:val="Hyperlink"/>
            <w:noProof/>
          </w:rPr>
          <w:t>CHAPTER 3</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DC1450">
          <w:rPr>
            <w:rStyle w:val="Hyperlink"/>
            <w:noProof/>
          </w:rPr>
          <w:t>Processes and Notes to Processes</w:t>
        </w:r>
        <w:r>
          <w:rPr>
            <w:noProof/>
            <w:webHidden/>
          </w:rPr>
          <w:tab/>
        </w:r>
        <w:r>
          <w:rPr>
            <w:noProof/>
            <w:webHidden/>
          </w:rPr>
          <w:fldChar w:fldCharType="begin"/>
        </w:r>
        <w:r>
          <w:rPr>
            <w:noProof/>
            <w:webHidden/>
          </w:rPr>
          <w:instrText xml:space="preserve"> PAGEREF _Toc213159589 \h </w:instrText>
        </w:r>
        <w:r>
          <w:rPr>
            <w:noProof/>
            <w:webHidden/>
          </w:rPr>
        </w:r>
        <w:r>
          <w:rPr>
            <w:noProof/>
            <w:webHidden/>
          </w:rPr>
          <w:fldChar w:fldCharType="separate"/>
        </w:r>
        <w:r>
          <w:rPr>
            <w:noProof/>
            <w:webHidden/>
          </w:rPr>
          <w:t>7</w:t>
        </w:r>
        <w:r>
          <w:rPr>
            <w:noProof/>
            <w:webHidden/>
          </w:rPr>
          <w:fldChar w:fldCharType="end"/>
        </w:r>
      </w:hyperlink>
    </w:p>
    <w:p w14:paraId="50853915" w14:textId="636F8D15"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90" w:history="1">
        <w:r w:rsidRPr="00DC1450">
          <w:rPr>
            <w:rStyle w:val="Hyperlink"/>
            <w:noProof/>
          </w:rPr>
          <w:t>3.1</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Self-Declaration of Product Compliance (SDPC)</w:t>
        </w:r>
        <w:r>
          <w:rPr>
            <w:noProof/>
            <w:webHidden/>
          </w:rPr>
          <w:tab/>
        </w:r>
        <w:r>
          <w:rPr>
            <w:noProof/>
            <w:webHidden/>
          </w:rPr>
          <w:fldChar w:fldCharType="begin"/>
        </w:r>
        <w:r>
          <w:rPr>
            <w:noProof/>
            <w:webHidden/>
          </w:rPr>
          <w:instrText xml:space="preserve"> PAGEREF _Toc213159590 \h </w:instrText>
        </w:r>
        <w:r>
          <w:rPr>
            <w:noProof/>
            <w:webHidden/>
          </w:rPr>
        </w:r>
        <w:r>
          <w:rPr>
            <w:noProof/>
            <w:webHidden/>
          </w:rPr>
          <w:fldChar w:fldCharType="separate"/>
        </w:r>
        <w:r>
          <w:rPr>
            <w:noProof/>
            <w:webHidden/>
          </w:rPr>
          <w:t>7</w:t>
        </w:r>
        <w:r>
          <w:rPr>
            <w:noProof/>
            <w:webHidden/>
          </w:rPr>
          <w:fldChar w:fldCharType="end"/>
        </w:r>
      </w:hyperlink>
    </w:p>
    <w:p w14:paraId="21EBB48C" w14:textId="725CEF68"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91" w:history="1">
        <w:r w:rsidRPr="00DC1450">
          <w:rPr>
            <w:rStyle w:val="Hyperlink"/>
            <w:noProof/>
          </w:rPr>
          <w:t>3.2</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Technical Acceptance of Product Compliance (TAPC)</w:t>
        </w:r>
        <w:r>
          <w:rPr>
            <w:noProof/>
            <w:webHidden/>
          </w:rPr>
          <w:tab/>
        </w:r>
        <w:r>
          <w:rPr>
            <w:noProof/>
            <w:webHidden/>
          </w:rPr>
          <w:fldChar w:fldCharType="begin"/>
        </w:r>
        <w:r>
          <w:rPr>
            <w:noProof/>
            <w:webHidden/>
          </w:rPr>
          <w:instrText xml:space="preserve"> PAGEREF _Toc213159591 \h </w:instrText>
        </w:r>
        <w:r>
          <w:rPr>
            <w:noProof/>
            <w:webHidden/>
          </w:rPr>
        </w:r>
        <w:r>
          <w:rPr>
            <w:noProof/>
            <w:webHidden/>
          </w:rPr>
          <w:fldChar w:fldCharType="separate"/>
        </w:r>
        <w:r>
          <w:rPr>
            <w:noProof/>
            <w:webHidden/>
          </w:rPr>
          <w:t>7</w:t>
        </w:r>
        <w:r>
          <w:rPr>
            <w:noProof/>
            <w:webHidden/>
          </w:rPr>
          <w:fldChar w:fldCharType="end"/>
        </w:r>
      </w:hyperlink>
    </w:p>
    <w:p w14:paraId="6A7A2823" w14:textId="6A29085C"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92" w:history="1">
        <w:r w:rsidRPr="00DC1450">
          <w:rPr>
            <w:rStyle w:val="Hyperlink"/>
            <w:noProof/>
          </w:rPr>
          <w:t>3.3</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FIDE Endorsement of Accepted Product (FEAP)</w:t>
        </w:r>
        <w:r>
          <w:rPr>
            <w:noProof/>
            <w:webHidden/>
          </w:rPr>
          <w:tab/>
        </w:r>
        <w:r>
          <w:rPr>
            <w:noProof/>
            <w:webHidden/>
          </w:rPr>
          <w:fldChar w:fldCharType="begin"/>
        </w:r>
        <w:r>
          <w:rPr>
            <w:noProof/>
            <w:webHidden/>
          </w:rPr>
          <w:instrText xml:space="preserve"> PAGEREF _Toc213159592 \h </w:instrText>
        </w:r>
        <w:r>
          <w:rPr>
            <w:noProof/>
            <w:webHidden/>
          </w:rPr>
        </w:r>
        <w:r>
          <w:rPr>
            <w:noProof/>
            <w:webHidden/>
          </w:rPr>
          <w:fldChar w:fldCharType="separate"/>
        </w:r>
        <w:r>
          <w:rPr>
            <w:noProof/>
            <w:webHidden/>
          </w:rPr>
          <w:t>7</w:t>
        </w:r>
        <w:r>
          <w:rPr>
            <w:noProof/>
            <w:webHidden/>
          </w:rPr>
          <w:fldChar w:fldCharType="end"/>
        </w:r>
      </w:hyperlink>
    </w:p>
    <w:p w14:paraId="6B62B947" w14:textId="07DE3AF1"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93" w:history="1">
        <w:r w:rsidRPr="00DC1450">
          <w:rPr>
            <w:rStyle w:val="Hyperlink"/>
            <w:noProof/>
          </w:rPr>
          <w:t>3.4</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Automatic Revocation of TAPC due to Rule Changes</w:t>
        </w:r>
        <w:r>
          <w:rPr>
            <w:noProof/>
            <w:webHidden/>
          </w:rPr>
          <w:tab/>
        </w:r>
        <w:r>
          <w:rPr>
            <w:noProof/>
            <w:webHidden/>
          </w:rPr>
          <w:fldChar w:fldCharType="begin"/>
        </w:r>
        <w:r>
          <w:rPr>
            <w:noProof/>
            <w:webHidden/>
          </w:rPr>
          <w:instrText xml:space="preserve"> PAGEREF _Toc213159593 \h </w:instrText>
        </w:r>
        <w:r>
          <w:rPr>
            <w:noProof/>
            <w:webHidden/>
          </w:rPr>
        </w:r>
        <w:r>
          <w:rPr>
            <w:noProof/>
            <w:webHidden/>
          </w:rPr>
          <w:fldChar w:fldCharType="separate"/>
        </w:r>
        <w:r>
          <w:rPr>
            <w:noProof/>
            <w:webHidden/>
          </w:rPr>
          <w:t>8</w:t>
        </w:r>
        <w:r>
          <w:rPr>
            <w:noProof/>
            <w:webHidden/>
          </w:rPr>
          <w:fldChar w:fldCharType="end"/>
        </w:r>
      </w:hyperlink>
    </w:p>
    <w:p w14:paraId="456ACE95" w14:textId="411CFE32"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94" w:history="1">
        <w:r w:rsidRPr="00DC1450">
          <w:rPr>
            <w:rStyle w:val="Hyperlink"/>
            <w:noProof/>
          </w:rPr>
          <w:t>3.5</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Automatic Revocation of TAPC Due To Major Version Upgrade Instigated by Manufacturer</w:t>
        </w:r>
        <w:r>
          <w:rPr>
            <w:noProof/>
            <w:webHidden/>
          </w:rPr>
          <w:tab/>
        </w:r>
        <w:r>
          <w:rPr>
            <w:noProof/>
            <w:webHidden/>
          </w:rPr>
          <w:fldChar w:fldCharType="begin"/>
        </w:r>
        <w:r>
          <w:rPr>
            <w:noProof/>
            <w:webHidden/>
          </w:rPr>
          <w:instrText xml:space="preserve"> PAGEREF _Toc213159594 \h </w:instrText>
        </w:r>
        <w:r>
          <w:rPr>
            <w:noProof/>
            <w:webHidden/>
          </w:rPr>
        </w:r>
        <w:r>
          <w:rPr>
            <w:noProof/>
            <w:webHidden/>
          </w:rPr>
          <w:fldChar w:fldCharType="separate"/>
        </w:r>
        <w:r>
          <w:rPr>
            <w:noProof/>
            <w:webHidden/>
          </w:rPr>
          <w:t>8</w:t>
        </w:r>
        <w:r>
          <w:rPr>
            <w:noProof/>
            <w:webHidden/>
          </w:rPr>
          <w:fldChar w:fldCharType="end"/>
        </w:r>
      </w:hyperlink>
    </w:p>
    <w:p w14:paraId="2D83F249" w14:textId="7F06E6D3"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95" w:history="1">
        <w:r w:rsidRPr="00DC1450">
          <w:rPr>
            <w:rStyle w:val="Hyperlink"/>
            <w:noProof/>
          </w:rPr>
          <w:t>3.6</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Manual Revocation of TAPC Due to Credible Complaints</w:t>
        </w:r>
        <w:r>
          <w:rPr>
            <w:noProof/>
            <w:webHidden/>
          </w:rPr>
          <w:tab/>
        </w:r>
        <w:r>
          <w:rPr>
            <w:noProof/>
            <w:webHidden/>
          </w:rPr>
          <w:fldChar w:fldCharType="begin"/>
        </w:r>
        <w:r>
          <w:rPr>
            <w:noProof/>
            <w:webHidden/>
          </w:rPr>
          <w:instrText xml:space="preserve"> PAGEREF _Toc213159595 \h </w:instrText>
        </w:r>
        <w:r>
          <w:rPr>
            <w:noProof/>
            <w:webHidden/>
          </w:rPr>
        </w:r>
        <w:r>
          <w:rPr>
            <w:noProof/>
            <w:webHidden/>
          </w:rPr>
          <w:fldChar w:fldCharType="separate"/>
        </w:r>
        <w:r>
          <w:rPr>
            <w:noProof/>
            <w:webHidden/>
          </w:rPr>
          <w:t>9</w:t>
        </w:r>
        <w:r>
          <w:rPr>
            <w:noProof/>
            <w:webHidden/>
          </w:rPr>
          <w:fldChar w:fldCharType="end"/>
        </w:r>
      </w:hyperlink>
    </w:p>
    <w:p w14:paraId="39F2B14A" w14:textId="09BECBE9"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96" w:history="1">
        <w:r w:rsidRPr="00DC1450">
          <w:rPr>
            <w:rStyle w:val="Hyperlink"/>
            <w:noProof/>
          </w:rPr>
          <w:t>3.7</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Manual Revocation of TAPC Due to Mishandling of Known Defects</w:t>
        </w:r>
        <w:r>
          <w:rPr>
            <w:noProof/>
            <w:webHidden/>
          </w:rPr>
          <w:tab/>
        </w:r>
        <w:r>
          <w:rPr>
            <w:noProof/>
            <w:webHidden/>
          </w:rPr>
          <w:fldChar w:fldCharType="begin"/>
        </w:r>
        <w:r>
          <w:rPr>
            <w:noProof/>
            <w:webHidden/>
          </w:rPr>
          <w:instrText xml:space="preserve"> PAGEREF _Toc213159596 \h </w:instrText>
        </w:r>
        <w:r>
          <w:rPr>
            <w:noProof/>
            <w:webHidden/>
          </w:rPr>
        </w:r>
        <w:r>
          <w:rPr>
            <w:noProof/>
            <w:webHidden/>
          </w:rPr>
          <w:fldChar w:fldCharType="separate"/>
        </w:r>
        <w:r>
          <w:rPr>
            <w:noProof/>
            <w:webHidden/>
          </w:rPr>
          <w:t>9</w:t>
        </w:r>
        <w:r>
          <w:rPr>
            <w:noProof/>
            <w:webHidden/>
          </w:rPr>
          <w:fldChar w:fldCharType="end"/>
        </w:r>
      </w:hyperlink>
    </w:p>
    <w:p w14:paraId="2E882466" w14:textId="04D19C30"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97" w:history="1">
        <w:r w:rsidRPr="00DC1450">
          <w:rPr>
            <w:rStyle w:val="Hyperlink"/>
            <w:noProof/>
          </w:rPr>
          <w:t>3.8</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Application for Temporary Acceptance of Product Compliance (TAPC)</w:t>
        </w:r>
        <w:r>
          <w:rPr>
            <w:noProof/>
            <w:webHidden/>
          </w:rPr>
          <w:tab/>
        </w:r>
        <w:r>
          <w:rPr>
            <w:noProof/>
            <w:webHidden/>
          </w:rPr>
          <w:fldChar w:fldCharType="begin"/>
        </w:r>
        <w:r>
          <w:rPr>
            <w:noProof/>
            <w:webHidden/>
          </w:rPr>
          <w:instrText xml:space="preserve"> PAGEREF _Toc213159597 \h </w:instrText>
        </w:r>
        <w:r>
          <w:rPr>
            <w:noProof/>
            <w:webHidden/>
          </w:rPr>
        </w:r>
        <w:r>
          <w:rPr>
            <w:noProof/>
            <w:webHidden/>
          </w:rPr>
          <w:fldChar w:fldCharType="separate"/>
        </w:r>
        <w:r>
          <w:rPr>
            <w:noProof/>
            <w:webHidden/>
          </w:rPr>
          <w:t>9</w:t>
        </w:r>
        <w:r>
          <w:rPr>
            <w:noProof/>
            <w:webHidden/>
          </w:rPr>
          <w:fldChar w:fldCharType="end"/>
        </w:r>
      </w:hyperlink>
    </w:p>
    <w:p w14:paraId="37E91F98" w14:textId="51493AF5" w:rsidR="00641B68" w:rsidRDefault="00641B68">
      <w:pPr>
        <w:pStyle w:val="TOC2"/>
        <w:tabs>
          <w:tab w:val="left" w:pos="880"/>
          <w:tab w:val="right" w:leader="dot" w:pos="9629"/>
        </w:tabs>
        <w:rPr>
          <w:rFonts w:asciiTheme="minorHAnsi" w:eastAsiaTheme="minorEastAsia" w:hAnsiTheme="minorHAnsi" w:cstheme="minorBidi"/>
          <w:smallCaps w:val="0"/>
          <w:noProof/>
          <w:kern w:val="2"/>
          <w:sz w:val="24"/>
          <w:szCs w:val="24"/>
          <w:lang w:val="en-ZA" w:eastAsia="en-ZA"/>
          <w14:ligatures w14:val="standardContextual"/>
        </w:rPr>
      </w:pPr>
      <w:hyperlink w:anchor="_Toc213159598" w:history="1">
        <w:r w:rsidRPr="00DC1450">
          <w:rPr>
            <w:rStyle w:val="Hyperlink"/>
            <w:noProof/>
          </w:rPr>
          <w:t>3.9</w:t>
        </w:r>
        <w:r>
          <w:rPr>
            <w:rFonts w:asciiTheme="minorHAnsi" w:eastAsiaTheme="minorEastAsia" w:hAnsiTheme="minorHAnsi" w:cstheme="minorBidi"/>
            <w:smallCaps w:val="0"/>
            <w:noProof/>
            <w:kern w:val="2"/>
            <w:sz w:val="24"/>
            <w:szCs w:val="24"/>
            <w:lang w:val="en-ZA" w:eastAsia="en-ZA"/>
            <w14:ligatures w14:val="standardContextual"/>
          </w:rPr>
          <w:tab/>
        </w:r>
        <w:r w:rsidRPr="00DC1450">
          <w:rPr>
            <w:rStyle w:val="Hyperlink"/>
            <w:noProof/>
          </w:rPr>
          <w:t>THP TAPC Process</w:t>
        </w:r>
        <w:r>
          <w:rPr>
            <w:noProof/>
            <w:webHidden/>
          </w:rPr>
          <w:tab/>
        </w:r>
        <w:r>
          <w:rPr>
            <w:noProof/>
            <w:webHidden/>
          </w:rPr>
          <w:fldChar w:fldCharType="begin"/>
        </w:r>
        <w:r>
          <w:rPr>
            <w:noProof/>
            <w:webHidden/>
          </w:rPr>
          <w:instrText xml:space="preserve"> PAGEREF _Toc213159598 \h </w:instrText>
        </w:r>
        <w:r>
          <w:rPr>
            <w:noProof/>
            <w:webHidden/>
          </w:rPr>
        </w:r>
        <w:r>
          <w:rPr>
            <w:noProof/>
            <w:webHidden/>
          </w:rPr>
          <w:fldChar w:fldCharType="separate"/>
        </w:r>
        <w:r>
          <w:rPr>
            <w:noProof/>
            <w:webHidden/>
          </w:rPr>
          <w:t>10</w:t>
        </w:r>
        <w:r>
          <w:rPr>
            <w:noProof/>
            <w:webHidden/>
          </w:rPr>
          <w:fldChar w:fldCharType="end"/>
        </w:r>
      </w:hyperlink>
    </w:p>
    <w:p w14:paraId="056DC916" w14:textId="7F1B92EE" w:rsidR="00641B68" w:rsidRDefault="00641B68">
      <w:pPr>
        <w:pStyle w:val="TOC1"/>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213159599" w:history="1">
        <w:r w:rsidRPr="00DC1450">
          <w:rPr>
            <w:rStyle w:val="Hyperlink"/>
            <w:noProof/>
          </w:rPr>
          <w:t>Annexure A - Fees</w:t>
        </w:r>
        <w:r>
          <w:rPr>
            <w:noProof/>
            <w:webHidden/>
          </w:rPr>
          <w:tab/>
        </w:r>
        <w:r>
          <w:rPr>
            <w:noProof/>
            <w:webHidden/>
          </w:rPr>
          <w:fldChar w:fldCharType="begin"/>
        </w:r>
        <w:r>
          <w:rPr>
            <w:noProof/>
            <w:webHidden/>
          </w:rPr>
          <w:instrText xml:space="preserve"> PAGEREF _Toc213159599 \h </w:instrText>
        </w:r>
        <w:r>
          <w:rPr>
            <w:noProof/>
            <w:webHidden/>
          </w:rPr>
        </w:r>
        <w:r>
          <w:rPr>
            <w:noProof/>
            <w:webHidden/>
          </w:rPr>
          <w:fldChar w:fldCharType="separate"/>
        </w:r>
        <w:r>
          <w:rPr>
            <w:noProof/>
            <w:webHidden/>
          </w:rPr>
          <w:t>14</w:t>
        </w:r>
        <w:r>
          <w:rPr>
            <w:noProof/>
            <w:webHidden/>
          </w:rPr>
          <w:fldChar w:fldCharType="end"/>
        </w:r>
      </w:hyperlink>
    </w:p>
    <w:p w14:paraId="5FC813AD" w14:textId="4C2EE7A5" w:rsidR="00641B68" w:rsidRDefault="00641B68">
      <w:pPr>
        <w:pStyle w:val="TOC1"/>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213159600" w:history="1">
        <w:r w:rsidRPr="00DC1450">
          <w:rPr>
            <w:rStyle w:val="Hyperlink"/>
            <w:noProof/>
          </w:rPr>
          <w:t>Annexure B - [TRF06 – Version 2006]( https://tec.fide.com/spp-documents-archive/)</w:t>
        </w:r>
        <w:r>
          <w:rPr>
            <w:noProof/>
            <w:webHidden/>
          </w:rPr>
          <w:tab/>
        </w:r>
        <w:r>
          <w:rPr>
            <w:noProof/>
            <w:webHidden/>
          </w:rPr>
          <w:fldChar w:fldCharType="begin"/>
        </w:r>
        <w:r>
          <w:rPr>
            <w:noProof/>
            <w:webHidden/>
          </w:rPr>
          <w:instrText xml:space="preserve"> PAGEREF _Toc213159600 \h </w:instrText>
        </w:r>
        <w:r>
          <w:rPr>
            <w:noProof/>
            <w:webHidden/>
          </w:rPr>
        </w:r>
        <w:r>
          <w:rPr>
            <w:noProof/>
            <w:webHidden/>
          </w:rPr>
          <w:fldChar w:fldCharType="separate"/>
        </w:r>
        <w:r>
          <w:rPr>
            <w:noProof/>
            <w:webHidden/>
          </w:rPr>
          <w:t>15</w:t>
        </w:r>
        <w:r>
          <w:rPr>
            <w:noProof/>
            <w:webHidden/>
          </w:rPr>
          <w:fldChar w:fldCharType="end"/>
        </w:r>
      </w:hyperlink>
    </w:p>
    <w:p w14:paraId="19A7C704" w14:textId="562CAE63" w:rsidR="00641B68" w:rsidRDefault="00641B68">
      <w:pPr>
        <w:pStyle w:val="TOC1"/>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213159601" w:history="1">
        <w:r w:rsidRPr="00DC1450">
          <w:rPr>
            <w:rStyle w:val="Hyperlink"/>
            <w:noProof/>
          </w:rPr>
          <w:t>Annexure C - [TRF16 – Version 2016]( https://tec.fide.com/spp-documents-archive/)</w:t>
        </w:r>
        <w:r>
          <w:rPr>
            <w:noProof/>
            <w:webHidden/>
          </w:rPr>
          <w:tab/>
        </w:r>
        <w:r>
          <w:rPr>
            <w:noProof/>
            <w:webHidden/>
          </w:rPr>
          <w:fldChar w:fldCharType="begin"/>
        </w:r>
        <w:r>
          <w:rPr>
            <w:noProof/>
            <w:webHidden/>
          </w:rPr>
          <w:instrText xml:space="preserve"> PAGEREF _Toc213159601 \h </w:instrText>
        </w:r>
        <w:r>
          <w:rPr>
            <w:noProof/>
            <w:webHidden/>
          </w:rPr>
        </w:r>
        <w:r>
          <w:rPr>
            <w:noProof/>
            <w:webHidden/>
          </w:rPr>
          <w:fldChar w:fldCharType="separate"/>
        </w:r>
        <w:r>
          <w:rPr>
            <w:noProof/>
            <w:webHidden/>
          </w:rPr>
          <w:t>15</w:t>
        </w:r>
        <w:r>
          <w:rPr>
            <w:noProof/>
            <w:webHidden/>
          </w:rPr>
          <w:fldChar w:fldCharType="end"/>
        </w:r>
      </w:hyperlink>
    </w:p>
    <w:p w14:paraId="32BCD189" w14:textId="548A9EE5" w:rsidR="000F25B3" w:rsidRPr="00DD63CE" w:rsidRDefault="009B6553" w:rsidP="00621AD5">
      <w:pPr>
        <w:pStyle w:val="Heading1"/>
      </w:pPr>
      <w:r>
        <w:rPr>
          <w:rFonts w:asciiTheme="minorHAnsi" w:hAnsiTheme="minorHAnsi"/>
          <w:sz w:val="20"/>
          <w:szCs w:val="20"/>
        </w:rPr>
        <w:lastRenderedPageBreak/>
        <w:fldChar w:fldCharType="end"/>
      </w:r>
      <w:bookmarkStart w:id="3" w:name="_Toc197462289"/>
      <w:bookmarkStart w:id="4" w:name="_Ref211174327"/>
      <w:bookmarkStart w:id="5" w:name="_Ref211174345"/>
      <w:bookmarkStart w:id="6" w:name="_Toc213159581"/>
      <w:r w:rsidR="00621AD5" w:rsidRPr="00DD63CE">
        <w:t>General</w:t>
      </w:r>
      <w:bookmarkEnd w:id="3"/>
      <w:bookmarkEnd w:id="4"/>
      <w:bookmarkEnd w:id="5"/>
      <w:bookmarkEnd w:id="6"/>
    </w:p>
    <w:p w14:paraId="669EAAB3" w14:textId="7C659A73" w:rsidR="00032A71" w:rsidRPr="00DD63CE" w:rsidRDefault="00621AD5" w:rsidP="000F25B3">
      <w:pPr>
        <w:pStyle w:val="Heading2"/>
      </w:pPr>
      <w:bookmarkStart w:id="7" w:name="_Toc197462290"/>
      <w:bookmarkStart w:id="8" w:name="_Toc213159582"/>
      <w:r w:rsidRPr="00DD63CE">
        <w:t>Usage of the Manual</w:t>
      </w:r>
      <w:bookmarkEnd w:id="7"/>
      <w:bookmarkEnd w:id="8"/>
    </w:p>
    <w:p w14:paraId="1A7BEDC4" w14:textId="54388DF0" w:rsidR="00AF3895" w:rsidRPr="00DD63CE" w:rsidRDefault="00AF3895" w:rsidP="003B7993">
      <w:pPr>
        <w:pStyle w:val="Heading3"/>
      </w:pPr>
      <w:r w:rsidRPr="00DD63CE">
        <w:t xml:space="preserve">The FIDE Technical Commission Manual (TEC Manual) complements the FIDE Handbook by providing comprehensive information, including definitions, processes, comments, and clarifications essential for understanding and implementing </w:t>
      </w:r>
      <w:r w:rsidR="00124659">
        <w:t xml:space="preserve">the </w:t>
      </w:r>
      <w:r w:rsidRPr="00DD63CE">
        <w:t>FIDE technical regulations.</w:t>
      </w:r>
    </w:p>
    <w:p w14:paraId="3CAA2571" w14:textId="49D3BBE3" w:rsidR="00AF3895" w:rsidRPr="00DD63CE" w:rsidRDefault="00AF3895" w:rsidP="003B7993">
      <w:pPr>
        <w:pStyle w:val="Heading3"/>
      </w:pPr>
      <w:r w:rsidRPr="00DD63CE">
        <w:t>In cases of discrepancy between the FIDE Handbook and the TEC Manual, the FIDE Handbook takes precedence as the authoritative reference.</w:t>
      </w:r>
    </w:p>
    <w:p w14:paraId="1432E810" w14:textId="34F0F2E4" w:rsidR="00EE4320" w:rsidRPr="006B4A27" w:rsidRDefault="00EE4320" w:rsidP="006B4A27">
      <w:pPr>
        <w:pStyle w:val="Heading2"/>
      </w:pPr>
      <w:bookmarkStart w:id="9" w:name="_Toc197462291"/>
      <w:bookmarkStart w:id="10" w:name="_Toc213159583"/>
      <w:r w:rsidRPr="006B4A27">
        <w:t>Definitions</w:t>
      </w:r>
      <w:bookmarkEnd w:id="9"/>
      <w:r w:rsidR="006B4A27" w:rsidRPr="006B4A27">
        <w:t xml:space="preserve"> </w:t>
      </w:r>
      <w:bookmarkStart w:id="11" w:name="_Hlk205368889"/>
      <w:r w:rsidR="006B4A27" w:rsidRPr="006B4A27">
        <w:t>and Acronyms</w:t>
      </w:r>
      <w:bookmarkEnd w:id="10"/>
      <w:bookmarkEnd w:id="11"/>
    </w:p>
    <w:p w14:paraId="6459A167" w14:textId="77777777" w:rsidR="00E72C16" w:rsidRDefault="006B4A27" w:rsidP="00E72C16">
      <w:pPr>
        <w:pStyle w:val="Body0"/>
        <w:rPr>
          <w:lang w:eastAsia="en-ZA"/>
        </w:rPr>
      </w:pPr>
      <w:bookmarkStart w:id="12" w:name="_Hlk205368910"/>
      <w:bookmarkStart w:id="13" w:name="_Toc213159584"/>
      <w:r>
        <w:t xml:space="preserve">Refer to </w:t>
      </w:r>
      <w:r w:rsidRPr="00E572CA">
        <w:t>Article</w:t>
      </w:r>
      <w:r w:rsidR="00124659">
        <w:t>s</w:t>
      </w:r>
      <w:r w:rsidRPr="00E572CA">
        <w:t xml:space="preserve"> 2</w:t>
      </w:r>
      <w:r>
        <w:t xml:space="preserve"> and 3</w:t>
      </w:r>
      <w:r w:rsidRPr="00E572CA">
        <w:t xml:space="preserve"> of </w:t>
      </w:r>
      <w:r>
        <w:t>General Regulations</w:t>
      </w:r>
      <w:r w:rsidRPr="00E572CA">
        <w:t xml:space="preserve"> (under Chess Equipment Technical Specifications, Rules and Regulations)</w:t>
      </w:r>
      <w:bookmarkEnd w:id="12"/>
      <w:r w:rsidR="00CF6FFD">
        <w:t>.</w:t>
      </w:r>
      <w:bookmarkStart w:id="14" w:name="_Toc197462292"/>
    </w:p>
    <w:p w14:paraId="79B5964B" w14:textId="07084C09" w:rsidR="007D44D3" w:rsidRPr="00DD63CE" w:rsidRDefault="00045C0C" w:rsidP="005B428E">
      <w:pPr>
        <w:pStyle w:val="Heading2"/>
        <w:rPr>
          <w:lang w:eastAsia="en-ZA"/>
        </w:rPr>
      </w:pPr>
      <w:r w:rsidRPr="00DD63CE">
        <w:rPr>
          <w:lang w:eastAsia="en-ZA"/>
        </w:rPr>
        <w:t>Acronyms</w:t>
      </w:r>
      <w:bookmarkEnd w:id="13"/>
      <w:bookmarkEnd w:id="14"/>
    </w:p>
    <w:p w14:paraId="40C7659A" w14:textId="49D4055F" w:rsidR="00003ABF" w:rsidRPr="00DD63CE" w:rsidRDefault="00003ABF">
      <w:pPr>
        <w:pStyle w:val="ListNumber"/>
        <w:numPr>
          <w:ilvl w:val="0"/>
          <w:numId w:val="9"/>
        </w:numPr>
        <w:rPr>
          <w:lang w:eastAsia="en-ZA"/>
        </w:rPr>
      </w:pPr>
      <w:r w:rsidRPr="00B13099">
        <w:rPr>
          <w:b/>
          <w:bCs/>
          <w:lang w:eastAsia="en-ZA"/>
        </w:rPr>
        <w:t>CC</w:t>
      </w:r>
      <w:r w:rsidRPr="00DD63CE">
        <w:rPr>
          <w:lang w:eastAsia="en-ZA"/>
        </w:rPr>
        <w:t xml:space="preserve"> - </w:t>
      </w:r>
      <w:r w:rsidR="00E72C16">
        <w:t>Acceptance</w:t>
      </w:r>
      <w:r w:rsidRPr="00DD63CE">
        <w:t xml:space="preserve"> Cycle</w:t>
      </w:r>
    </w:p>
    <w:p w14:paraId="196DD56B" w14:textId="06D5AC86" w:rsidR="007021BD" w:rsidRPr="00DD63CE" w:rsidRDefault="00F12D64">
      <w:pPr>
        <w:pStyle w:val="ListNumber"/>
        <w:numPr>
          <w:ilvl w:val="0"/>
          <w:numId w:val="9"/>
        </w:numPr>
        <w:rPr>
          <w:lang w:eastAsia="en-ZA"/>
        </w:rPr>
      </w:pPr>
      <w:r>
        <w:rPr>
          <w:b/>
          <w:bCs/>
          <w:lang w:eastAsia="en-ZA"/>
        </w:rPr>
        <w:t>FEAP</w:t>
      </w:r>
      <w:r w:rsidR="007021BD" w:rsidRPr="00DD63CE">
        <w:rPr>
          <w:lang w:eastAsia="en-ZA"/>
        </w:rPr>
        <w:t xml:space="preserve"> – </w:t>
      </w:r>
      <w:r w:rsidR="00D76A77">
        <w:rPr>
          <w:lang w:eastAsia="en-ZA"/>
        </w:rPr>
        <w:t xml:space="preserve">FIDE Endorsement of </w:t>
      </w:r>
      <w:r w:rsidR="00124659">
        <w:rPr>
          <w:lang w:eastAsia="en-ZA"/>
        </w:rPr>
        <w:t>Accepted</w:t>
      </w:r>
      <w:r w:rsidR="00D76A77">
        <w:rPr>
          <w:lang w:eastAsia="en-ZA"/>
        </w:rPr>
        <w:t xml:space="preserve"> Product</w:t>
      </w:r>
    </w:p>
    <w:p w14:paraId="2067D98E" w14:textId="5DC11E50" w:rsidR="00003ABF" w:rsidRPr="00DD63CE" w:rsidRDefault="0037326F">
      <w:pPr>
        <w:pStyle w:val="ListNumber"/>
        <w:numPr>
          <w:ilvl w:val="0"/>
          <w:numId w:val="9"/>
        </w:numPr>
        <w:rPr>
          <w:lang w:eastAsia="en-ZA"/>
        </w:rPr>
      </w:pPr>
      <w:r>
        <w:rPr>
          <w:b/>
          <w:lang w:eastAsia="en-ZA"/>
        </w:rPr>
        <w:t>TAPC</w:t>
      </w:r>
      <w:r w:rsidR="00003ABF" w:rsidRPr="00DD63CE">
        <w:rPr>
          <w:lang w:eastAsia="en-ZA"/>
        </w:rPr>
        <w:t xml:space="preserve"> – </w:t>
      </w:r>
      <w:r w:rsidR="00C06713">
        <w:rPr>
          <w:lang w:eastAsia="en-ZA"/>
        </w:rPr>
        <w:t>Technical Acceptance of Product Compliance</w:t>
      </w:r>
    </w:p>
    <w:p w14:paraId="2C924FD2" w14:textId="36B4DDB7" w:rsidR="0023536C" w:rsidRDefault="0023536C">
      <w:pPr>
        <w:pStyle w:val="ListNumber"/>
        <w:numPr>
          <w:ilvl w:val="0"/>
          <w:numId w:val="9"/>
        </w:numPr>
        <w:rPr>
          <w:lang w:eastAsia="en-ZA"/>
        </w:rPr>
      </w:pPr>
      <w:r w:rsidRPr="003A6FBA">
        <w:rPr>
          <w:b/>
          <w:bCs/>
        </w:rPr>
        <w:t>NRD</w:t>
      </w:r>
      <w:r w:rsidRPr="00DD63CE">
        <w:t xml:space="preserve"> - New Rules Date</w:t>
      </w:r>
    </w:p>
    <w:p w14:paraId="262A915E" w14:textId="248DE983" w:rsidR="00670154" w:rsidRDefault="00670154">
      <w:pPr>
        <w:pStyle w:val="ListNumber"/>
        <w:numPr>
          <w:ilvl w:val="0"/>
          <w:numId w:val="9"/>
        </w:numPr>
        <w:rPr>
          <w:lang w:eastAsia="en-ZA"/>
        </w:rPr>
      </w:pPr>
      <w:r w:rsidRPr="00D32024">
        <w:rPr>
          <w:b/>
          <w:bCs/>
          <w:lang w:eastAsia="en-ZA"/>
        </w:rPr>
        <w:t>SD</w:t>
      </w:r>
      <w:r w:rsidR="00F055CD">
        <w:rPr>
          <w:b/>
          <w:bCs/>
          <w:lang w:eastAsia="en-ZA"/>
        </w:rPr>
        <w:t>P</w:t>
      </w:r>
      <w:r w:rsidRPr="00D32024">
        <w:rPr>
          <w:b/>
          <w:bCs/>
          <w:lang w:eastAsia="en-ZA"/>
        </w:rPr>
        <w:t>C</w:t>
      </w:r>
      <w:r w:rsidRPr="00DD63CE">
        <w:rPr>
          <w:lang w:eastAsia="en-ZA"/>
        </w:rPr>
        <w:t xml:space="preserve"> – </w:t>
      </w:r>
      <w:r w:rsidR="009B5392" w:rsidRPr="00DD63CE">
        <w:rPr>
          <w:lang w:eastAsia="en-ZA"/>
        </w:rPr>
        <w:t>Self-Declar</w:t>
      </w:r>
      <w:r w:rsidR="00124659">
        <w:rPr>
          <w:lang w:eastAsia="en-ZA"/>
        </w:rPr>
        <w:t>ation</w:t>
      </w:r>
      <w:r w:rsidRPr="00DD63CE">
        <w:rPr>
          <w:lang w:eastAsia="en-ZA"/>
        </w:rPr>
        <w:t xml:space="preserve"> </w:t>
      </w:r>
      <w:r w:rsidR="00F055CD">
        <w:rPr>
          <w:lang w:eastAsia="en-ZA"/>
        </w:rPr>
        <w:t xml:space="preserve">of Product </w:t>
      </w:r>
      <w:r w:rsidRPr="00DD63CE">
        <w:rPr>
          <w:lang w:eastAsia="en-ZA"/>
        </w:rPr>
        <w:t>Compliance</w:t>
      </w:r>
    </w:p>
    <w:p w14:paraId="1801F3FF" w14:textId="635D2F8F" w:rsidR="00EB58DA" w:rsidRDefault="00FC558A">
      <w:pPr>
        <w:pStyle w:val="ListNumber"/>
        <w:numPr>
          <w:ilvl w:val="0"/>
          <w:numId w:val="9"/>
        </w:numPr>
        <w:rPr>
          <w:lang w:eastAsia="en-ZA"/>
        </w:rPr>
      </w:pPr>
      <w:r w:rsidRPr="00FC558A">
        <w:rPr>
          <w:b/>
          <w:lang w:eastAsia="en-ZA"/>
        </w:rPr>
        <w:t>PTC</w:t>
      </w:r>
      <w:r w:rsidR="00EB58DA">
        <w:rPr>
          <w:lang w:eastAsia="en-ZA"/>
        </w:rPr>
        <w:t xml:space="preserve"> – </w:t>
      </w:r>
      <w:r w:rsidR="00EB58DA">
        <w:t>Pairings and Tie-Break Checker</w:t>
      </w:r>
    </w:p>
    <w:p w14:paraId="19416C4F" w14:textId="08115A4D" w:rsidR="00EB58DA" w:rsidRPr="00DD63CE" w:rsidRDefault="00FC558A">
      <w:pPr>
        <w:pStyle w:val="ListNumber"/>
        <w:numPr>
          <w:ilvl w:val="0"/>
          <w:numId w:val="9"/>
        </w:numPr>
        <w:rPr>
          <w:lang w:eastAsia="en-ZA"/>
        </w:rPr>
      </w:pPr>
      <w:r w:rsidRPr="00FC558A">
        <w:rPr>
          <w:b/>
          <w:lang w:eastAsia="en-ZA"/>
        </w:rPr>
        <w:t>RTG</w:t>
      </w:r>
      <w:r w:rsidR="00EB58DA">
        <w:rPr>
          <w:lang w:eastAsia="en-ZA"/>
        </w:rPr>
        <w:t xml:space="preserve"> - Random Tournament Generator</w:t>
      </w:r>
    </w:p>
    <w:p w14:paraId="44DA9BF1" w14:textId="741C7742" w:rsidR="00045C0C" w:rsidRPr="00DD63CE" w:rsidRDefault="00E81287">
      <w:pPr>
        <w:pStyle w:val="ListNumber"/>
        <w:numPr>
          <w:ilvl w:val="0"/>
          <w:numId w:val="9"/>
        </w:numPr>
        <w:rPr>
          <w:lang w:eastAsia="en-ZA"/>
        </w:rPr>
      </w:pPr>
      <w:r w:rsidRPr="00E81287">
        <w:rPr>
          <w:b/>
          <w:lang w:eastAsia="en-ZA"/>
        </w:rPr>
        <w:t>VCL</w:t>
      </w:r>
      <w:r w:rsidR="00045C0C" w:rsidRPr="00DD63CE">
        <w:rPr>
          <w:lang w:eastAsia="en-ZA"/>
        </w:rPr>
        <w:t xml:space="preserve"> </w:t>
      </w:r>
      <w:r w:rsidR="007021BD" w:rsidRPr="00DD63CE">
        <w:rPr>
          <w:lang w:eastAsia="en-ZA"/>
        </w:rPr>
        <w:t>–</w:t>
      </w:r>
      <w:r w:rsidR="00045C0C" w:rsidRPr="00DD63CE">
        <w:rPr>
          <w:lang w:eastAsia="en-ZA"/>
        </w:rPr>
        <w:t xml:space="preserve"> Verification Checklist</w:t>
      </w:r>
    </w:p>
    <w:p w14:paraId="2D73DEDE" w14:textId="1C57C718" w:rsidR="003D0431" w:rsidRDefault="008E41C9">
      <w:pPr>
        <w:pStyle w:val="ListNumber"/>
        <w:numPr>
          <w:ilvl w:val="0"/>
          <w:numId w:val="9"/>
        </w:numPr>
        <w:rPr>
          <w:lang w:eastAsia="en-ZA"/>
        </w:rPr>
      </w:pPr>
      <w:r w:rsidRPr="00D32024">
        <w:rPr>
          <w:b/>
          <w:bCs/>
          <w:lang w:eastAsia="en-ZA"/>
        </w:rPr>
        <w:t>TEC</w:t>
      </w:r>
      <w:r w:rsidRPr="00DD63CE">
        <w:rPr>
          <w:lang w:eastAsia="en-ZA"/>
        </w:rPr>
        <w:t xml:space="preserve"> -</w:t>
      </w:r>
      <w:r w:rsidR="003D0431" w:rsidRPr="00DD63CE">
        <w:t xml:space="preserve"> FIDE Technical Commission</w:t>
      </w:r>
    </w:p>
    <w:p w14:paraId="1145ABCF" w14:textId="017AA217" w:rsidR="00EB58DA" w:rsidRDefault="00EB58DA">
      <w:pPr>
        <w:pStyle w:val="ListNumber"/>
        <w:numPr>
          <w:ilvl w:val="0"/>
          <w:numId w:val="9"/>
        </w:numPr>
        <w:rPr>
          <w:lang w:eastAsia="en-ZA"/>
        </w:rPr>
      </w:pPr>
      <w:r w:rsidRPr="00D32024">
        <w:rPr>
          <w:b/>
          <w:bCs/>
        </w:rPr>
        <w:t>THP</w:t>
      </w:r>
      <w:r>
        <w:t xml:space="preserve"> – Tournament Handler Program</w:t>
      </w:r>
    </w:p>
    <w:p w14:paraId="3709CCBA" w14:textId="77777777" w:rsidR="00EB58DA" w:rsidRPr="00DD63CE" w:rsidRDefault="00EB58DA">
      <w:pPr>
        <w:pStyle w:val="ListNumber"/>
        <w:numPr>
          <w:ilvl w:val="0"/>
          <w:numId w:val="9"/>
        </w:numPr>
        <w:rPr>
          <w:lang w:eastAsia="en-ZA"/>
        </w:rPr>
      </w:pPr>
      <w:r w:rsidRPr="00D32024">
        <w:rPr>
          <w:b/>
          <w:bCs/>
          <w:lang w:eastAsia="en-ZA"/>
        </w:rPr>
        <w:t>TP</w:t>
      </w:r>
      <w:r w:rsidRPr="00DD63CE">
        <w:rPr>
          <w:lang w:eastAsia="en-ZA"/>
        </w:rPr>
        <w:t xml:space="preserve"> - Transition Period</w:t>
      </w:r>
    </w:p>
    <w:p w14:paraId="4D547E06" w14:textId="0BC54D54" w:rsidR="00EB58DA" w:rsidRPr="00DD63CE" w:rsidRDefault="00EB58DA">
      <w:pPr>
        <w:pStyle w:val="ListNumber"/>
        <w:numPr>
          <w:ilvl w:val="0"/>
          <w:numId w:val="9"/>
        </w:numPr>
        <w:rPr>
          <w:lang w:eastAsia="en-ZA"/>
        </w:rPr>
      </w:pPr>
      <w:r w:rsidRPr="00D32024">
        <w:rPr>
          <w:b/>
          <w:bCs/>
          <w:lang w:eastAsia="en-ZA"/>
        </w:rPr>
        <w:t>TRF</w:t>
      </w:r>
      <w:r>
        <w:rPr>
          <w:lang w:eastAsia="en-ZA"/>
        </w:rPr>
        <w:t xml:space="preserve"> - Tournament Report Fil</w:t>
      </w:r>
      <w:r w:rsidR="009B6553">
        <w:rPr>
          <w:lang w:eastAsia="en-ZA"/>
        </w:rPr>
        <w:t>e</w:t>
      </w:r>
    </w:p>
    <w:p w14:paraId="6CF8ED9B" w14:textId="77777972" w:rsidR="00621AD5" w:rsidRPr="00DD63CE" w:rsidRDefault="00A6437D" w:rsidP="00621AD5">
      <w:pPr>
        <w:pStyle w:val="Heading1"/>
      </w:pPr>
      <w:bookmarkStart w:id="15" w:name="_Toc197462293"/>
      <w:bookmarkStart w:id="16" w:name="_Toc213159585"/>
      <w:r w:rsidRPr="00DD63CE">
        <w:lastRenderedPageBreak/>
        <w:t>Applications</w:t>
      </w:r>
      <w:bookmarkEnd w:id="15"/>
      <w:bookmarkEnd w:id="16"/>
    </w:p>
    <w:p w14:paraId="1F062441" w14:textId="78BA3B5A" w:rsidR="00DC61C9" w:rsidRPr="00DD63CE" w:rsidRDefault="00DC61C9" w:rsidP="00717252">
      <w:pPr>
        <w:pStyle w:val="Heading2"/>
      </w:pPr>
      <w:bookmarkStart w:id="17" w:name="_Ref184738962"/>
      <w:bookmarkStart w:id="18" w:name="_Toc197462294"/>
      <w:bookmarkStart w:id="19" w:name="_Toc213159586"/>
      <w:r w:rsidRPr="00DD63CE">
        <w:t>Register as a Manufacturer or Vendor</w:t>
      </w:r>
      <w:bookmarkEnd w:id="17"/>
      <w:bookmarkEnd w:id="18"/>
      <w:bookmarkEnd w:id="19"/>
    </w:p>
    <w:p w14:paraId="0B90C5AF" w14:textId="77777777" w:rsidR="00FF545D" w:rsidRPr="00DD63CE" w:rsidRDefault="00FF545D" w:rsidP="00FF545D">
      <w:pPr>
        <w:pStyle w:val="Heading3"/>
      </w:pPr>
      <w:r w:rsidRPr="00DD63CE">
        <w:t>Process Steps:</w:t>
      </w:r>
    </w:p>
    <w:p w14:paraId="4BFC77C1" w14:textId="72DB32D9" w:rsidR="00FF545D" w:rsidRPr="00DD63CE" w:rsidRDefault="00FF545D" w:rsidP="00FF545D">
      <w:pPr>
        <w:pStyle w:val="Heading4"/>
      </w:pPr>
      <w:r w:rsidRPr="00DD63CE">
        <w:t>If you have not previously registered, fill out the online registration form available at</w:t>
      </w:r>
      <w:r w:rsidR="00B8678C">
        <w:t xml:space="preserve"> </w:t>
      </w:r>
      <w:r w:rsidR="00242835" w:rsidRPr="00242835">
        <w:t xml:space="preserve">[TEC Online </w:t>
      </w:r>
      <w:proofErr w:type="gramStart"/>
      <w:r w:rsidR="00242835" w:rsidRPr="00242835">
        <w:t>Forms](</w:t>
      </w:r>
      <w:proofErr w:type="gramEnd"/>
      <w:r w:rsidR="00242835" w:rsidRPr="00242835">
        <w:t>https://www.cognitoforms.com/FIDE/TECMenu)</w:t>
      </w:r>
      <w:r w:rsidRPr="00DD63CE">
        <w:t>.</w:t>
      </w:r>
    </w:p>
    <w:p w14:paraId="2F8B1542" w14:textId="77777777" w:rsidR="00FF545D" w:rsidRPr="00DD63CE" w:rsidRDefault="00FF545D" w:rsidP="00FF545D">
      <w:pPr>
        <w:pStyle w:val="Heading4"/>
      </w:pPr>
      <w:r w:rsidRPr="00DD63CE">
        <w:t>After completing the form, click “Submit.”</w:t>
      </w:r>
    </w:p>
    <w:p w14:paraId="05BB5F45" w14:textId="2DE336CD" w:rsidR="00FF545D" w:rsidRPr="00DD63CE" w:rsidRDefault="00FF545D" w:rsidP="00FF545D">
      <w:pPr>
        <w:pStyle w:val="Heading4"/>
      </w:pPr>
      <w:r w:rsidRPr="00DD63CE">
        <w:t xml:space="preserve">Verify that you receive an </w:t>
      </w:r>
      <w:r w:rsidR="00023E44" w:rsidRPr="00DD63CE">
        <w:t>email</w:t>
      </w:r>
      <w:r w:rsidRPr="00DD63CE">
        <w:t xml:space="preserve"> confirming your registration.</w:t>
      </w:r>
    </w:p>
    <w:p w14:paraId="004288D3" w14:textId="77777777" w:rsidR="00FF545D" w:rsidRPr="00DD63CE" w:rsidRDefault="00FF545D" w:rsidP="00FF545D">
      <w:pPr>
        <w:pStyle w:val="Heading4"/>
      </w:pPr>
      <w:r w:rsidRPr="00DD63CE">
        <w:t>Retain this confirmation email, as it may be required should you need to update your details in the future.</w:t>
      </w:r>
    </w:p>
    <w:p w14:paraId="358C9A69" w14:textId="734410FE" w:rsidR="007D44D3" w:rsidRPr="00DD63CE" w:rsidRDefault="00242411" w:rsidP="00717252">
      <w:pPr>
        <w:pStyle w:val="Heading2"/>
      </w:pPr>
      <w:bookmarkStart w:id="20" w:name="_Toc197462295"/>
      <w:bookmarkStart w:id="21" w:name="_Toc213159587"/>
      <w:r w:rsidRPr="00DD63CE">
        <w:t>“</w:t>
      </w:r>
      <w:r w:rsidR="007B4A98">
        <w:rPr>
          <w:bCs/>
          <w:lang w:eastAsia="en-ZA"/>
        </w:rPr>
        <w:t>Self-Declaration of Product Compliance</w:t>
      </w:r>
      <w:r w:rsidR="00CF5CCF" w:rsidRPr="00DD63CE">
        <w:t>”</w:t>
      </w:r>
      <w:r w:rsidRPr="00DD63CE">
        <w:t>, “</w:t>
      </w:r>
      <w:r w:rsidR="00C06713">
        <w:rPr>
          <w:bCs/>
          <w:lang w:eastAsia="en-ZA"/>
        </w:rPr>
        <w:t>Technical Acceptance of Product Compliance</w:t>
      </w:r>
      <w:r w:rsidRPr="00DD63CE">
        <w:t>” or “</w:t>
      </w:r>
      <w:r w:rsidR="001C5C71">
        <w:t xml:space="preserve">FIDE </w:t>
      </w:r>
      <w:r w:rsidRPr="00DD63CE">
        <w:t>Endorsement</w:t>
      </w:r>
      <w:r w:rsidR="001C5C71" w:rsidRPr="00DD63CE" w:rsidDel="001C5C71">
        <w:t xml:space="preserve"> </w:t>
      </w:r>
      <w:bookmarkEnd w:id="20"/>
      <w:r w:rsidR="001C5C71">
        <w:t xml:space="preserve">of </w:t>
      </w:r>
      <w:proofErr w:type="spellStart"/>
      <w:r w:rsidR="00CF6FFD">
        <w:t>Acc</w:t>
      </w:r>
      <w:r w:rsidR="00124659">
        <w:t>e</w:t>
      </w:r>
      <w:r w:rsidR="00CF6FFD">
        <w:t>peted</w:t>
      </w:r>
      <w:proofErr w:type="spellEnd"/>
      <w:r w:rsidR="001C5C71">
        <w:t xml:space="preserve"> Product</w:t>
      </w:r>
      <w:bookmarkEnd w:id="21"/>
    </w:p>
    <w:p w14:paraId="54F0CFDC" w14:textId="456334BD" w:rsidR="00852848" w:rsidRPr="00DD63CE" w:rsidRDefault="00852848" w:rsidP="007D44D3">
      <w:pPr>
        <w:pStyle w:val="Heading3"/>
      </w:pPr>
      <w:r w:rsidRPr="00DD63CE">
        <w:t>Steps</w:t>
      </w:r>
    </w:p>
    <w:p w14:paraId="0B6F5B1B" w14:textId="4207244B" w:rsidR="00DC61C9" w:rsidRPr="00DD63CE" w:rsidRDefault="00147719" w:rsidP="00852848">
      <w:pPr>
        <w:pStyle w:val="Heading4"/>
      </w:pPr>
      <w:r w:rsidRPr="00DD63CE">
        <w:t xml:space="preserve">Complete process </w:t>
      </w:r>
      <w:r w:rsidR="00FF545D" w:rsidRPr="00DD63CE">
        <w:t>as in</w:t>
      </w:r>
      <w:r w:rsidRPr="00DD63CE">
        <w:t xml:space="preserve"> </w:t>
      </w:r>
      <w:r w:rsidRPr="00DD63CE">
        <w:fldChar w:fldCharType="begin"/>
      </w:r>
      <w:r w:rsidRPr="00DD63CE">
        <w:instrText xml:space="preserve"> REF _Ref184738962 \n \h </w:instrText>
      </w:r>
      <w:r w:rsidRPr="00DD63CE">
        <w:fldChar w:fldCharType="separate"/>
      </w:r>
      <w:r w:rsidR="00045C0C" w:rsidRPr="00DD63CE">
        <w:t>2.1</w:t>
      </w:r>
      <w:r w:rsidRPr="00DD63CE">
        <w:fldChar w:fldCharType="end"/>
      </w:r>
      <w:r w:rsidRPr="00DD63CE">
        <w:t>.</w:t>
      </w:r>
    </w:p>
    <w:p w14:paraId="0E200306" w14:textId="6274F7A8" w:rsidR="00C46D92" w:rsidRPr="00DD63CE" w:rsidRDefault="00C46D92" w:rsidP="00852848">
      <w:pPr>
        <w:pStyle w:val="Heading4"/>
      </w:pPr>
      <w:r w:rsidRPr="00DD63CE">
        <w:t xml:space="preserve">Go to </w:t>
      </w:r>
      <w:r w:rsidR="00242835" w:rsidRPr="00242835">
        <w:t xml:space="preserve">[TEC Online </w:t>
      </w:r>
      <w:proofErr w:type="gramStart"/>
      <w:r w:rsidR="00242835" w:rsidRPr="00242835">
        <w:t>Forms](</w:t>
      </w:r>
      <w:proofErr w:type="gramEnd"/>
      <w:r w:rsidR="00242835" w:rsidRPr="00242835">
        <w:t>https://www.cognitoforms.com/FIDE/TECMenu)</w:t>
      </w:r>
    </w:p>
    <w:p w14:paraId="20F10179" w14:textId="0AB0D5E5" w:rsidR="00C46D92" w:rsidRPr="00DD63CE" w:rsidRDefault="00C46D92" w:rsidP="00852848">
      <w:pPr>
        <w:pStyle w:val="Heading4"/>
      </w:pPr>
      <w:r w:rsidRPr="00DD63CE">
        <w:t>Select “Applications”</w:t>
      </w:r>
    </w:p>
    <w:p w14:paraId="5360FD7D" w14:textId="694091A4" w:rsidR="00C46D92" w:rsidRPr="00DD63CE" w:rsidRDefault="00C46D92" w:rsidP="00852848">
      <w:pPr>
        <w:pStyle w:val="Heading4"/>
      </w:pPr>
      <w:r w:rsidRPr="00DD63CE">
        <w:t xml:space="preserve">Select </w:t>
      </w:r>
      <w:r w:rsidR="00242411" w:rsidRPr="00DD63CE">
        <w:t>the type of application you wish to complete.</w:t>
      </w:r>
    </w:p>
    <w:p w14:paraId="11A34A0A" w14:textId="64BD0F40" w:rsidR="00C46D92" w:rsidRPr="00DD63CE" w:rsidRDefault="00C46D92" w:rsidP="00852848">
      <w:pPr>
        <w:pStyle w:val="Heading4"/>
      </w:pPr>
      <w:r w:rsidRPr="00DD63CE">
        <w:t>Select the equipment</w:t>
      </w:r>
      <w:r w:rsidR="00124659">
        <w:t xml:space="preserve"> for</w:t>
      </w:r>
      <w:r w:rsidRPr="00DD63CE">
        <w:t xml:space="preserve"> </w:t>
      </w:r>
      <w:r w:rsidR="00B053A2">
        <w:t xml:space="preserve">which you </w:t>
      </w:r>
      <w:r w:rsidRPr="00DD63CE">
        <w:t>want to complete the application.</w:t>
      </w:r>
    </w:p>
    <w:p w14:paraId="17739C44" w14:textId="48450A72" w:rsidR="00852848" w:rsidRPr="00DD63CE" w:rsidRDefault="00C46D92" w:rsidP="00242411">
      <w:pPr>
        <w:pStyle w:val="Heading4"/>
      </w:pPr>
      <w:r w:rsidRPr="00DD63CE">
        <w:t xml:space="preserve">Complete the </w:t>
      </w:r>
      <w:r w:rsidR="00242411" w:rsidRPr="00DD63CE">
        <w:t xml:space="preserve">online </w:t>
      </w:r>
      <w:r w:rsidRPr="00DD63CE">
        <w:t>application</w:t>
      </w:r>
      <w:r w:rsidR="00B92373" w:rsidRPr="00DD63CE">
        <w:t>.</w:t>
      </w:r>
    </w:p>
    <w:p w14:paraId="6A24C9E2" w14:textId="701F98D6" w:rsidR="00824232" w:rsidRPr="00DD63CE" w:rsidRDefault="00824232" w:rsidP="00242411">
      <w:pPr>
        <w:pStyle w:val="Heading4"/>
      </w:pPr>
      <w:r w:rsidRPr="00DD63CE">
        <w:t>Make sure you get confirmation from the system.</w:t>
      </w:r>
      <w:r w:rsidR="009E271F">
        <w:t xml:space="preserve"> </w:t>
      </w:r>
      <w:r w:rsidRPr="00DD63CE">
        <w:t xml:space="preserve">If you do not get a </w:t>
      </w:r>
      <w:r w:rsidR="008E41C9" w:rsidRPr="00DD63CE">
        <w:t>confirmation,</w:t>
      </w:r>
      <w:r w:rsidRPr="00DD63CE">
        <w:t xml:space="preserve"> contact secretary.tec@fide.com</w:t>
      </w:r>
    </w:p>
    <w:p w14:paraId="1089DB04" w14:textId="63732F77" w:rsidR="007D44D3" w:rsidRPr="00DD63CE" w:rsidRDefault="007D44D3" w:rsidP="007D44D3">
      <w:pPr>
        <w:pStyle w:val="Heading3"/>
      </w:pPr>
      <w:r w:rsidRPr="00DD63CE">
        <w:t>Notes</w:t>
      </w:r>
    </w:p>
    <w:p w14:paraId="5BCA19DE" w14:textId="4FC6A90E" w:rsidR="003B7993" w:rsidRPr="00DD63CE" w:rsidRDefault="00A6437D" w:rsidP="007D44D3">
      <w:pPr>
        <w:pStyle w:val="Heading4"/>
      </w:pPr>
      <w:r w:rsidRPr="00DD63CE">
        <w:t>Once an application is processed it will be locked</w:t>
      </w:r>
      <w:r w:rsidR="003B7993" w:rsidRPr="00DD63CE">
        <w:t xml:space="preserve"> to prevent changes to the application</w:t>
      </w:r>
      <w:r w:rsidRPr="00DD63CE">
        <w:t>.</w:t>
      </w:r>
    </w:p>
    <w:p w14:paraId="67F11FE5" w14:textId="4EFA8E25" w:rsidR="00A6437D" w:rsidRPr="00DD63CE" w:rsidRDefault="00A6437D" w:rsidP="007D44D3">
      <w:pPr>
        <w:pStyle w:val="Heading4"/>
      </w:pPr>
      <w:r w:rsidRPr="00DD63CE">
        <w:t>Follow the “Unlock Application to Revise” process</w:t>
      </w:r>
      <w:r w:rsidR="003B7993" w:rsidRPr="00DD63CE">
        <w:t xml:space="preserve"> if you want to amend the application</w:t>
      </w:r>
      <w:r w:rsidRPr="00DD63CE">
        <w:t xml:space="preserve">. </w:t>
      </w:r>
      <w:r w:rsidR="003B7993" w:rsidRPr="00DD63CE">
        <w:t>This will cause the application to be evaluated from the start.</w:t>
      </w:r>
    </w:p>
    <w:p w14:paraId="5E82311A" w14:textId="77777777" w:rsidR="00A6437D" w:rsidRPr="00DD63CE" w:rsidRDefault="00A6437D" w:rsidP="00A6437D">
      <w:pPr>
        <w:pStyle w:val="Heading2"/>
      </w:pPr>
      <w:bookmarkStart w:id="22" w:name="_Toc197462296"/>
      <w:bookmarkStart w:id="23" w:name="_Toc213159588"/>
      <w:r w:rsidRPr="00DD63CE">
        <w:t xml:space="preserve">Unlock an </w:t>
      </w:r>
      <w:proofErr w:type="gramStart"/>
      <w:r w:rsidRPr="00DD63CE">
        <w:t>Application</w:t>
      </w:r>
      <w:proofErr w:type="gramEnd"/>
      <w:r w:rsidRPr="00DD63CE">
        <w:t xml:space="preserve"> to Revise</w:t>
      </w:r>
      <w:bookmarkEnd w:id="22"/>
      <w:bookmarkEnd w:id="23"/>
    </w:p>
    <w:p w14:paraId="0C2ED666" w14:textId="0A7313DD" w:rsidR="00A6437D" w:rsidRPr="00DD63CE" w:rsidRDefault="00B632A0" w:rsidP="00E77AB1">
      <w:pPr>
        <w:pStyle w:val="Heading3"/>
      </w:pPr>
      <w:r w:rsidRPr="00DD63CE">
        <w:t>Steps (not implemented)</w:t>
      </w:r>
    </w:p>
    <w:p w14:paraId="300E71C3" w14:textId="6029638E" w:rsidR="00B632A0" w:rsidRPr="00DD63CE" w:rsidRDefault="00B632A0" w:rsidP="00B632A0">
      <w:pPr>
        <w:pStyle w:val="Heading4"/>
      </w:pPr>
      <w:r w:rsidRPr="00DD63CE">
        <w:t>Access the original email acknowledgement sent to the applicant.</w:t>
      </w:r>
    </w:p>
    <w:p w14:paraId="0FAB45CD" w14:textId="4C7AE3E1" w:rsidR="00B632A0" w:rsidRPr="00DD63CE" w:rsidRDefault="00B632A0" w:rsidP="00B632A0">
      <w:pPr>
        <w:pStyle w:val="Heading4"/>
      </w:pPr>
      <w:r w:rsidRPr="00DD63CE">
        <w:t>Click on the link to update the information.</w:t>
      </w:r>
    </w:p>
    <w:p w14:paraId="566F2829" w14:textId="7C91D1B8" w:rsidR="00B632A0" w:rsidRPr="00DD63CE" w:rsidRDefault="00B632A0" w:rsidP="00B632A0">
      <w:pPr>
        <w:pStyle w:val="Heading4"/>
      </w:pPr>
      <w:r w:rsidRPr="00DD63CE">
        <w:t>Follow the process to update the application.</w:t>
      </w:r>
    </w:p>
    <w:p w14:paraId="35C030CC" w14:textId="6C745B37" w:rsidR="00A6437D" w:rsidRPr="00DD63CE" w:rsidRDefault="00A6437D" w:rsidP="00A6437D">
      <w:pPr>
        <w:pStyle w:val="Heading1"/>
      </w:pPr>
      <w:bookmarkStart w:id="24" w:name="_Toc197462297"/>
      <w:bookmarkStart w:id="25" w:name="_Toc213159589"/>
      <w:r w:rsidRPr="00DD63CE">
        <w:lastRenderedPageBreak/>
        <w:t>Processes and Notes to Processes</w:t>
      </w:r>
      <w:bookmarkEnd w:id="24"/>
      <w:bookmarkEnd w:id="25"/>
    </w:p>
    <w:p w14:paraId="0C6A372C" w14:textId="3A94D756" w:rsidR="00A6437D" w:rsidRPr="00DD63CE" w:rsidRDefault="00A6437D" w:rsidP="00A6437D">
      <w:pPr>
        <w:pStyle w:val="Body0"/>
      </w:pPr>
      <w:r w:rsidRPr="00DD63CE">
        <w:t>The processes and notes below are complementary to the FIDE Handbook.</w:t>
      </w:r>
    </w:p>
    <w:p w14:paraId="641A4093" w14:textId="288D18A7" w:rsidR="00A6437D" w:rsidRPr="00DD63CE" w:rsidRDefault="00B503C4" w:rsidP="00E037D9">
      <w:pPr>
        <w:pStyle w:val="Heading2"/>
      </w:pPr>
      <w:bookmarkStart w:id="26" w:name="_Toc197462298"/>
      <w:bookmarkStart w:id="27" w:name="_Toc213159590"/>
      <w:r w:rsidRPr="00DD63CE">
        <w:t>Self-Declar</w:t>
      </w:r>
      <w:r w:rsidR="00F65E50">
        <w:t>ation</w:t>
      </w:r>
      <w:r w:rsidR="00A6437D" w:rsidRPr="00DD63CE">
        <w:t xml:space="preserve"> </w:t>
      </w:r>
      <w:r w:rsidR="001C5C71">
        <w:t xml:space="preserve">of Product </w:t>
      </w:r>
      <w:r w:rsidR="00A6437D" w:rsidRPr="00DD63CE">
        <w:t>Compliance</w:t>
      </w:r>
      <w:r w:rsidR="00C27D7A" w:rsidRPr="00DD63CE">
        <w:t xml:space="preserve"> (</w:t>
      </w:r>
      <w:r w:rsidRPr="00DD63CE">
        <w:t>S</w:t>
      </w:r>
      <w:r w:rsidR="00C27D7A" w:rsidRPr="00DD63CE">
        <w:t>D</w:t>
      </w:r>
      <w:r w:rsidR="001C5C71">
        <w:t>P</w:t>
      </w:r>
      <w:r w:rsidR="00C27D7A" w:rsidRPr="00DD63CE">
        <w:t>C)</w:t>
      </w:r>
      <w:bookmarkEnd w:id="26"/>
      <w:bookmarkEnd w:id="27"/>
    </w:p>
    <w:p w14:paraId="42C41E12" w14:textId="4388AD8B" w:rsidR="00A6437D" w:rsidRPr="00DD63CE" w:rsidRDefault="00A6437D" w:rsidP="00BD7AFC">
      <w:pPr>
        <w:pStyle w:val="Heading3"/>
      </w:pPr>
      <w:r w:rsidRPr="00DD63CE">
        <w:t xml:space="preserve">The applicant must complete the necessary online </w:t>
      </w:r>
      <w:r w:rsidR="00BD7AFC" w:rsidRPr="00DD63CE">
        <w:t>application.</w:t>
      </w:r>
      <w:r w:rsidR="0058586D" w:rsidRPr="00DD63CE">
        <w:t xml:space="preserve"> First, register as a manufacturer</w:t>
      </w:r>
      <w:r w:rsidR="00DD63CE" w:rsidRPr="00DD63CE">
        <w:t xml:space="preserve">, </w:t>
      </w:r>
      <w:r w:rsidR="0058586D" w:rsidRPr="00DD63CE">
        <w:t>organ</w:t>
      </w:r>
      <w:r w:rsidR="006B3D8B" w:rsidRPr="00DD63CE">
        <w:t>ise</w:t>
      </w:r>
      <w:r w:rsidR="0058586D" w:rsidRPr="00DD63CE">
        <w:t xml:space="preserve">r </w:t>
      </w:r>
      <w:r w:rsidR="00DD63CE" w:rsidRPr="00DD63CE">
        <w:t>or owner</w:t>
      </w:r>
      <w:r w:rsidR="00DD63CE">
        <w:t xml:space="preserve"> </w:t>
      </w:r>
      <w:r w:rsidR="0058586D" w:rsidRPr="00DD63CE">
        <w:t xml:space="preserve">and then </w:t>
      </w:r>
      <w:r w:rsidR="00CA2CB6" w:rsidRPr="00DD63CE">
        <w:t xml:space="preserve">complete the </w:t>
      </w:r>
      <w:r w:rsidR="005E378F">
        <w:rPr>
          <w:b/>
          <w:bCs/>
          <w:lang w:eastAsia="en-ZA"/>
        </w:rPr>
        <w:t>SDPC</w:t>
      </w:r>
      <w:r w:rsidR="00DD63CE" w:rsidRPr="00DD63CE">
        <w:rPr>
          <w:lang w:eastAsia="en-ZA"/>
        </w:rPr>
        <w:t xml:space="preserve"> form</w:t>
      </w:r>
      <w:r w:rsidR="00C27D7A" w:rsidRPr="00DD63CE">
        <w:rPr>
          <w:lang w:eastAsia="en-ZA"/>
        </w:rPr>
        <w:t xml:space="preserve"> </w:t>
      </w:r>
      <w:r w:rsidR="00242835" w:rsidRPr="00242835">
        <w:rPr>
          <w:lang w:eastAsia="en-ZA"/>
        </w:rPr>
        <w:t xml:space="preserve">[TEC Online </w:t>
      </w:r>
      <w:proofErr w:type="gramStart"/>
      <w:r w:rsidR="00242835" w:rsidRPr="00242835">
        <w:rPr>
          <w:lang w:eastAsia="en-ZA"/>
        </w:rPr>
        <w:t>Forms](</w:t>
      </w:r>
      <w:proofErr w:type="gramEnd"/>
      <w:r w:rsidR="00242835" w:rsidRPr="00242835">
        <w:rPr>
          <w:lang w:eastAsia="en-ZA"/>
        </w:rPr>
        <w:t>https://www.cognitoforms.com/FIDE/TECMenu)</w:t>
      </w:r>
      <w:r w:rsidR="0058586D" w:rsidRPr="00DD63CE">
        <w:t>.</w:t>
      </w:r>
    </w:p>
    <w:p w14:paraId="6F6C4F91" w14:textId="6D02D500" w:rsidR="00A6437D" w:rsidRPr="00DD63CE" w:rsidRDefault="00A6437D" w:rsidP="00BD7AFC">
      <w:pPr>
        <w:pStyle w:val="Heading3"/>
      </w:pPr>
      <w:r w:rsidRPr="005B428E">
        <w:t xml:space="preserve">If the </w:t>
      </w:r>
      <w:r w:rsidR="00EF6998" w:rsidRPr="005B428E">
        <w:t xml:space="preserve">equipment </w:t>
      </w:r>
      <w:r w:rsidR="00C27D7A" w:rsidRPr="005B428E">
        <w:t>meets</w:t>
      </w:r>
      <w:r w:rsidR="00EF6998" w:rsidRPr="005B428E">
        <w:t xml:space="preserve"> the required </w:t>
      </w:r>
      <w:r w:rsidRPr="005B428E">
        <w:t>conditions, a</w:t>
      </w:r>
      <w:r w:rsidR="00040559" w:rsidRPr="005B428E">
        <w:t>n</w:t>
      </w:r>
      <w:r w:rsidRPr="005B428E">
        <w:t xml:space="preserve"> </w:t>
      </w:r>
      <w:r w:rsidR="00040559" w:rsidRPr="005B428E">
        <w:t>acknowledgement of the</w:t>
      </w:r>
      <w:r w:rsidR="009E271F">
        <w:t xml:space="preserve"> </w:t>
      </w:r>
      <w:r w:rsidR="005E378F">
        <w:rPr>
          <w:b/>
        </w:rPr>
        <w:t>SDPC</w:t>
      </w:r>
      <w:r w:rsidR="00040559" w:rsidRPr="005B428E">
        <w:t xml:space="preserve"> </w:t>
      </w:r>
      <w:r w:rsidRPr="005B428E">
        <w:t>will be issued to the applicant.</w:t>
      </w:r>
      <w:r w:rsidRPr="00DD63CE">
        <w:t xml:space="preserve"> </w:t>
      </w:r>
      <w:r w:rsidR="00657A99">
        <w:t>Normally</w:t>
      </w:r>
      <w:r w:rsidRPr="00DD63CE">
        <w:t xml:space="preserve"> the </w:t>
      </w:r>
      <w:r w:rsidR="00E72C16">
        <w:t>declaration of acceptance</w:t>
      </w:r>
      <w:r w:rsidRPr="00DD63CE">
        <w:t xml:space="preserve"> will be automatically generated</w:t>
      </w:r>
      <w:r w:rsidR="00657A99">
        <w:t>, but in certain cases TEC reserves the right to add an approval step</w:t>
      </w:r>
      <w:r w:rsidRPr="00DD63CE">
        <w:t>.</w:t>
      </w:r>
    </w:p>
    <w:p w14:paraId="55D83B28" w14:textId="6FDC87E5" w:rsidR="00A6437D" w:rsidRPr="00DD63CE" w:rsidRDefault="00A6437D" w:rsidP="00BD7AFC">
      <w:pPr>
        <w:pStyle w:val="Heading3"/>
      </w:pPr>
      <w:r w:rsidRPr="00DD63CE">
        <w:t xml:space="preserve">Once the applicant is in possession of the </w:t>
      </w:r>
      <w:r w:rsidR="005E378F">
        <w:rPr>
          <w:b/>
        </w:rPr>
        <w:t>SDPC</w:t>
      </w:r>
      <w:r w:rsidR="00C27D7A" w:rsidRPr="00DD63CE">
        <w:t xml:space="preserve"> document</w:t>
      </w:r>
      <w:r w:rsidRPr="00DD63CE">
        <w:t xml:space="preserve">, the equipment can be used in FIDE tournaments as stipulated in </w:t>
      </w:r>
      <w:r w:rsidR="00EF6998" w:rsidRPr="00F17253">
        <w:rPr>
          <w:b/>
          <w:bCs/>
        </w:rPr>
        <w:t>FIDE Handbook</w:t>
      </w:r>
      <w:r w:rsidR="00F17253" w:rsidRPr="00F17253">
        <w:rPr>
          <w:b/>
          <w:bCs/>
        </w:rPr>
        <w:t xml:space="preserve">, </w:t>
      </w:r>
      <w:bookmarkStart w:id="28" w:name="_Hlk184137175"/>
      <w:bookmarkStart w:id="29" w:name="_Hlk205894856"/>
      <w:r w:rsidR="00F17253" w:rsidRPr="00F17253">
        <w:rPr>
          <w:b/>
          <w:bCs/>
        </w:rPr>
        <w:t>General Regulations</w:t>
      </w:r>
      <w:bookmarkEnd w:id="28"/>
      <w:bookmarkEnd w:id="29"/>
      <w:r w:rsidR="00F17253">
        <w:rPr>
          <w:b/>
          <w:bCs/>
        </w:rPr>
        <w:t xml:space="preserve">, </w:t>
      </w:r>
      <w:r w:rsidR="00F17253" w:rsidRPr="00B15274">
        <w:rPr>
          <w:b/>
          <w:bCs/>
          <w:lang w:eastAsia="en-ZA"/>
        </w:rPr>
        <w:t>Usage of Equipment at Tournaments</w:t>
      </w:r>
      <w:r w:rsidR="00F17253" w:rsidRPr="00F17253">
        <w:rPr>
          <w:b/>
          <w:bCs/>
        </w:rPr>
        <w:t xml:space="preserve"> under General Rules and Technical Recommendations for Tournaments</w:t>
      </w:r>
      <w:r w:rsidR="00C27D7A" w:rsidRPr="00DD63CE">
        <w:t>.</w:t>
      </w:r>
    </w:p>
    <w:p w14:paraId="7B1DEAA3" w14:textId="036FED74" w:rsidR="00C27D7A" w:rsidRPr="00DD63CE" w:rsidRDefault="00C27D7A" w:rsidP="00BD7AFC">
      <w:pPr>
        <w:pStyle w:val="Heading3"/>
      </w:pPr>
      <w:r w:rsidRPr="00DD63CE">
        <w:t xml:space="preserve">All equipment covered by the </w:t>
      </w:r>
      <w:r w:rsidR="004C29F7" w:rsidRPr="005E378F">
        <w:rPr>
          <w:b/>
          <w:bCs/>
        </w:rPr>
        <w:t>S</w:t>
      </w:r>
      <w:r w:rsidRPr="005E378F">
        <w:rPr>
          <w:b/>
          <w:bCs/>
        </w:rPr>
        <w:t>D</w:t>
      </w:r>
      <w:r w:rsidR="004C29F7" w:rsidRPr="005E378F">
        <w:rPr>
          <w:b/>
          <w:bCs/>
        </w:rPr>
        <w:t>P</w:t>
      </w:r>
      <w:r w:rsidRPr="005E378F">
        <w:rPr>
          <w:b/>
          <w:bCs/>
        </w:rPr>
        <w:t>C</w:t>
      </w:r>
      <w:r w:rsidRPr="00DD63CE">
        <w:t xml:space="preserve"> must be marked with the declaration number.</w:t>
      </w:r>
    </w:p>
    <w:p w14:paraId="6F80FABF" w14:textId="4A39D861" w:rsidR="00C71F3C" w:rsidRPr="00DD63CE" w:rsidRDefault="00C06713" w:rsidP="00C71F3C">
      <w:pPr>
        <w:pStyle w:val="Heading2"/>
      </w:pPr>
      <w:bookmarkStart w:id="30" w:name="_Toc197462299"/>
      <w:bookmarkStart w:id="31" w:name="_Toc213159591"/>
      <w:r>
        <w:t>Technical Acceptance of Product Compliance</w:t>
      </w:r>
      <w:r w:rsidR="00C71F3C" w:rsidRPr="00DD63CE">
        <w:t xml:space="preserve"> (</w:t>
      </w:r>
      <w:r w:rsidR="0037326F">
        <w:t>TAPC</w:t>
      </w:r>
      <w:r w:rsidR="00C71F3C" w:rsidRPr="00DD63CE">
        <w:t>)</w:t>
      </w:r>
      <w:bookmarkEnd w:id="30"/>
      <w:bookmarkEnd w:id="31"/>
    </w:p>
    <w:p w14:paraId="42206227" w14:textId="045F48C5" w:rsidR="00C71F3C" w:rsidRPr="00DD63CE" w:rsidRDefault="008A760A" w:rsidP="00C71F3C">
      <w:pPr>
        <w:pStyle w:val="Heading3"/>
      </w:pPr>
      <w:r w:rsidRPr="008A760A">
        <w:t>The Self Declaration of Product Compliance (SDPC) must be successfully completed.</w:t>
      </w:r>
    </w:p>
    <w:p w14:paraId="7EC3CE29" w14:textId="639FD6C5" w:rsidR="00C71F3C" w:rsidRPr="00DD63CE" w:rsidRDefault="008E41C9" w:rsidP="000811C1">
      <w:pPr>
        <w:pStyle w:val="Heading3"/>
      </w:pPr>
      <w:r w:rsidRPr="00CF6FFD">
        <w:rPr>
          <w:b/>
        </w:rPr>
        <w:t>TEC</w:t>
      </w:r>
      <w:r w:rsidR="00C71F3C" w:rsidRPr="00DD63CE">
        <w:t xml:space="preserve"> will initiate the formal certification process, which includes:</w:t>
      </w:r>
      <w:r w:rsidR="009E271F">
        <w:t xml:space="preserve"> </w:t>
      </w:r>
    </w:p>
    <w:p w14:paraId="05215FB1" w14:textId="77777777" w:rsidR="009E271F" w:rsidRDefault="00C71F3C" w:rsidP="00C71F3C">
      <w:pPr>
        <w:pStyle w:val="Heading4"/>
      </w:pPr>
      <w:r w:rsidRPr="00DD63CE">
        <w:t>Arranging for an invoice to be raised and sent to the manufacturer</w:t>
      </w:r>
      <w:r w:rsidR="009E271F">
        <w:t>.</w:t>
      </w:r>
    </w:p>
    <w:p w14:paraId="1DD13E38" w14:textId="77777777" w:rsidR="009E271F" w:rsidRDefault="00C71F3C" w:rsidP="00C71F3C">
      <w:pPr>
        <w:pStyle w:val="Heading4"/>
      </w:pPr>
      <w:r w:rsidRPr="00DD63CE">
        <w:t>The Chairman appointing a testing team</w:t>
      </w:r>
      <w:r w:rsidR="009E271F">
        <w:t>.</w:t>
      </w:r>
    </w:p>
    <w:p w14:paraId="3B0982BB" w14:textId="77777777" w:rsidR="009E271F" w:rsidRDefault="00C71F3C" w:rsidP="00C71F3C">
      <w:pPr>
        <w:pStyle w:val="Heading4"/>
      </w:pPr>
      <w:r w:rsidRPr="00DD63CE">
        <w:t>Creating the necessary communication groups</w:t>
      </w:r>
      <w:r w:rsidR="009E271F">
        <w:t>.</w:t>
      </w:r>
    </w:p>
    <w:p w14:paraId="27FD8B2B" w14:textId="77777777" w:rsidR="009E271F" w:rsidRDefault="00757E4B" w:rsidP="00C71F3C">
      <w:pPr>
        <w:pStyle w:val="Heading4"/>
      </w:pPr>
      <w:r w:rsidRPr="00DD63CE">
        <w:t>Request</w:t>
      </w:r>
      <w:r w:rsidR="00C71F3C" w:rsidRPr="00DD63CE">
        <w:t xml:space="preserve"> that the equipment be made available to the testers</w:t>
      </w:r>
      <w:r w:rsidR="009E271F">
        <w:t>.</w:t>
      </w:r>
    </w:p>
    <w:p w14:paraId="68EBF1CC" w14:textId="43FEF074" w:rsidR="00D52ECA" w:rsidRPr="00DD63CE" w:rsidRDefault="00C9592B" w:rsidP="00D52ECA">
      <w:pPr>
        <w:pStyle w:val="Heading3"/>
      </w:pPr>
      <w:r w:rsidRPr="00DD63CE">
        <w:t xml:space="preserve">A </w:t>
      </w:r>
      <w:r w:rsidR="0037326F">
        <w:rPr>
          <w:b/>
          <w:bCs/>
        </w:rPr>
        <w:t>TAPC</w:t>
      </w:r>
      <w:r w:rsidR="005E378F" w:rsidRPr="005E378F">
        <w:rPr>
          <w:b/>
          <w:bCs/>
        </w:rPr>
        <w:t xml:space="preserve"> </w:t>
      </w:r>
      <w:r w:rsidRPr="00DD63CE">
        <w:t xml:space="preserve">can only be granted for the exact version of the </w:t>
      </w:r>
      <w:r w:rsidR="00E366C1" w:rsidRPr="00E366C1">
        <w:rPr>
          <w:b/>
        </w:rPr>
        <w:t>Product</w:t>
      </w:r>
      <w:r w:rsidRPr="00DD63CE">
        <w:t xml:space="preserve"> that was previously issued a </w:t>
      </w:r>
      <w:r w:rsidR="005E378F">
        <w:rPr>
          <w:b/>
        </w:rPr>
        <w:t>SDPC</w:t>
      </w:r>
      <w:r w:rsidRPr="00DD63CE">
        <w:t>.</w:t>
      </w:r>
    </w:p>
    <w:p w14:paraId="02F28962" w14:textId="4084F52C" w:rsidR="00CB098D" w:rsidRPr="00897F6F" w:rsidRDefault="00CB098D" w:rsidP="00897F6F">
      <w:pPr>
        <w:pStyle w:val="Heading3"/>
      </w:pPr>
      <w:r w:rsidRPr="00897F6F">
        <w:t>TEC will collaborate with the manufacturer to identify and address any defects.</w:t>
      </w:r>
    </w:p>
    <w:p w14:paraId="74CC74A1" w14:textId="34F0A743" w:rsidR="009E271F" w:rsidRDefault="00CB098D" w:rsidP="00897F6F">
      <w:pPr>
        <w:pStyle w:val="Heading3"/>
      </w:pPr>
      <w:r w:rsidRPr="00897F6F">
        <w:t xml:space="preserve">If the defects are substantial, TEC reserves the right to suspend or reject the </w:t>
      </w:r>
      <w:r w:rsidR="00E366C1" w:rsidRPr="00897F6F">
        <w:t>Product</w:t>
      </w:r>
      <w:r w:rsidRPr="00897F6F">
        <w:t xml:space="preserve">’s </w:t>
      </w:r>
      <w:r w:rsidR="00E72C16">
        <w:t>acceptance</w:t>
      </w:r>
      <w:r w:rsidR="009E271F">
        <w:t>.</w:t>
      </w:r>
    </w:p>
    <w:p w14:paraId="0419F76E" w14:textId="77777777" w:rsidR="009E271F" w:rsidRDefault="00CB098D" w:rsidP="00897F6F">
      <w:pPr>
        <w:pStyle w:val="Heading3"/>
      </w:pPr>
      <w:r w:rsidRPr="00897F6F">
        <w:t xml:space="preserve">If the </w:t>
      </w:r>
      <w:r w:rsidR="00E366C1" w:rsidRPr="00897F6F">
        <w:t>Product</w:t>
      </w:r>
      <w:r w:rsidRPr="00897F6F">
        <w:t xml:space="preserve"> has multiple significant failures, TEC will reject the </w:t>
      </w:r>
      <w:r w:rsidR="0037326F">
        <w:t>TAPC</w:t>
      </w:r>
      <w:r w:rsidRPr="00897F6F">
        <w:t xml:space="preserve"> application, providing detailed reasons for the decision</w:t>
      </w:r>
      <w:r w:rsidR="009E271F">
        <w:t>.</w:t>
      </w:r>
    </w:p>
    <w:p w14:paraId="629DC9EB" w14:textId="5DFB48B2" w:rsidR="00C71F3C" w:rsidRPr="00DD63CE" w:rsidRDefault="00CF6FFD" w:rsidP="00C71F3C">
      <w:pPr>
        <w:pStyle w:val="Heading2"/>
      </w:pPr>
      <w:bookmarkStart w:id="32" w:name="_Toc213159592"/>
      <w:r>
        <w:t>F</w:t>
      </w:r>
      <w:r w:rsidR="00D65057" w:rsidRPr="00D65057">
        <w:t xml:space="preserve">IDE Endorsement of </w:t>
      </w:r>
      <w:r>
        <w:t>Accepted</w:t>
      </w:r>
      <w:r w:rsidR="00D65057" w:rsidRPr="00D65057">
        <w:t xml:space="preserve"> Product (</w:t>
      </w:r>
      <w:r w:rsidR="00F12D64">
        <w:t>FEAP</w:t>
      </w:r>
      <w:r w:rsidR="00D65057" w:rsidRPr="00D65057">
        <w:t>)</w:t>
      </w:r>
      <w:bookmarkEnd w:id="32"/>
    </w:p>
    <w:p w14:paraId="5A5837DA" w14:textId="23B35BDA" w:rsidR="00C71F3C" w:rsidRPr="00DD63CE" w:rsidRDefault="00C71F3C" w:rsidP="00C71F3C">
      <w:pPr>
        <w:pStyle w:val="Heading3"/>
      </w:pPr>
      <w:r w:rsidRPr="00DD63CE">
        <w:lastRenderedPageBreak/>
        <w:t xml:space="preserve">The </w:t>
      </w:r>
      <w:r w:rsidR="00222707">
        <w:rPr>
          <w:b/>
          <w:bCs/>
        </w:rPr>
        <w:t xml:space="preserve">Technical </w:t>
      </w:r>
      <w:r w:rsidR="00124659">
        <w:rPr>
          <w:b/>
          <w:bCs/>
        </w:rPr>
        <w:t>Acceptance</w:t>
      </w:r>
      <w:r w:rsidR="00222707">
        <w:rPr>
          <w:b/>
          <w:bCs/>
        </w:rPr>
        <w:t xml:space="preserve"> of Product Compliance</w:t>
      </w:r>
      <w:r w:rsidRPr="00DD63CE">
        <w:t xml:space="preserve"> </w:t>
      </w:r>
      <w:r w:rsidR="00E81287">
        <w:t>(</w:t>
      </w:r>
      <w:r w:rsidR="0037326F">
        <w:t>TAPC</w:t>
      </w:r>
      <w:r w:rsidR="00E81287">
        <w:t>)</w:t>
      </w:r>
      <w:r w:rsidRPr="00DD63CE">
        <w:t xml:space="preserve"> process must be successfully completed.</w:t>
      </w:r>
      <w:r w:rsidR="009E271F">
        <w:t xml:space="preserve"> </w:t>
      </w:r>
    </w:p>
    <w:p w14:paraId="728C4000" w14:textId="3A7A41D3" w:rsidR="00E51040" w:rsidRDefault="00C71F3C" w:rsidP="00C71F3C">
      <w:pPr>
        <w:pStyle w:val="Heading3"/>
      </w:pPr>
      <w:r w:rsidRPr="00DD63CE">
        <w:t xml:space="preserve">The Technical Commission will send the </w:t>
      </w:r>
      <w:r w:rsidR="0037326F">
        <w:rPr>
          <w:b/>
        </w:rPr>
        <w:t>TAPC</w:t>
      </w:r>
      <w:r w:rsidRPr="00DD63CE">
        <w:t xml:space="preserve"> to the FIDE Management Board and request that the </w:t>
      </w:r>
      <w:r w:rsidR="00F12D64">
        <w:t>FEAP</w:t>
      </w:r>
      <w:r w:rsidRPr="00DD63CE">
        <w:t xml:space="preserve"> process be final</w:t>
      </w:r>
      <w:r w:rsidR="006B3D8B" w:rsidRPr="00DD63CE">
        <w:t>ise</w:t>
      </w:r>
      <w:r w:rsidRPr="00DD63CE">
        <w:t>d.</w:t>
      </w:r>
      <w:r w:rsidR="00E51040">
        <w:t xml:space="preserve"> </w:t>
      </w:r>
      <w:proofErr w:type="gramStart"/>
      <w:r w:rsidR="00E51040">
        <w:t>( See</w:t>
      </w:r>
      <w:proofErr w:type="gramEnd"/>
      <w:r w:rsidR="009A36C3" w:rsidRPr="009A36C3">
        <w:t xml:space="preserve"> </w:t>
      </w:r>
      <w:r w:rsidR="009A36C3" w:rsidRPr="009A36C3">
        <w:rPr>
          <w:b/>
          <w:bCs/>
        </w:rPr>
        <w:t>FIDE Handbook, General Regulations, Usage of Equipment at Tournaments under General Rules and Technical Recommendations for Tournaments</w:t>
      </w:r>
      <w:r w:rsidR="00E51040">
        <w:t>)</w:t>
      </w:r>
    </w:p>
    <w:p w14:paraId="2E073F05" w14:textId="77777777" w:rsidR="009E271F" w:rsidRDefault="007C31CB" w:rsidP="00C71F3C">
      <w:pPr>
        <w:pStyle w:val="Heading3"/>
      </w:pPr>
      <w:r w:rsidRPr="007C31CB">
        <w:t xml:space="preserve">Holding a </w:t>
      </w:r>
      <w:r w:rsidR="0037326F">
        <w:t>TAPC</w:t>
      </w:r>
      <w:r w:rsidRPr="007C31CB">
        <w:t xml:space="preserve"> does not automatically guarantee endorsement,</w:t>
      </w:r>
      <w:r>
        <w:t xml:space="preserve"> nor does it imply endorsement</w:t>
      </w:r>
      <w:r w:rsidRPr="007C31CB">
        <w:t xml:space="preserve">. To receive endorsement, the manufacturer must </w:t>
      </w:r>
      <w:r>
        <w:t xml:space="preserve">successfully </w:t>
      </w:r>
      <w:r w:rsidRPr="007C31CB">
        <w:t>enter into a commercial agreement with FIDE</w:t>
      </w:r>
      <w:r w:rsidR="009E271F">
        <w:t>.</w:t>
      </w:r>
    </w:p>
    <w:p w14:paraId="7B4785FC" w14:textId="7640C660" w:rsidR="00C71F3C" w:rsidRPr="00DD63CE" w:rsidRDefault="000C7AAB" w:rsidP="00C71F3C">
      <w:pPr>
        <w:pStyle w:val="Heading2"/>
      </w:pPr>
      <w:bookmarkStart w:id="33" w:name="_Toc197462301"/>
      <w:bookmarkStart w:id="34" w:name="_Toc213159593"/>
      <w:r>
        <w:t>A</w:t>
      </w:r>
      <w:r w:rsidR="00C71F3C" w:rsidRPr="00DD63CE">
        <w:t xml:space="preserve">utomatic Revocation of </w:t>
      </w:r>
      <w:r w:rsidR="0037326F">
        <w:t>TAPC</w:t>
      </w:r>
      <w:r w:rsidR="00D65057">
        <w:t xml:space="preserve"> </w:t>
      </w:r>
      <w:r w:rsidR="00C71F3C" w:rsidRPr="00DD63CE">
        <w:t>due to Rule Changes</w:t>
      </w:r>
      <w:bookmarkEnd w:id="33"/>
      <w:bookmarkEnd w:id="34"/>
    </w:p>
    <w:p w14:paraId="7561C241" w14:textId="77777777" w:rsidR="009E271F" w:rsidRDefault="00C71F3C" w:rsidP="00C71F3C">
      <w:pPr>
        <w:pStyle w:val="Heading3"/>
      </w:pPr>
      <w:r w:rsidRPr="00DD63CE">
        <w:t xml:space="preserve">If a rule change affects a </w:t>
      </w:r>
      <w:r w:rsidR="00E366C1" w:rsidRPr="00E366C1">
        <w:rPr>
          <w:b/>
        </w:rPr>
        <w:t>Product</w:t>
      </w:r>
      <w:r w:rsidRPr="00DD63CE">
        <w:t xml:space="preserve">, </w:t>
      </w:r>
      <w:r w:rsidR="008E41C9" w:rsidRPr="00DD63CE">
        <w:rPr>
          <w:b/>
        </w:rPr>
        <w:t>TEC</w:t>
      </w:r>
      <w:r w:rsidRPr="00DD63CE">
        <w:t xml:space="preserve"> will make every effort to inform all registered manufacturers of the changes</w:t>
      </w:r>
      <w:r w:rsidR="009E271F">
        <w:t>.</w:t>
      </w:r>
    </w:p>
    <w:p w14:paraId="42C0F5F0" w14:textId="77777777" w:rsidR="009E271F" w:rsidRDefault="00C71F3C" w:rsidP="00C71F3C">
      <w:pPr>
        <w:pStyle w:val="Heading3"/>
      </w:pPr>
      <w:r w:rsidRPr="00DD63CE">
        <w:t xml:space="preserve">Manufacturers registered with </w:t>
      </w:r>
      <w:r w:rsidR="008E41C9" w:rsidRPr="00DD63CE">
        <w:rPr>
          <w:b/>
        </w:rPr>
        <w:t>TEC</w:t>
      </w:r>
      <w:r w:rsidRPr="00DD63CE">
        <w:t xml:space="preserve"> will be notified directly</w:t>
      </w:r>
      <w:r w:rsidR="009E271F">
        <w:t>.</w:t>
      </w:r>
    </w:p>
    <w:p w14:paraId="0FE9175B" w14:textId="5459A8EE" w:rsidR="00C71F3C" w:rsidRPr="00DD63CE" w:rsidRDefault="00C71F3C" w:rsidP="00C71F3C">
      <w:pPr>
        <w:pStyle w:val="Heading3"/>
      </w:pPr>
      <w:r w:rsidRPr="00DD63CE">
        <w:t xml:space="preserve">However, it remains the manufacturer’s responsibility to stay informed about rule changes published on the FIDE website and to understand their implications for </w:t>
      </w:r>
      <w:r w:rsidR="0037326F">
        <w:rPr>
          <w:b/>
        </w:rPr>
        <w:t>TAPC</w:t>
      </w:r>
      <w:r w:rsidRPr="00DD63CE">
        <w:t xml:space="preserve"> and </w:t>
      </w:r>
      <w:r w:rsidR="00F12D64">
        <w:t>FEAP</w:t>
      </w:r>
      <w:r w:rsidRPr="00DD63CE">
        <w:t>.</w:t>
      </w:r>
    </w:p>
    <w:p w14:paraId="3F3CFAAE" w14:textId="72C6EEAA" w:rsidR="00020134" w:rsidRPr="00DD63CE" w:rsidRDefault="00020134" w:rsidP="00020134">
      <w:pPr>
        <w:pStyle w:val="Heading3"/>
      </w:pPr>
      <w:r w:rsidRPr="00DD63CE">
        <w:t>Compliance with all the requirements listed in the Verification Checklist (</w:t>
      </w:r>
      <w:r w:rsidR="00E81287" w:rsidRPr="00E81287">
        <w:rPr>
          <w:b/>
        </w:rPr>
        <w:t>VCL</w:t>
      </w:r>
      <w:r w:rsidRPr="00DD63CE">
        <w:t xml:space="preserve">) is determined at the time the </w:t>
      </w:r>
      <w:r w:rsidR="0037326F">
        <w:t>TAPC</w:t>
      </w:r>
      <w:r w:rsidRPr="00DD63CE">
        <w:t xml:space="preserve"> is published. In other words, THP producers are generally not expected to meet any </w:t>
      </w:r>
      <w:r w:rsidR="00E81287" w:rsidRPr="00E81287">
        <w:rPr>
          <w:b/>
        </w:rPr>
        <w:t>VCL</w:t>
      </w:r>
      <w:r w:rsidRPr="00DD63CE">
        <w:t xml:space="preserve"> items that were added or modified after the </w:t>
      </w:r>
      <w:r w:rsidR="0037326F">
        <w:rPr>
          <w:b/>
        </w:rPr>
        <w:t>TAPC</w:t>
      </w:r>
      <w:r w:rsidRPr="00DD63CE">
        <w:t xml:space="preserve"> application was submitted.</w:t>
      </w:r>
    </w:p>
    <w:p w14:paraId="33FEFD59" w14:textId="5EB22B3A" w:rsidR="00E037D9" w:rsidRPr="00DD63CE" w:rsidRDefault="007D44D3" w:rsidP="007D44D3">
      <w:pPr>
        <w:pStyle w:val="Heading2"/>
      </w:pPr>
      <w:bookmarkStart w:id="35" w:name="_Toc197462302"/>
      <w:bookmarkStart w:id="36" w:name="_Toc213159594"/>
      <w:r w:rsidRPr="00DD63CE">
        <w:t xml:space="preserve">Automatic Revocation of </w:t>
      </w:r>
      <w:r w:rsidR="0037326F">
        <w:t>TAPC</w:t>
      </w:r>
      <w:r w:rsidR="000C5ABC">
        <w:t xml:space="preserve"> </w:t>
      </w:r>
      <w:r w:rsidRPr="00DD63CE">
        <w:t>Due To M</w:t>
      </w:r>
      <w:r w:rsidR="00E037D9" w:rsidRPr="00DD63CE">
        <w:t xml:space="preserve">ajor </w:t>
      </w:r>
      <w:r w:rsidRPr="00DD63CE">
        <w:t>V</w:t>
      </w:r>
      <w:r w:rsidR="00E037D9" w:rsidRPr="00DD63CE">
        <w:t xml:space="preserve">ersion </w:t>
      </w:r>
      <w:r w:rsidRPr="00DD63CE">
        <w:t>U</w:t>
      </w:r>
      <w:r w:rsidR="00E037D9" w:rsidRPr="00DD63CE">
        <w:t>pgrade</w:t>
      </w:r>
      <w:r w:rsidRPr="00DD63CE">
        <w:t xml:space="preserve"> Instigated by Manufacturer</w:t>
      </w:r>
      <w:bookmarkEnd w:id="35"/>
      <w:bookmarkEnd w:id="36"/>
    </w:p>
    <w:p w14:paraId="495DA044" w14:textId="79177137" w:rsidR="00672307" w:rsidRPr="00DD63CE" w:rsidRDefault="00672307">
      <w:pPr>
        <w:pStyle w:val="Heading3"/>
      </w:pPr>
      <w:r w:rsidRPr="00DD63CE">
        <w:t>Refer to [</w:t>
      </w:r>
      <w:r w:rsidR="00242835" w:rsidRPr="00F228E4">
        <w:rPr>
          <w:lang w:eastAsia="en-ZA"/>
        </w:rPr>
        <w:t xml:space="preserve">Semantic </w:t>
      </w:r>
      <w:proofErr w:type="gramStart"/>
      <w:r w:rsidR="00242835" w:rsidRPr="00F228E4">
        <w:rPr>
          <w:lang w:eastAsia="en-ZA"/>
        </w:rPr>
        <w:t>Versioning</w:t>
      </w:r>
      <w:r w:rsidRPr="00DD63CE">
        <w:t>](</w:t>
      </w:r>
      <w:proofErr w:type="gramEnd"/>
      <w:r w:rsidRPr="00DD63CE">
        <w:t>https://semver.org/) as a guideline for versioning practices.</w:t>
      </w:r>
    </w:p>
    <w:p w14:paraId="440E8443" w14:textId="436CDD11" w:rsidR="009E271F" w:rsidRDefault="00672307" w:rsidP="00672307">
      <w:pPr>
        <w:pStyle w:val="Heading3"/>
      </w:pPr>
      <w:r w:rsidRPr="00DD63CE">
        <w:t xml:space="preserve">It is the responsibility of the manufacturer to notify </w:t>
      </w:r>
      <w:r w:rsidR="008E41C9" w:rsidRPr="00DD63CE">
        <w:rPr>
          <w:b/>
        </w:rPr>
        <w:t>TEC</w:t>
      </w:r>
      <w:r w:rsidRPr="00DD63CE">
        <w:t xml:space="preserve"> of any major version changes. Upon such notification, the </w:t>
      </w:r>
      <w:r w:rsidR="0037326F">
        <w:rPr>
          <w:b/>
        </w:rPr>
        <w:t>TAPC</w:t>
      </w:r>
      <w:r w:rsidRPr="00DD63CE">
        <w:t xml:space="preserve"> process will be initiated</w:t>
      </w:r>
      <w:r w:rsidR="00FC3459">
        <w:t xml:space="preserve"> (</w:t>
      </w:r>
      <w:r w:rsidR="007E53F8">
        <w:t>s</w:t>
      </w:r>
      <w:r w:rsidR="00FC3459">
        <w:t xml:space="preserve">ee </w:t>
      </w:r>
      <w:r w:rsidR="007E53F8" w:rsidRPr="009A36C3">
        <w:rPr>
          <w:b/>
          <w:bCs/>
        </w:rPr>
        <w:t xml:space="preserve">FIDE Handbook, General Regulations, </w:t>
      </w:r>
      <w:r w:rsidR="007E53F8" w:rsidRPr="007E53F8">
        <w:rPr>
          <w:b/>
          <w:bCs/>
        </w:rPr>
        <w:t>Revocation of a TAPC</w:t>
      </w:r>
      <w:r w:rsidR="007E53F8" w:rsidRPr="009A36C3">
        <w:rPr>
          <w:b/>
          <w:bCs/>
        </w:rPr>
        <w:t xml:space="preserve"> under General Rules and Technical Recommendations for Tournaments</w:t>
      </w:r>
      <w:r w:rsidR="00FC3459">
        <w:t>)</w:t>
      </w:r>
      <w:r w:rsidR="009E271F">
        <w:t>.</w:t>
      </w:r>
    </w:p>
    <w:p w14:paraId="1AE6C2CA" w14:textId="65F64664" w:rsidR="009E271F" w:rsidRDefault="008E41C9" w:rsidP="00672307">
      <w:pPr>
        <w:pStyle w:val="Heading3"/>
      </w:pPr>
      <w:r w:rsidRPr="00DD63CE">
        <w:rPr>
          <w:b/>
        </w:rPr>
        <w:lastRenderedPageBreak/>
        <w:t>TEC</w:t>
      </w:r>
      <w:r w:rsidR="00672307" w:rsidRPr="00DD63CE">
        <w:t xml:space="preserve"> reserves the right to evaluate versions published by the manufacturer to determine if a major version change has occurred. If a major version change is identified, </w:t>
      </w:r>
      <w:r w:rsidRPr="00DD63CE">
        <w:rPr>
          <w:b/>
        </w:rPr>
        <w:t>TEC</w:t>
      </w:r>
      <w:r w:rsidR="00672307" w:rsidRPr="00DD63CE">
        <w:t xml:space="preserve"> will initiate the </w:t>
      </w:r>
      <w:r w:rsidR="0037326F">
        <w:rPr>
          <w:b/>
        </w:rPr>
        <w:t>TAPC</w:t>
      </w:r>
      <w:r w:rsidR="00672307" w:rsidRPr="00DD63CE">
        <w:t xml:space="preserve"> process</w:t>
      </w:r>
      <w:r w:rsidR="00FC3459">
        <w:t xml:space="preserve"> (see </w:t>
      </w:r>
      <w:r w:rsidR="007E53F8" w:rsidRPr="007E53F8">
        <w:t>FIDE Handbook, General Regulations, Revocation of a TAPC under General Rules and Technical Recommendations for Tournaments</w:t>
      </w:r>
      <w:r w:rsidR="00FC3459">
        <w:t>)</w:t>
      </w:r>
      <w:r w:rsidR="009E271F">
        <w:t>.</w:t>
      </w:r>
    </w:p>
    <w:p w14:paraId="1002CCC5" w14:textId="31AB7CFD" w:rsidR="00C07B32" w:rsidRPr="00DD63CE" w:rsidRDefault="00672307" w:rsidP="007D44D3">
      <w:pPr>
        <w:pStyle w:val="Heading3"/>
      </w:pPr>
      <w:r w:rsidRPr="00DD63CE">
        <w:t xml:space="preserve">Failure to inform </w:t>
      </w:r>
      <w:r w:rsidR="00CA230B">
        <w:rPr>
          <w:b/>
        </w:rPr>
        <w:t>FIDE</w:t>
      </w:r>
      <w:r w:rsidRPr="00DD63CE">
        <w:t xml:space="preserve"> of major version changes or attempting to circumvent the publication of such changes under minor version changes will be considered a breach of the </w:t>
      </w:r>
      <w:r w:rsidR="0037326F">
        <w:rPr>
          <w:b/>
        </w:rPr>
        <w:t>TAPC</w:t>
      </w:r>
      <w:r w:rsidRPr="00DD63CE">
        <w:t xml:space="preserve"> agreement.</w:t>
      </w:r>
    </w:p>
    <w:p w14:paraId="4290904B" w14:textId="3B33AAC3" w:rsidR="007C3ABD" w:rsidRPr="00DD63CE" w:rsidRDefault="007C3ABD" w:rsidP="007C3ABD">
      <w:pPr>
        <w:pStyle w:val="Heading2"/>
      </w:pPr>
      <w:bookmarkStart w:id="37" w:name="_Toc197462303"/>
      <w:bookmarkStart w:id="38" w:name="_Toc213159595"/>
      <w:r w:rsidRPr="00DD63CE">
        <w:t xml:space="preserve">Manual Revocation of </w:t>
      </w:r>
      <w:r w:rsidR="0037326F">
        <w:t>TAPC</w:t>
      </w:r>
      <w:r w:rsidRPr="00DD63CE">
        <w:t xml:space="preserve"> Due to Credible Complaints</w:t>
      </w:r>
      <w:bookmarkEnd w:id="37"/>
      <w:bookmarkEnd w:id="38"/>
    </w:p>
    <w:p w14:paraId="3EFC5A59" w14:textId="1EAB3D5E" w:rsidR="007C3ABD" w:rsidRPr="00DD63CE" w:rsidRDefault="008E41C9" w:rsidP="007C3ABD">
      <w:pPr>
        <w:pStyle w:val="Heading3"/>
      </w:pPr>
      <w:r w:rsidRPr="00DD63CE">
        <w:rPr>
          <w:b/>
        </w:rPr>
        <w:t>TEC</w:t>
      </w:r>
      <w:r w:rsidR="007C3ABD" w:rsidRPr="00DD63CE">
        <w:t xml:space="preserve"> regularly receives complaints from the chess community regarding defective </w:t>
      </w:r>
      <w:r w:rsidR="00E366C1" w:rsidRPr="00E366C1">
        <w:rPr>
          <w:b/>
        </w:rPr>
        <w:t>Product</w:t>
      </w:r>
      <w:r w:rsidR="007C3ABD" w:rsidRPr="00DD63CE">
        <w:t>s.</w:t>
      </w:r>
    </w:p>
    <w:p w14:paraId="7222DEA6" w14:textId="7100D7FE" w:rsidR="007C3ABD" w:rsidRPr="00DD63CE" w:rsidRDefault="007C3ABD" w:rsidP="007C3ABD">
      <w:pPr>
        <w:pStyle w:val="Heading3"/>
      </w:pPr>
      <w:r w:rsidRPr="00DD63CE">
        <w:t xml:space="preserve">Upon receiving such complaints, </w:t>
      </w:r>
      <w:r w:rsidR="008E41C9" w:rsidRPr="00DD63CE">
        <w:rPr>
          <w:b/>
        </w:rPr>
        <w:t>TEC</w:t>
      </w:r>
      <w:r w:rsidRPr="00DD63CE">
        <w:t xml:space="preserve"> will notify the manufacturer of the </w:t>
      </w:r>
      <w:r w:rsidR="00E366C1" w:rsidRPr="00E366C1">
        <w:rPr>
          <w:b/>
        </w:rPr>
        <w:t>Product</w:t>
      </w:r>
      <w:r w:rsidRPr="00DD63CE">
        <w:t xml:space="preserve"> about the issue.</w:t>
      </w:r>
    </w:p>
    <w:p w14:paraId="3EC469BC" w14:textId="4E42F658" w:rsidR="007C3ABD" w:rsidRPr="00DD63CE" w:rsidRDefault="007C3ABD" w:rsidP="007C3ABD">
      <w:pPr>
        <w:pStyle w:val="Heading3"/>
      </w:pPr>
      <w:r w:rsidRPr="00DD63CE">
        <w:t xml:space="preserve">The manufacturer will be given a reasonable amount of time to address and rectify the issue. If the issue is not resolved within this timeframe, the </w:t>
      </w:r>
      <w:r w:rsidR="0037326F">
        <w:rPr>
          <w:b/>
        </w:rPr>
        <w:t>TAPC</w:t>
      </w:r>
      <w:r w:rsidRPr="00DD63CE">
        <w:t xml:space="preserve"> will be revoked.</w:t>
      </w:r>
    </w:p>
    <w:p w14:paraId="10192CA3" w14:textId="4037D10C" w:rsidR="007C3ABD" w:rsidRPr="00DD63CE" w:rsidRDefault="008E41C9" w:rsidP="007C3ABD">
      <w:pPr>
        <w:pStyle w:val="Heading3"/>
      </w:pPr>
      <w:r w:rsidRPr="00DD63CE">
        <w:rPr>
          <w:b/>
        </w:rPr>
        <w:t>TEC</w:t>
      </w:r>
      <w:r w:rsidR="007C3ABD" w:rsidRPr="00DD63CE">
        <w:t xml:space="preserve"> will classify complaints into the following categories:</w:t>
      </w:r>
    </w:p>
    <w:p w14:paraId="30D22CCD" w14:textId="7ED22533" w:rsidR="007C3ABD" w:rsidRPr="00DD63CE" w:rsidRDefault="007C3ABD" w:rsidP="007C3ABD">
      <w:pPr>
        <w:pStyle w:val="Heading4"/>
      </w:pPr>
      <w:r w:rsidRPr="00DD63CE">
        <w:t xml:space="preserve">Defect: A defect prevents the use of the equipment and/or causes critical failures that can significantly alter the course of a game or undermine the </w:t>
      </w:r>
      <w:r w:rsidR="00E366C1" w:rsidRPr="00E366C1">
        <w:rPr>
          <w:b/>
        </w:rPr>
        <w:t>Product</w:t>
      </w:r>
      <w:r w:rsidRPr="00DD63CE">
        <w:t>'s intended purpose.</w:t>
      </w:r>
    </w:p>
    <w:p w14:paraId="0A0D882C" w14:textId="61E6AFA3" w:rsidR="007C3ABD" w:rsidRPr="00DD63CE" w:rsidRDefault="007C3ABD" w:rsidP="007C3ABD">
      <w:pPr>
        <w:pStyle w:val="Heading4"/>
      </w:pPr>
      <w:r w:rsidRPr="00DD63CE">
        <w:t>Bug: A bug is a minor issue that occurs infrequently, is recoverable, and does not affect the outcome of the game.</w:t>
      </w:r>
    </w:p>
    <w:p w14:paraId="27AC6EA7" w14:textId="105461BC" w:rsidR="007C3ABD" w:rsidRPr="00DD63CE" w:rsidRDefault="007C3ABD" w:rsidP="007C3ABD">
      <w:pPr>
        <w:pStyle w:val="Heading2"/>
      </w:pPr>
      <w:bookmarkStart w:id="39" w:name="_Toc197462304"/>
      <w:bookmarkStart w:id="40" w:name="_Toc213159596"/>
      <w:r w:rsidRPr="00DD63CE">
        <w:t>Manual Revocation of</w:t>
      </w:r>
      <w:r w:rsidR="00124659">
        <w:t xml:space="preserve"> TAPC </w:t>
      </w:r>
      <w:r w:rsidRPr="00DD63CE">
        <w:t xml:space="preserve">Due to Mishandling of Known </w:t>
      </w:r>
      <w:r w:rsidR="00124659">
        <w:t>Defects</w:t>
      </w:r>
      <w:bookmarkEnd w:id="39"/>
      <w:bookmarkEnd w:id="40"/>
    </w:p>
    <w:p w14:paraId="1D1DD28A" w14:textId="2CA397C5" w:rsidR="007C3ABD" w:rsidRPr="00DD63CE" w:rsidRDefault="008E41C9" w:rsidP="007C3ABD">
      <w:pPr>
        <w:pStyle w:val="Heading3"/>
      </w:pPr>
      <w:r w:rsidRPr="00DD63CE">
        <w:rPr>
          <w:b/>
        </w:rPr>
        <w:t>TEC</w:t>
      </w:r>
      <w:r w:rsidR="007C3ABD" w:rsidRPr="00DD63CE">
        <w:t xml:space="preserve"> is committed to collaborating with manufacturers to improve their equipment and better serve the chess community.</w:t>
      </w:r>
    </w:p>
    <w:p w14:paraId="1C22B1C1" w14:textId="0CE9C00F" w:rsidR="007C3ABD" w:rsidRPr="00DD63CE" w:rsidRDefault="007C3ABD" w:rsidP="007C3ABD">
      <w:pPr>
        <w:pStyle w:val="Heading3"/>
      </w:pPr>
      <w:r w:rsidRPr="00DD63CE">
        <w:t xml:space="preserve">If defects or bugs are not resolved within a reasonable timeframe, </w:t>
      </w:r>
      <w:r w:rsidR="008E41C9" w:rsidRPr="00DD63CE">
        <w:rPr>
          <w:b/>
        </w:rPr>
        <w:t>TEC</w:t>
      </w:r>
      <w:r w:rsidRPr="00DD63CE">
        <w:t xml:space="preserve"> reserves the right to revoke the </w:t>
      </w:r>
      <w:r w:rsidR="00E72C16">
        <w:t>declaration of compliance</w:t>
      </w:r>
      <w:r w:rsidRPr="00DD63CE">
        <w:t xml:space="preserve"> of Compliance (</w:t>
      </w:r>
      <w:r w:rsidR="0037326F">
        <w:rPr>
          <w:b/>
        </w:rPr>
        <w:t>TAPC</w:t>
      </w:r>
      <w:r w:rsidRPr="00DD63CE">
        <w:t>).</w:t>
      </w:r>
    </w:p>
    <w:p w14:paraId="658D1950" w14:textId="14A1024A" w:rsidR="00E037D9" w:rsidRPr="00DD63CE" w:rsidRDefault="007D44D3" w:rsidP="007D44D3">
      <w:pPr>
        <w:pStyle w:val="Heading2"/>
      </w:pPr>
      <w:bookmarkStart w:id="41" w:name="_Toc197462305"/>
      <w:bookmarkStart w:id="42" w:name="_Toc213159597"/>
      <w:r w:rsidRPr="00DD63CE">
        <w:t>Application for Temporary</w:t>
      </w:r>
      <w:r w:rsidR="00E037D9" w:rsidRPr="00DD63CE">
        <w:t xml:space="preserve"> </w:t>
      </w:r>
      <w:r w:rsidR="001E3746">
        <w:t>Acceptance</w:t>
      </w:r>
      <w:r w:rsidR="00E037D9" w:rsidRPr="00DD63CE">
        <w:t xml:space="preserve"> of </w:t>
      </w:r>
      <w:r w:rsidR="001E3746">
        <w:t xml:space="preserve">Product </w:t>
      </w:r>
      <w:r w:rsidR="00E037D9" w:rsidRPr="00DD63CE">
        <w:t>Compliance</w:t>
      </w:r>
      <w:r w:rsidR="00757E4B" w:rsidRPr="00DD63CE">
        <w:t xml:space="preserve"> (T</w:t>
      </w:r>
      <w:r w:rsidR="001E3746">
        <w:t>AP</w:t>
      </w:r>
      <w:r w:rsidR="00003ABF" w:rsidRPr="00DD63CE">
        <w:t>C</w:t>
      </w:r>
      <w:r w:rsidR="00757E4B" w:rsidRPr="00DD63CE">
        <w:t>)</w:t>
      </w:r>
      <w:bookmarkEnd w:id="41"/>
      <w:bookmarkEnd w:id="42"/>
    </w:p>
    <w:p w14:paraId="6C7CF4C1" w14:textId="29F8AA69" w:rsidR="007D44D3" w:rsidRPr="00DD63CE" w:rsidRDefault="00757E4B" w:rsidP="007D44D3">
      <w:pPr>
        <w:pStyle w:val="Heading3"/>
      </w:pPr>
      <w:r w:rsidRPr="00DD63CE">
        <w:t>If an Organ</w:t>
      </w:r>
      <w:r w:rsidR="006B3D8B" w:rsidRPr="00DD63CE">
        <w:t>ise</w:t>
      </w:r>
      <w:r w:rsidRPr="00DD63CE">
        <w:t>r or C</w:t>
      </w:r>
      <w:r w:rsidR="005462B2">
        <w:t xml:space="preserve">hief </w:t>
      </w:r>
      <w:r w:rsidRPr="00DD63CE">
        <w:t>A</w:t>
      </w:r>
      <w:r w:rsidR="005462B2">
        <w:t>rbiter</w:t>
      </w:r>
      <w:r w:rsidRPr="00DD63CE">
        <w:t xml:space="preserve"> discover before the start of a tournament that some of the equipment does not have a </w:t>
      </w:r>
      <w:r w:rsidR="0037326F">
        <w:rPr>
          <w:b/>
        </w:rPr>
        <w:t>TAPC</w:t>
      </w:r>
      <w:r w:rsidRPr="00DD63CE">
        <w:t>, a temporary</w:t>
      </w:r>
      <w:r w:rsidR="00883A3B">
        <w:t xml:space="preserve"> </w:t>
      </w:r>
      <w:r w:rsidR="00883A3B" w:rsidRPr="00883A3B">
        <w:rPr>
          <w:b/>
          <w:bCs/>
        </w:rPr>
        <w:t>TAPC</w:t>
      </w:r>
      <w:r w:rsidR="00883A3B">
        <w:t xml:space="preserve"> </w:t>
      </w:r>
      <w:r w:rsidRPr="00DD63CE">
        <w:t>can be obtained by completing the online application.</w:t>
      </w:r>
    </w:p>
    <w:p w14:paraId="699003B1" w14:textId="3D9FCD22" w:rsidR="00807F9A" w:rsidRDefault="00757E4B" w:rsidP="007D44D3">
      <w:pPr>
        <w:pStyle w:val="Heading3"/>
      </w:pPr>
      <w:r w:rsidRPr="00DD63CE">
        <w:t xml:space="preserve">Note that a </w:t>
      </w:r>
      <w:r w:rsidRPr="00883A3B">
        <w:rPr>
          <w:b/>
          <w:bCs/>
        </w:rPr>
        <w:t>T</w:t>
      </w:r>
      <w:r w:rsidR="00883A3B" w:rsidRPr="00883A3B">
        <w:rPr>
          <w:b/>
          <w:bCs/>
        </w:rPr>
        <w:t>AP</w:t>
      </w:r>
      <w:r w:rsidR="00003ABF" w:rsidRPr="00883A3B">
        <w:rPr>
          <w:b/>
          <w:bCs/>
        </w:rPr>
        <w:t>C</w:t>
      </w:r>
      <w:r w:rsidRPr="00DD63CE">
        <w:t xml:space="preserve"> is only available for equipment without electronic components.</w:t>
      </w:r>
    </w:p>
    <w:p w14:paraId="4E0D4144" w14:textId="26CF3CB0" w:rsidR="00807F9A" w:rsidRPr="00807F9A" w:rsidRDefault="00807F9A" w:rsidP="00807F9A">
      <w:pPr>
        <w:pStyle w:val="Heading2"/>
      </w:pPr>
      <w:r w:rsidRPr="00807F9A">
        <w:lastRenderedPageBreak/>
        <w:t>THP TAPC Requirements</w:t>
      </w:r>
    </w:p>
    <w:p w14:paraId="6D8D9C00" w14:textId="3A059A09" w:rsidR="00807F9A" w:rsidRPr="00807F9A" w:rsidRDefault="00807F9A" w:rsidP="00807F9A">
      <w:pPr>
        <w:pStyle w:val="Heading3"/>
      </w:pPr>
      <w:r w:rsidRPr="00807F9A">
        <w:t>Compliance with FIDE rules</w:t>
      </w:r>
    </w:p>
    <w:p w14:paraId="6CA6A515" w14:textId="4E091745" w:rsidR="00807F9A" w:rsidRPr="00807F9A" w:rsidRDefault="00807F9A" w:rsidP="00807F9A">
      <w:pPr>
        <w:pStyle w:val="Heading4"/>
      </w:pPr>
      <w:r w:rsidRPr="00807F9A">
        <w:t xml:space="preserve">Besides what is already listed in FIDE Handbook Article C.02.01:7.1 (Conditions of Compliance), a THP </w:t>
      </w:r>
      <w:proofErr w:type="gramStart"/>
      <w:r w:rsidRPr="00807F9A">
        <w:t>has to</w:t>
      </w:r>
      <w:proofErr w:type="gramEnd"/>
      <w:r w:rsidRPr="00807F9A">
        <w:t xml:space="preserve"> comply with all FIDE rules governing the handling of a tournament. </w:t>
      </w:r>
    </w:p>
    <w:p w14:paraId="501804D9" w14:textId="77777777" w:rsidR="00807F9A" w:rsidRPr="00807F9A" w:rsidRDefault="00807F9A" w:rsidP="00980A6F">
      <w:pPr>
        <w:pStyle w:val="Body3"/>
      </w:pPr>
      <w:r w:rsidRPr="00807F9A">
        <w:t>Example: Since Rule C.05.6.7.4 states that a half-point bye is normally allowed only once per tournament, a THP shall notify the user if the same player is assigned a second half-point bye.</w:t>
      </w:r>
    </w:p>
    <w:p w14:paraId="447EDA2A" w14:textId="751E3776" w:rsidR="00807F9A" w:rsidRPr="00807F9A" w:rsidRDefault="00807F9A" w:rsidP="00980A6F">
      <w:pPr>
        <w:pStyle w:val="Heading3"/>
      </w:pPr>
      <w:r w:rsidRPr="00807F9A">
        <w:t>Verification of a Pairing and Tie-Breaks engine</w:t>
      </w:r>
    </w:p>
    <w:p w14:paraId="51845539" w14:textId="064EE4FB" w:rsidR="00807F9A" w:rsidRPr="00807F9A" w:rsidRDefault="00807F9A" w:rsidP="00980A6F">
      <w:pPr>
        <w:pStyle w:val="Heading4"/>
      </w:pPr>
      <w:r w:rsidRPr="00807F9A">
        <w:t xml:space="preserve">If the application is the first TAPC request for the pairing system in question, TEC must appoint a subcommittee of four people to assess whether the THP’s pairing, and tie-breaks engine is suitable for acceptance. The subcommittee must report within nine months from the date of the appointment. </w:t>
      </w:r>
    </w:p>
    <w:p w14:paraId="5CC64EFC" w14:textId="1BB32E1A" w:rsidR="00807F9A" w:rsidRPr="00807F9A" w:rsidRDefault="00807F9A" w:rsidP="00980A6F">
      <w:pPr>
        <w:pStyle w:val="Heading4"/>
      </w:pPr>
      <w:r w:rsidRPr="00807F9A">
        <w:t>However, the fact that a TAPC has already been issued for the pairing system in question ensures that a Pairings and Tie-Breaks Checker (PTC) and Random Tournament Generator RTG (see FIDE Handbook Article C.02.03:7.2) exist for that pairing system. These tools can then be used to verify whether the THP’s implementation of the pairing and tie-breaks engine is compliant and suitable for acceptance (see Articles 6 and 11 below).</w:t>
      </w:r>
    </w:p>
    <w:p w14:paraId="3ED10D3D" w14:textId="7B716D62" w:rsidR="00807F9A" w:rsidRPr="00807F9A" w:rsidRDefault="00807F9A" w:rsidP="00980A6F">
      <w:pPr>
        <w:pStyle w:val="Heading4"/>
      </w:pPr>
      <w:r w:rsidRPr="00807F9A">
        <w:t xml:space="preserve">The THP can be granted a TEC exemption if the software uses an external pairing and tie-breaks engine (see FIDE Handbook Article C.02.03:7.1) that is already integrated into another FIDE-accepted THP. However, if an external engine is employed, it is essential that TEC representatives have access to the input files provided to the engine, and preferably also to the files the engine returns. </w:t>
      </w:r>
    </w:p>
    <w:p w14:paraId="74F5A204" w14:textId="0DFB51C4" w:rsidR="00807F9A" w:rsidRPr="00807F9A" w:rsidRDefault="00807F9A" w:rsidP="00980A6F">
      <w:pPr>
        <w:pStyle w:val="Heading4"/>
      </w:pPr>
      <w:r w:rsidRPr="00807F9A">
        <w:t>Technical Instrumentation</w:t>
      </w:r>
    </w:p>
    <w:p w14:paraId="0E5570E3" w14:textId="46443004" w:rsidR="00807F9A" w:rsidRPr="00807F9A" w:rsidRDefault="00807F9A" w:rsidP="00980A6F">
      <w:pPr>
        <w:pStyle w:val="Heading5"/>
      </w:pPr>
      <w:r w:rsidRPr="00807F9A">
        <w:t>FIDE Data Exchange Format</w:t>
      </w:r>
    </w:p>
    <w:p w14:paraId="7ED86AA2" w14:textId="77777777" w:rsidR="00807F9A" w:rsidRPr="00807F9A" w:rsidRDefault="00807F9A" w:rsidP="00980A6F">
      <w:pPr>
        <w:pStyle w:val="Body4"/>
      </w:pPr>
      <w:r w:rsidRPr="00807F9A">
        <w:t xml:space="preserve">Also called Format of Tournament Report File (TRF, see below), it is the agreed general Data-Exchange Format for tournament results to be submitted to FIDE, for testing pairing and tie-break programs, and for in-tournament data exchange between THPs and between THPs and pairing engines. See Section C.02.03, Annexure A for the description of the current 2026 version (TRF26), and the TEC Manual for the description of older versions (Annexure B - TRF06 – Version 2006 and Annexure C </w:t>
      </w:r>
      <w:proofErr w:type="gramStart"/>
      <w:r w:rsidRPr="00807F9A">
        <w:t>-  TRF</w:t>
      </w:r>
      <w:proofErr w:type="gramEnd"/>
      <w:r w:rsidRPr="00807F9A">
        <w:t>16 – Version 2016).</w:t>
      </w:r>
    </w:p>
    <w:p w14:paraId="4F7FD591" w14:textId="77777777" w:rsidR="00807F9A" w:rsidRPr="00807F9A" w:rsidRDefault="00807F9A" w:rsidP="00980A6F">
      <w:pPr>
        <w:pStyle w:val="Body4"/>
      </w:pPr>
      <w:r w:rsidRPr="00807F9A">
        <w:t xml:space="preserve">See also Article 3.9.6 below, TRF-26 Clarifications and Recommended </w:t>
      </w:r>
      <w:r w:rsidRPr="00807F9A">
        <w:lastRenderedPageBreak/>
        <w:t>Conventions.</w:t>
      </w:r>
    </w:p>
    <w:p w14:paraId="7630FA4F" w14:textId="3DD4D740" w:rsidR="00807F9A" w:rsidRPr="00807F9A" w:rsidRDefault="00807F9A" w:rsidP="00980A6F">
      <w:pPr>
        <w:pStyle w:val="Heading5"/>
      </w:pPr>
      <w:r w:rsidRPr="00807F9A">
        <w:t xml:space="preserve">Tournament Report File (TRF) </w:t>
      </w:r>
    </w:p>
    <w:p w14:paraId="4FFF9259" w14:textId="77777777" w:rsidR="00807F9A" w:rsidRPr="00807F9A" w:rsidRDefault="00807F9A" w:rsidP="00980A6F">
      <w:pPr>
        <w:pStyle w:val="Body4"/>
      </w:pPr>
      <w:r w:rsidRPr="00807F9A">
        <w:t>It is a data file encoded in one of the standard formats, TRF26, TRF16, or TRF06.</w:t>
      </w:r>
    </w:p>
    <w:p w14:paraId="1A9E3EAB" w14:textId="196EEC50" w:rsidR="00807F9A" w:rsidRPr="00807F9A" w:rsidRDefault="00807F9A" w:rsidP="00980A6F">
      <w:pPr>
        <w:pStyle w:val="Heading5"/>
      </w:pPr>
      <w:r w:rsidRPr="00807F9A">
        <w:t>(Free) Pairings and Tie-Breaks Checker (PTC)</w:t>
      </w:r>
    </w:p>
    <w:p w14:paraId="43D6F3E6" w14:textId="77777777" w:rsidR="00807F9A" w:rsidRPr="00807F9A" w:rsidRDefault="00807F9A" w:rsidP="00980A6F">
      <w:pPr>
        <w:pStyle w:val="Body4"/>
      </w:pPr>
      <w:r w:rsidRPr="00807F9A">
        <w:t>The PTC is a tool embedded in the THP that contains the pairing engine and the tie-break routines, with a CLI that can be used freely by anyone (without the user interface).</w:t>
      </w:r>
    </w:p>
    <w:p w14:paraId="285786DD" w14:textId="77777777" w:rsidR="00807F9A" w:rsidRPr="00807F9A" w:rsidRDefault="00807F9A" w:rsidP="00980A6F">
      <w:pPr>
        <w:pStyle w:val="Body4"/>
      </w:pPr>
      <w:r w:rsidRPr="00807F9A">
        <w:t>For instance, on a Windows computer, be yourprogram.exe the name of the program executable. It is (normally) launched from a CLI or by double-clicking on it. The regular services it offers are not relevant from the (Pairings and Tie-Breaks) checker point of view.</w:t>
      </w:r>
    </w:p>
    <w:p w14:paraId="40DD8AA0" w14:textId="77777777" w:rsidR="00807F9A" w:rsidRPr="00807F9A" w:rsidRDefault="00807F9A" w:rsidP="00980A6F">
      <w:pPr>
        <w:pStyle w:val="Body4"/>
      </w:pPr>
      <w:r w:rsidRPr="00807F9A">
        <w:t>What it is expected from a checker is the possibility to launch yourprogram.exe from a CLI with some parameters, like in:</w:t>
      </w:r>
    </w:p>
    <w:p w14:paraId="0E1BFAC3" w14:textId="77777777" w:rsidR="00807F9A" w:rsidRPr="00980A6F" w:rsidRDefault="00807F9A" w:rsidP="00980A6F">
      <w:pPr>
        <w:pStyle w:val="Body4"/>
        <w:rPr>
          <w:b/>
          <w:bCs/>
        </w:rPr>
      </w:pPr>
      <w:r w:rsidRPr="00980A6F">
        <w:rPr>
          <w:b/>
          <w:bCs/>
        </w:rPr>
        <w:t xml:space="preserve">yourprogram.exe -check </w:t>
      </w:r>
      <w:proofErr w:type="spellStart"/>
      <w:r w:rsidRPr="00980A6F">
        <w:rPr>
          <w:b/>
          <w:bCs/>
        </w:rPr>
        <w:t>FIDE_Report_File.fid</w:t>
      </w:r>
      <w:proofErr w:type="spellEnd"/>
    </w:p>
    <w:p w14:paraId="626FCE20" w14:textId="77777777" w:rsidR="00807F9A" w:rsidRPr="00807F9A" w:rsidRDefault="00807F9A" w:rsidP="00980A6F">
      <w:pPr>
        <w:pStyle w:val="Body4"/>
      </w:pPr>
      <w:r w:rsidRPr="00807F9A">
        <w:t xml:space="preserve">The checker must be able to read </w:t>
      </w:r>
      <w:proofErr w:type="spellStart"/>
      <w:r w:rsidRPr="00807F9A">
        <w:t>FIDE_Report_File.fid</w:t>
      </w:r>
      <w:proofErr w:type="spellEnd"/>
      <w:r w:rsidRPr="00807F9A">
        <w:t xml:space="preserve"> when encoded in TRF26. Then, for each round, the checker must rebuild the tournament, pair each round using the embedded pairing engine, check the standings according to the listed tie-breaks and output a report describing which pairings are or, more usefully, are not consistent with those produced by the pairing engine, and the same goes for the standings.</w:t>
      </w:r>
    </w:p>
    <w:p w14:paraId="76437FCF" w14:textId="2F718A11" w:rsidR="00807F9A" w:rsidRPr="00807F9A" w:rsidRDefault="00807F9A" w:rsidP="00980A6F">
      <w:pPr>
        <w:pStyle w:val="Heading5"/>
      </w:pPr>
      <w:r w:rsidRPr="00807F9A">
        <w:t>Random Tournament Generator (RTG)</w:t>
      </w:r>
    </w:p>
    <w:p w14:paraId="168B0E67" w14:textId="77777777" w:rsidR="00807F9A" w:rsidRPr="00807F9A" w:rsidRDefault="00807F9A" w:rsidP="00980A6F">
      <w:pPr>
        <w:pStyle w:val="Body4"/>
      </w:pPr>
      <w:r w:rsidRPr="00807F9A">
        <w:t>The RTG is a freely available tool that, preferably run from a CLI, can easily generate many simulated tournaments widely parametrized (for number of players, number of teams, number of rounds, unplayed games, acceleration methods, tie-breaks used) producing a full TRF (TRF26) file for each of them.</w:t>
      </w:r>
    </w:p>
    <w:p w14:paraId="6FB455F7" w14:textId="77777777" w:rsidR="00807F9A" w:rsidRPr="00807F9A" w:rsidRDefault="00807F9A" w:rsidP="00980A6F">
      <w:pPr>
        <w:pStyle w:val="Body4"/>
      </w:pPr>
      <w:r w:rsidRPr="00807F9A">
        <w:t xml:space="preserve">In all those tournaments, the pairing rules implemented by the pairing engine must be strictly followed, and the standings must be calculated correctly. It is recommended that the game results somewhat respect the probabilities given by the FIDE rating table (see Statistical Model </w:t>
      </w:r>
      <w:proofErr w:type="gramStart"/>
      <w:r w:rsidRPr="00807F9A">
        <w:t>For</w:t>
      </w:r>
      <w:proofErr w:type="gramEnd"/>
      <w:r w:rsidRPr="00807F9A">
        <w:t xml:space="preserve"> </w:t>
      </w:r>
      <w:r w:rsidRPr="00807F9A">
        <w:lastRenderedPageBreak/>
        <w:t>Chess Tournament Simulations under [TEC website -</w:t>
      </w:r>
      <w:proofErr w:type="gramStart"/>
      <w:r w:rsidRPr="00807F9A">
        <w:t>Documents](</w:t>
      </w:r>
      <w:proofErr w:type="gramEnd"/>
      <w:r w:rsidRPr="00807F9A">
        <w:t xml:space="preserve"> https://tec.fide.com/official-documents/), for suggestions on how to code such a probability table).</w:t>
      </w:r>
    </w:p>
    <w:p w14:paraId="7452C8AF" w14:textId="77777777" w:rsidR="00807F9A" w:rsidRPr="00807F9A" w:rsidRDefault="00807F9A" w:rsidP="00980A6F">
      <w:pPr>
        <w:pStyle w:val="Body4"/>
      </w:pPr>
      <w:r w:rsidRPr="00807F9A">
        <w:t>The output of the RTG is bound to be checked by one or more different PTCs.</w:t>
      </w:r>
    </w:p>
    <w:p w14:paraId="26E9C767" w14:textId="2F17AA00" w:rsidR="00807F9A" w:rsidRPr="00807F9A" w:rsidRDefault="00807F9A" w:rsidP="00980A6F">
      <w:pPr>
        <w:pStyle w:val="Heading4"/>
      </w:pPr>
      <w:r w:rsidRPr="00807F9A">
        <w:t>The verification of the candidate pairing and tie-breaks engine is conducted automatically using the PTC and RTG of an already accepted THP.</w:t>
      </w:r>
    </w:p>
    <w:p w14:paraId="71938E8F" w14:textId="77777777" w:rsidR="00807F9A" w:rsidRPr="00807F9A" w:rsidRDefault="00807F9A" w:rsidP="00980A6F">
      <w:pPr>
        <w:pStyle w:val="Body3"/>
      </w:pPr>
      <w:r w:rsidRPr="00807F9A">
        <w:t>Note: Since all the required verification tools are freely available to THP developers, TEC expects this step to be a routine formality. No TAPC application should be submitted unless the pairing system fully complies with the parameters described below.</w:t>
      </w:r>
    </w:p>
    <w:p w14:paraId="44D1037A" w14:textId="75A0D14E" w:rsidR="00807F9A" w:rsidRPr="00807F9A" w:rsidRDefault="00807F9A" w:rsidP="00980A6F">
      <w:pPr>
        <w:pStyle w:val="Heading4"/>
      </w:pPr>
      <w:r w:rsidRPr="00807F9A">
        <w:t>Large-Scale Tournament Testing</w:t>
      </w:r>
    </w:p>
    <w:p w14:paraId="217F3F28" w14:textId="27C7AC73" w:rsidR="00807F9A" w:rsidRPr="00807F9A" w:rsidRDefault="00807F9A" w:rsidP="00980A6F">
      <w:pPr>
        <w:pStyle w:val="Heading5"/>
      </w:pPr>
      <w:r w:rsidRPr="00807F9A">
        <w:t>An external RTG generates 50,000 random tournaments.</w:t>
      </w:r>
    </w:p>
    <w:p w14:paraId="29A6A139" w14:textId="0714CA38" w:rsidR="00807F9A" w:rsidRPr="00807F9A" w:rsidRDefault="00807F9A" w:rsidP="00980A6F">
      <w:pPr>
        <w:pStyle w:val="Heading5"/>
      </w:pPr>
      <w:r w:rsidRPr="00807F9A">
        <w:t>These tournaments are processed by the candidate PTC, and all discrepancies between expected and actual results are logged.</w:t>
      </w:r>
    </w:p>
    <w:p w14:paraId="7883CA51" w14:textId="25DA8A78" w:rsidR="00807F9A" w:rsidRPr="00807F9A" w:rsidRDefault="00807F9A" w:rsidP="00980A6F">
      <w:pPr>
        <w:pStyle w:val="Heading5"/>
      </w:pPr>
      <w:r w:rsidRPr="00807F9A">
        <w:t>If the number of discrepancies does not exceed 10, each discrepancy is analysed.</w:t>
      </w:r>
    </w:p>
    <w:p w14:paraId="72F5719F" w14:textId="0128A751" w:rsidR="00807F9A" w:rsidRPr="00807F9A" w:rsidRDefault="00807F9A" w:rsidP="00980A6F">
      <w:pPr>
        <w:pStyle w:val="Heading5"/>
      </w:pPr>
      <w:r w:rsidRPr="00807F9A">
        <w:t>If there are more than 10 discrepancies, the TAPC application is rejected and FIDE Handbook Article C.02.01:5.12 applies.</w:t>
      </w:r>
    </w:p>
    <w:p w14:paraId="4D14C5B1" w14:textId="69DC78A6" w:rsidR="00807F9A" w:rsidRPr="00807F9A" w:rsidRDefault="00807F9A" w:rsidP="00980A6F">
      <w:pPr>
        <w:pStyle w:val="Heading4"/>
      </w:pPr>
      <w:r w:rsidRPr="00807F9A">
        <w:t>Classification of Discrepancies</w:t>
      </w:r>
    </w:p>
    <w:p w14:paraId="30F0E48E" w14:textId="77777777" w:rsidR="00807F9A" w:rsidRPr="00807F9A" w:rsidRDefault="00807F9A" w:rsidP="00980A6F">
      <w:pPr>
        <w:pStyle w:val="Body3"/>
      </w:pPr>
      <w:r w:rsidRPr="00807F9A">
        <w:t>Discrepancies identified by the candidate PTC may arise from:</w:t>
      </w:r>
    </w:p>
    <w:p w14:paraId="247CD97B" w14:textId="5AA7BAC0" w:rsidR="00807F9A" w:rsidRPr="00807F9A" w:rsidRDefault="00807F9A" w:rsidP="00980A6F">
      <w:pPr>
        <w:pStyle w:val="Heading5"/>
      </w:pPr>
      <w:r w:rsidRPr="00807F9A">
        <w:t>Errors in the input file – The discrepancy originates from the RTG of the already accepted THP.</w:t>
      </w:r>
    </w:p>
    <w:p w14:paraId="64AFF882" w14:textId="234F7754" w:rsidR="00807F9A" w:rsidRPr="00807F9A" w:rsidRDefault="00807F9A" w:rsidP="00980A6F">
      <w:pPr>
        <w:pStyle w:val="Heading5"/>
      </w:pPr>
      <w:r w:rsidRPr="00807F9A">
        <w:t>Errors in the pairing engine of the candidate THP – The discrepancy is caused by a flaw in the candidate’s implementation.</w:t>
      </w:r>
    </w:p>
    <w:p w14:paraId="4DDD6F3D" w14:textId="6E3B0B55" w:rsidR="00807F9A" w:rsidRPr="00807F9A" w:rsidRDefault="00807F9A" w:rsidP="00980A6F">
      <w:pPr>
        <w:pStyle w:val="Heading5"/>
      </w:pPr>
      <w:r w:rsidRPr="00807F9A">
        <w:t>Interpretation divergences – The discrepancy is due to unclear rules in the FIDE pairing system.</w:t>
      </w:r>
    </w:p>
    <w:p w14:paraId="43015319" w14:textId="6E164518" w:rsidR="00807F9A" w:rsidRPr="00807F9A" w:rsidRDefault="00807F9A" w:rsidP="00980A6F">
      <w:pPr>
        <w:pStyle w:val="Heading4"/>
      </w:pPr>
      <w:r w:rsidRPr="00807F9A">
        <w:t>If discrepancies stem from an input file error (see Article 7.a above), they are referred to the RTG provider, provided that the issue is solely RTG-dependent and not due to a flaw in the already accepted THP. If the error is traced to the accepted THP, Article 3.7 above (Manual Revocation) applies immediately.</w:t>
      </w:r>
    </w:p>
    <w:p w14:paraId="24DDBB0D" w14:textId="193BE030" w:rsidR="00807F9A" w:rsidRPr="00807F9A" w:rsidRDefault="00807F9A" w:rsidP="00980A6F">
      <w:pPr>
        <w:pStyle w:val="Heading4"/>
      </w:pPr>
      <w:r w:rsidRPr="00807F9A">
        <w:t>Cases classified under Article 7.c above (interpretation divergences) are forwarded to TEC, which must issue an official clarification statement. Any necessary adjustments will be included in the next revision of the FIDE pairing system rules.</w:t>
      </w:r>
    </w:p>
    <w:p w14:paraId="695DBACF" w14:textId="4EC4F52F" w:rsidR="00807F9A" w:rsidRPr="00807F9A" w:rsidRDefault="00807F9A" w:rsidP="00980A6F">
      <w:pPr>
        <w:pStyle w:val="Heading4"/>
      </w:pPr>
      <w:r w:rsidRPr="00807F9A">
        <w:lastRenderedPageBreak/>
        <w:t>If the discrepancy is due to an error in the candidate THP (see Article 7.b above), the candidate must correct the issue. FIDE Handbook Article C.02.01:5.12 applies.</w:t>
      </w:r>
    </w:p>
    <w:p w14:paraId="4BD49647" w14:textId="602F4B29" w:rsidR="00807F9A" w:rsidRPr="00807F9A" w:rsidRDefault="00807F9A" w:rsidP="00980A6F">
      <w:pPr>
        <w:pStyle w:val="Heading4"/>
      </w:pPr>
      <w:r w:rsidRPr="00807F9A">
        <w:t>Testing Using the Candidate’s Own RTG</w:t>
      </w:r>
    </w:p>
    <w:p w14:paraId="3595FE08" w14:textId="723B916A" w:rsidR="00807F9A" w:rsidRPr="00807F9A" w:rsidRDefault="00807F9A" w:rsidP="00980A6F">
      <w:pPr>
        <w:pStyle w:val="Heading5"/>
      </w:pPr>
      <w:r w:rsidRPr="00807F9A">
        <w:t>If the candidate THP has its own RTG, this generator will be used to create 50,000 random tournaments.</w:t>
      </w:r>
    </w:p>
    <w:p w14:paraId="563F4362" w14:textId="4F36EB45" w:rsidR="00807F9A" w:rsidRPr="00807F9A" w:rsidRDefault="00807F9A" w:rsidP="00980A6F">
      <w:pPr>
        <w:pStyle w:val="Heading5"/>
      </w:pPr>
      <w:r w:rsidRPr="00807F9A">
        <w:t>These tournaments will then be processed by one or more available PTCs for verification.</w:t>
      </w:r>
    </w:p>
    <w:p w14:paraId="5408F592" w14:textId="099F39A3" w:rsidR="00807F9A" w:rsidRPr="00807F9A" w:rsidRDefault="00807F9A" w:rsidP="00980A6F">
      <w:pPr>
        <w:pStyle w:val="Heading5"/>
      </w:pPr>
      <w:r w:rsidRPr="00807F9A">
        <w:t>The analysis of discrepancies follows the same rules outlined in Articles 7 to 10 above.</w:t>
      </w:r>
    </w:p>
    <w:p w14:paraId="76C1BC40" w14:textId="1C3840B5" w:rsidR="00807F9A" w:rsidRPr="00807F9A" w:rsidRDefault="00807F9A" w:rsidP="00980A6F">
      <w:pPr>
        <w:pStyle w:val="Heading3"/>
      </w:pPr>
      <w:r w:rsidRPr="00807F9A">
        <w:t>Warning Levels and THP Behaviour</w:t>
      </w:r>
    </w:p>
    <w:p w14:paraId="015FD7C5" w14:textId="096B7ADA" w:rsidR="00807F9A" w:rsidRPr="00807F9A" w:rsidRDefault="00807F9A" w:rsidP="00980A6F">
      <w:pPr>
        <w:pStyle w:val="Heading4"/>
      </w:pPr>
      <w:r w:rsidRPr="00807F9A">
        <w:t xml:space="preserve">The THP </w:t>
      </w:r>
      <w:proofErr w:type="gramStart"/>
      <w:r w:rsidRPr="00807F9A">
        <w:t>has to</w:t>
      </w:r>
      <w:proofErr w:type="gramEnd"/>
      <w:r w:rsidRPr="00807F9A">
        <w:t xml:space="preserve"> implement a structured set of warning levels </w:t>
      </w:r>
      <w:proofErr w:type="gramStart"/>
      <w:r w:rsidRPr="00807F9A">
        <w:t>in order to</w:t>
      </w:r>
      <w:proofErr w:type="gramEnd"/>
      <w:r w:rsidRPr="00807F9A">
        <w:t xml:space="preserve"> inform the user about actions that are non-standard, not explicitly covered by the regulations, or not compliant with them. </w:t>
      </w:r>
    </w:p>
    <w:p w14:paraId="54E53F10" w14:textId="71787FF4" w:rsidR="00807F9A" w:rsidRPr="00807F9A" w:rsidRDefault="00807F9A" w:rsidP="00980A6F">
      <w:pPr>
        <w:pStyle w:val="Heading4"/>
      </w:pPr>
      <w:r w:rsidRPr="00807F9A">
        <w:t xml:space="preserve">Each warning level corresponds to a specific category of action and determines both the THP behaviour and the level of user interaction required. </w:t>
      </w:r>
    </w:p>
    <w:p w14:paraId="79B11FE1" w14:textId="53411C16" w:rsidR="00807F9A" w:rsidRPr="00807F9A" w:rsidRDefault="00807F9A" w:rsidP="00980A6F">
      <w:pPr>
        <w:pStyle w:val="Heading4"/>
      </w:pPr>
      <w:r w:rsidRPr="00807F9A">
        <w:t>The warning levels are defined as follows:</w:t>
      </w:r>
    </w:p>
    <w:tbl>
      <w:tblPr>
        <w:tblW w:w="0" w:type="auto"/>
        <w:tblCellSpacing w:w="15" w:type="dxa"/>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655"/>
        <w:gridCol w:w="2259"/>
        <w:gridCol w:w="2600"/>
        <w:gridCol w:w="2387"/>
      </w:tblGrid>
      <w:tr w:rsidR="006A2D3A" w:rsidRPr="006A2D3A" w14:paraId="774FB345" w14:textId="77777777" w:rsidTr="00347B91">
        <w:trPr>
          <w:cantSplit/>
          <w:tblHeader/>
          <w:tblCellSpacing w:w="15" w:type="dxa"/>
        </w:trPr>
        <w:tc>
          <w:tcPr>
            <w:tcW w:w="0" w:type="auto"/>
            <w:vAlign w:val="center"/>
          </w:tcPr>
          <w:p w14:paraId="1008DAD0"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center"/>
              <w:rPr>
                <w:rFonts w:ascii="Times New Roman" w:hAnsi="Times New Roman" w:cs="Times New Roman"/>
                <w:b/>
                <w:bCs/>
                <w:sz w:val="24"/>
                <w:lang w:val="en-US"/>
              </w:rPr>
            </w:pPr>
            <w:r w:rsidRPr="006A2D3A">
              <w:rPr>
                <w:rFonts w:ascii="Times New Roman" w:hAnsi="Times New Roman" w:cs="Times New Roman"/>
                <w:b/>
                <w:bCs/>
                <w:sz w:val="24"/>
                <w:lang w:val="en-US"/>
              </w:rPr>
              <w:t>Level</w:t>
            </w:r>
          </w:p>
        </w:tc>
        <w:tc>
          <w:tcPr>
            <w:tcW w:w="0" w:type="auto"/>
            <w:vAlign w:val="center"/>
          </w:tcPr>
          <w:p w14:paraId="3EBF08CC"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center"/>
              <w:rPr>
                <w:rFonts w:ascii="Times New Roman" w:hAnsi="Times New Roman" w:cs="Times New Roman"/>
                <w:b/>
                <w:bCs/>
                <w:sz w:val="24"/>
                <w:lang w:val="en-US"/>
              </w:rPr>
            </w:pPr>
            <w:r w:rsidRPr="006A2D3A">
              <w:rPr>
                <w:rFonts w:ascii="Times New Roman" w:hAnsi="Times New Roman" w:cs="Times New Roman"/>
                <w:b/>
                <w:bCs/>
                <w:sz w:val="24"/>
                <w:lang w:val="en-US"/>
              </w:rPr>
              <w:t>Description</w:t>
            </w:r>
          </w:p>
        </w:tc>
        <w:tc>
          <w:tcPr>
            <w:tcW w:w="0" w:type="auto"/>
            <w:vAlign w:val="center"/>
          </w:tcPr>
          <w:p w14:paraId="41C14C88"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center"/>
              <w:rPr>
                <w:rFonts w:ascii="Times New Roman" w:hAnsi="Times New Roman" w:cs="Times New Roman"/>
                <w:b/>
                <w:bCs/>
                <w:sz w:val="24"/>
                <w:lang w:val="en-US"/>
              </w:rPr>
            </w:pPr>
            <w:proofErr w:type="gramStart"/>
            <w:r w:rsidRPr="006A2D3A">
              <w:rPr>
                <w:rFonts w:ascii="Times New Roman" w:hAnsi="Times New Roman" w:cs="Times New Roman"/>
                <w:b/>
                <w:bCs/>
                <w:sz w:val="24"/>
                <w:lang w:val="en-US"/>
              </w:rPr>
              <w:t>Recommended</w:t>
            </w:r>
            <w:proofErr w:type="gramEnd"/>
          </w:p>
          <w:p w14:paraId="2FA1CFC1"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center"/>
              <w:rPr>
                <w:rFonts w:ascii="Times New Roman" w:hAnsi="Times New Roman" w:cs="Times New Roman"/>
                <w:b/>
                <w:bCs/>
                <w:sz w:val="24"/>
                <w:lang w:val="en-US"/>
              </w:rPr>
            </w:pPr>
            <w:r w:rsidRPr="006A2D3A">
              <w:rPr>
                <w:rFonts w:ascii="Times New Roman" w:hAnsi="Times New Roman" w:cs="Times New Roman"/>
                <w:b/>
                <w:bCs/>
                <w:sz w:val="24"/>
                <w:lang w:val="en-US"/>
              </w:rPr>
              <w:t>THP Action</w:t>
            </w:r>
          </w:p>
        </w:tc>
        <w:tc>
          <w:tcPr>
            <w:tcW w:w="0" w:type="auto"/>
            <w:vAlign w:val="center"/>
          </w:tcPr>
          <w:p w14:paraId="6DABEA7D"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center"/>
              <w:rPr>
                <w:rFonts w:ascii="Times New Roman" w:hAnsi="Times New Roman" w:cs="Times New Roman"/>
                <w:b/>
                <w:bCs/>
                <w:sz w:val="24"/>
                <w:lang w:val="en-US"/>
              </w:rPr>
            </w:pPr>
            <w:r w:rsidRPr="006A2D3A">
              <w:rPr>
                <w:rFonts w:ascii="Times New Roman" w:hAnsi="Times New Roman" w:cs="Times New Roman"/>
                <w:b/>
                <w:bCs/>
                <w:sz w:val="24"/>
                <w:lang w:val="en-US"/>
              </w:rPr>
              <w:t>Examples</w:t>
            </w:r>
          </w:p>
        </w:tc>
      </w:tr>
      <w:tr w:rsidR="006A2D3A" w:rsidRPr="006A2D3A" w14:paraId="21F0E1D6" w14:textId="77777777" w:rsidTr="00347B91">
        <w:trPr>
          <w:cantSplit/>
          <w:tblCellSpacing w:w="15" w:type="dxa"/>
        </w:trPr>
        <w:tc>
          <w:tcPr>
            <w:tcW w:w="0" w:type="auto"/>
            <w:vAlign w:val="center"/>
          </w:tcPr>
          <w:p w14:paraId="479D53A1"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center"/>
              <w:rPr>
                <w:rFonts w:ascii="Times New Roman" w:hAnsi="Times New Roman" w:cs="Times New Roman"/>
                <w:b/>
                <w:sz w:val="24"/>
                <w:lang w:val="en-US"/>
              </w:rPr>
            </w:pPr>
            <w:r w:rsidRPr="006A2D3A">
              <w:rPr>
                <w:rFonts w:ascii="Times New Roman" w:hAnsi="Times New Roman" w:cs="Times New Roman"/>
                <w:b/>
                <w:sz w:val="24"/>
                <w:lang w:val="en-US"/>
              </w:rPr>
              <w:t>1</w:t>
            </w:r>
          </w:p>
        </w:tc>
        <w:tc>
          <w:tcPr>
            <w:tcW w:w="0" w:type="auto"/>
            <w:vAlign w:val="center"/>
          </w:tcPr>
          <w:p w14:paraId="799E212D"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left"/>
              <w:rPr>
                <w:rFonts w:ascii="Times New Roman" w:hAnsi="Times New Roman" w:cs="Times New Roman"/>
                <w:sz w:val="24"/>
                <w:lang w:val="en-US"/>
              </w:rPr>
            </w:pPr>
            <w:r w:rsidRPr="006A2D3A">
              <w:rPr>
                <w:rFonts w:ascii="Times New Roman" w:hAnsi="Times New Roman" w:cs="Times New Roman"/>
                <w:sz w:val="24"/>
                <w:lang w:val="en-US"/>
              </w:rPr>
              <w:t>Non-standard actions</w:t>
            </w:r>
          </w:p>
        </w:tc>
        <w:tc>
          <w:tcPr>
            <w:tcW w:w="0" w:type="auto"/>
            <w:vAlign w:val="center"/>
          </w:tcPr>
          <w:p w14:paraId="426BA572"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left"/>
              <w:rPr>
                <w:rFonts w:ascii="Times New Roman" w:hAnsi="Times New Roman" w:cs="Times New Roman"/>
                <w:sz w:val="24"/>
                <w:lang w:val="en-US"/>
              </w:rPr>
            </w:pPr>
            <w:r w:rsidRPr="006A2D3A">
              <w:rPr>
                <w:rFonts w:ascii="Times New Roman" w:hAnsi="Times New Roman" w:cs="Times New Roman"/>
                <w:sz w:val="24"/>
                <w:lang w:val="en-US"/>
              </w:rPr>
              <w:t>Action allowed without explicit warning</w:t>
            </w:r>
          </w:p>
        </w:tc>
        <w:tc>
          <w:tcPr>
            <w:tcW w:w="0" w:type="auto"/>
            <w:vAlign w:val="center"/>
          </w:tcPr>
          <w:p w14:paraId="36B6E80C"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Insertion of non-standard results (e.g. 0–½, 0–0)</w:t>
            </w:r>
          </w:p>
        </w:tc>
      </w:tr>
      <w:tr w:rsidR="006A2D3A" w:rsidRPr="006A2D3A" w14:paraId="62E7507A" w14:textId="77777777" w:rsidTr="00347B91">
        <w:trPr>
          <w:cantSplit/>
          <w:tblCellSpacing w:w="15" w:type="dxa"/>
        </w:trPr>
        <w:tc>
          <w:tcPr>
            <w:tcW w:w="0" w:type="auto"/>
            <w:vAlign w:val="center"/>
          </w:tcPr>
          <w:p w14:paraId="3114A18A"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center"/>
              <w:rPr>
                <w:rFonts w:ascii="Times New Roman" w:hAnsi="Times New Roman" w:cs="Times New Roman"/>
                <w:b/>
                <w:sz w:val="24"/>
                <w:lang w:val="en-US"/>
              </w:rPr>
            </w:pPr>
            <w:r w:rsidRPr="006A2D3A">
              <w:rPr>
                <w:rFonts w:ascii="Times New Roman" w:hAnsi="Times New Roman" w:cs="Times New Roman"/>
                <w:b/>
                <w:sz w:val="24"/>
                <w:lang w:val="en-US"/>
              </w:rPr>
              <w:t>2</w:t>
            </w:r>
          </w:p>
        </w:tc>
        <w:tc>
          <w:tcPr>
            <w:tcW w:w="0" w:type="auto"/>
            <w:vAlign w:val="center"/>
          </w:tcPr>
          <w:p w14:paraId="7F85F9F4"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left"/>
              <w:rPr>
                <w:rFonts w:ascii="Times New Roman" w:hAnsi="Times New Roman" w:cs="Times New Roman"/>
                <w:sz w:val="24"/>
                <w:lang w:val="en-US"/>
              </w:rPr>
            </w:pPr>
            <w:r w:rsidRPr="006A2D3A">
              <w:rPr>
                <w:rFonts w:ascii="Times New Roman" w:hAnsi="Times New Roman" w:cs="Times New Roman"/>
                <w:sz w:val="24"/>
                <w:lang w:val="en-US"/>
              </w:rPr>
              <w:t>Actions not described by the regulations</w:t>
            </w:r>
          </w:p>
        </w:tc>
        <w:tc>
          <w:tcPr>
            <w:tcW w:w="0" w:type="auto"/>
            <w:vAlign w:val="center"/>
          </w:tcPr>
          <w:p w14:paraId="51D30924"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left"/>
              <w:rPr>
                <w:rFonts w:ascii="Times New Roman" w:hAnsi="Times New Roman" w:cs="Times New Roman"/>
                <w:sz w:val="24"/>
                <w:lang w:val="en-US"/>
              </w:rPr>
            </w:pPr>
            <w:r w:rsidRPr="006A2D3A">
              <w:rPr>
                <w:rFonts w:ascii="Times New Roman" w:hAnsi="Times New Roman" w:cs="Times New Roman"/>
                <w:sz w:val="24"/>
                <w:lang w:val="en-US"/>
              </w:rPr>
              <w:t>Informational warning (acknowledgement only)</w:t>
            </w:r>
          </w:p>
        </w:tc>
        <w:tc>
          <w:tcPr>
            <w:tcW w:w="0" w:type="auto"/>
            <w:vAlign w:val="center"/>
          </w:tcPr>
          <w:p w14:paraId="28127B87"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Assignment of a full-point bye</w:t>
            </w:r>
          </w:p>
          <w:p w14:paraId="6819AE86"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Games without results are registered as adjourned games</w:t>
            </w:r>
          </w:p>
          <w:p w14:paraId="3C494BA2"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Pairing a round when there are adjourned games in previous rounds</w:t>
            </w:r>
          </w:p>
        </w:tc>
      </w:tr>
      <w:tr w:rsidR="006A2D3A" w:rsidRPr="006A2D3A" w14:paraId="3E056314" w14:textId="77777777" w:rsidTr="00347B91">
        <w:trPr>
          <w:cantSplit/>
          <w:tblCellSpacing w:w="15" w:type="dxa"/>
        </w:trPr>
        <w:tc>
          <w:tcPr>
            <w:tcW w:w="0" w:type="auto"/>
            <w:vAlign w:val="center"/>
          </w:tcPr>
          <w:p w14:paraId="5F075539"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center"/>
              <w:rPr>
                <w:rFonts w:ascii="Times New Roman" w:hAnsi="Times New Roman" w:cs="Times New Roman"/>
                <w:b/>
                <w:sz w:val="24"/>
                <w:lang w:val="en-US"/>
              </w:rPr>
            </w:pPr>
            <w:r w:rsidRPr="006A2D3A">
              <w:rPr>
                <w:rFonts w:ascii="Times New Roman" w:hAnsi="Times New Roman" w:cs="Times New Roman"/>
                <w:b/>
                <w:sz w:val="24"/>
                <w:lang w:val="en-US"/>
              </w:rPr>
              <w:t>3</w:t>
            </w:r>
          </w:p>
        </w:tc>
        <w:tc>
          <w:tcPr>
            <w:tcW w:w="0" w:type="auto"/>
            <w:vAlign w:val="center"/>
          </w:tcPr>
          <w:p w14:paraId="375D640B"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left"/>
              <w:rPr>
                <w:rFonts w:ascii="Times New Roman" w:hAnsi="Times New Roman" w:cs="Times New Roman"/>
                <w:sz w:val="24"/>
                <w:lang w:val="en-US"/>
              </w:rPr>
            </w:pPr>
            <w:r w:rsidRPr="006A2D3A">
              <w:rPr>
                <w:rFonts w:ascii="Times New Roman" w:hAnsi="Times New Roman" w:cs="Times New Roman"/>
                <w:sz w:val="24"/>
                <w:lang w:val="en-US"/>
              </w:rPr>
              <w:t>Actions not compliant with the regulations but harmless</w:t>
            </w:r>
          </w:p>
        </w:tc>
        <w:tc>
          <w:tcPr>
            <w:tcW w:w="0" w:type="auto"/>
            <w:vAlign w:val="center"/>
          </w:tcPr>
          <w:p w14:paraId="14D3C8E6"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left"/>
              <w:rPr>
                <w:rFonts w:ascii="Times New Roman" w:hAnsi="Times New Roman" w:cs="Times New Roman"/>
                <w:sz w:val="24"/>
                <w:lang w:val="en-US"/>
              </w:rPr>
            </w:pPr>
            <w:r w:rsidRPr="006A2D3A">
              <w:rPr>
                <w:rFonts w:ascii="Times New Roman" w:hAnsi="Times New Roman" w:cs="Times New Roman"/>
                <w:sz w:val="24"/>
                <w:lang w:val="en-US"/>
              </w:rPr>
              <w:t>Warning with confirmation (proceed or cancel)</w:t>
            </w:r>
          </w:p>
        </w:tc>
        <w:tc>
          <w:tcPr>
            <w:tcW w:w="0" w:type="auto"/>
            <w:vAlign w:val="center"/>
          </w:tcPr>
          <w:p w14:paraId="1BCEDD4C"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 w:val="num" w:pos="2520"/>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TRF Import with discrepancies</w:t>
            </w:r>
          </w:p>
          <w:p w14:paraId="6A0C79DC"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 w:val="num" w:pos="2520"/>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Manual pairing infringing absolute criteria or involving prohibited pairings.</w:t>
            </w:r>
          </w:p>
          <w:p w14:paraId="7BABD12C"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 w:val="num" w:pos="2520"/>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Pairing altered manually</w:t>
            </w:r>
          </w:p>
          <w:p w14:paraId="0984868A"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 w:val="num" w:pos="2520"/>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Any Pairing Integrity Breaching Event (PIBE)</w:t>
            </w:r>
          </w:p>
          <w:p w14:paraId="3C2A11DB"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 w:val="num" w:pos="2520"/>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Exchanging TPNs between two players who were properly sorted according to rating</w:t>
            </w:r>
          </w:p>
          <w:p w14:paraId="34FBE177"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 w:val="num" w:pos="2520"/>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Second HPB to a player</w:t>
            </w:r>
          </w:p>
        </w:tc>
      </w:tr>
      <w:tr w:rsidR="006A2D3A" w:rsidRPr="006A2D3A" w14:paraId="1FBF76FD" w14:textId="77777777" w:rsidTr="00347B91">
        <w:trPr>
          <w:cantSplit/>
          <w:tblCellSpacing w:w="15" w:type="dxa"/>
        </w:trPr>
        <w:tc>
          <w:tcPr>
            <w:tcW w:w="0" w:type="auto"/>
            <w:vAlign w:val="center"/>
          </w:tcPr>
          <w:p w14:paraId="6FB6CFBA"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center"/>
              <w:rPr>
                <w:rFonts w:ascii="Times New Roman" w:hAnsi="Times New Roman" w:cs="Times New Roman"/>
                <w:b/>
                <w:sz w:val="24"/>
                <w:lang w:val="en-US"/>
              </w:rPr>
            </w:pPr>
            <w:r w:rsidRPr="006A2D3A">
              <w:rPr>
                <w:rFonts w:ascii="Times New Roman" w:hAnsi="Times New Roman" w:cs="Times New Roman"/>
                <w:b/>
                <w:sz w:val="24"/>
                <w:lang w:val="en-US"/>
              </w:rPr>
              <w:t>4</w:t>
            </w:r>
          </w:p>
        </w:tc>
        <w:tc>
          <w:tcPr>
            <w:tcW w:w="0" w:type="auto"/>
            <w:vAlign w:val="center"/>
          </w:tcPr>
          <w:p w14:paraId="534C0E20"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left"/>
              <w:rPr>
                <w:rFonts w:ascii="Times New Roman" w:hAnsi="Times New Roman" w:cs="Times New Roman"/>
                <w:sz w:val="24"/>
                <w:lang w:val="en-US"/>
              </w:rPr>
            </w:pPr>
            <w:r w:rsidRPr="006A2D3A">
              <w:rPr>
                <w:rFonts w:ascii="Times New Roman" w:hAnsi="Times New Roman" w:cs="Times New Roman"/>
                <w:sz w:val="24"/>
                <w:lang w:val="en-US"/>
              </w:rPr>
              <w:t>Actions not compliant but potentially necessary</w:t>
            </w:r>
          </w:p>
        </w:tc>
        <w:tc>
          <w:tcPr>
            <w:tcW w:w="0" w:type="auto"/>
            <w:vAlign w:val="center"/>
          </w:tcPr>
          <w:p w14:paraId="27C6CFB2"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left"/>
              <w:rPr>
                <w:rFonts w:ascii="Times New Roman" w:hAnsi="Times New Roman" w:cs="Times New Roman"/>
                <w:sz w:val="24"/>
                <w:lang w:val="en-US"/>
              </w:rPr>
            </w:pPr>
            <w:r w:rsidRPr="006A2D3A">
              <w:rPr>
                <w:rFonts w:ascii="Times New Roman" w:hAnsi="Times New Roman" w:cs="Times New Roman"/>
                <w:sz w:val="24"/>
                <w:lang w:val="en-US"/>
              </w:rPr>
              <w:t>Double warning (two-step confirmation required)</w:t>
            </w:r>
          </w:p>
        </w:tc>
        <w:tc>
          <w:tcPr>
            <w:tcW w:w="0" w:type="auto"/>
            <w:vAlign w:val="center"/>
          </w:tcPr>
          <w:p w14:paraId="111AB2FD"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Exit from FIDE mode</w:t>
            </w:r>
          </w:p>
          <w:p w14:paraId="485146C9"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 w:val="num" w:pos="2520"/>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Changing the number of rounds during the tournament</w:t>
            </w:r>
          </w:p>
          <w:p w14:paraId="711573AB"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 w:val="num" w:pos="2520"/>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Regenerate TPNs after the fourth round has been paired</w:t>
            </w:r>
          </w:p>
          <w:p w14:paraId="5F03617A"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 w:val="num" w:pos="2520"/>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Modification of tie-break list during the tournament</w:t>
            </w:r>
          </w:p>
        </w:tc>
      </w:tr>
      <w:tr w:rsidR="006A2D3A" w:rsidRPr="006A2D3A" w14:paraId="514E4649" w14:textId="77777777" w:rsidTr="00347B91">
        <w:trPr>
          <w:cantSplit/>
          <w:tblCellSpacing w:w="15" w:type="dxa"/>
        </w:trPr>
        <w:tc>
          <w:tcPr>
            <w:tcW w:w="0" w:type="auto"/>
            <w:vAlign w:val="center"/>
          </w:tcPr>
          <w:p w14:paraId="0F449072"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center"/>
              <w:rPr>
                <w:rFonts w:ascii="Times New Roman" w:hAnsi="Times New Roman" w:cs="Times New Roman"/>
                <w:b/>
                <w:sz w:val="24"/>
                <w:lang w:val="en-US"/>
              </w:rPr>
            </w:pPr>
            <w:r w:rsidRPr="006A2D3A">
              <w:rPr>
                <w:rFonts w:ascii="Times New Roman" w:hAnsi="Times New Roman" w:cs="Times New Roman"/>
                <w:b/>
                <w:sz w:val="24"/>
                <w:lang w:val="en-US"/>
              </w:rPr>
              <w:t>5</w:t>
            </w:r>
          </w:p>
        </w:tc>
        <w:tc>
          <w:tcPr>
            <w:tcW w:w="0" w:type="auto"/>
            <w:vAlign w:val="center"/>
          </w:tcPr>
          <w:p w14:paraId="5466124C"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left"/>
              <w:rPr>
                <w:rFonts w:ascii="Times New Roman" w:hAnsi="Times New Roman" w:cs="Times New Roman"/>
                <w:sz w:val="24"/>
                <w:lang w:val="en-US"/>
              </w:rPr>
            </w:pPr>
            <w:r w:rsidRPr="006A2D3A">
              <w:rPr>
                <w:rFonts w:ascii="Times New Roman" w:hAnsi="Times New Roman" w:cs="Times New Roman"/>
                <w:sz w:val="24"/>
                <w:lang w:val="en-US"/>
              </w:rPr>
              <w:t>Prohibited actions in FIDE mode</w:t>
            </w:r>
          </w:p>
        </w:tc>
        <w:tc>
          <w:tcPr>
            <w:tcW w:w="0" w:type="auto"/>
            <w:vAlign w:val="center"/>
          </w:tcPr>
          <w:p w14:paraId="6AD8BFE1" w14:textId="77777777" w:rsidR="006A2D3A" w:rsidRPr="006A2D3A" w:rsidRDefault="006A2D3A" w:rsidP="006A2D3A">
            <w:pPr>
              <w:widowControl/>
              <w:tabs>
                <w:tab w:val="clear" w:pos="567"/>
                <w:tab w:val="clear" w:pos="1134"/>
                <w:tab w:val="clear" w:pos="1701"/>
                <w:tab w:val="clear" w:pos="2268"/>
                <w:tab w:val="clear" w:pos="2835"/>
                <w:tab w:val="clear" w:pos="3402"/>
              </w:tabs>
              <w:spacing w:line="240" w:lineRule="auto"/>
              <w:jc w:val="left"/>
              <w:rPr>
                <w:rFonts w:ascii="Times New Roman" w:hAnsi="Times New Roman" w:cs="Times New Roman"/>
                <w:sz w:val="24"/>
                <w:lang w:val="en-US"/>
              </w:rPr>
            </w:pPr>
            <w:r w:rsidRPr="006A2D3A">
              <w:rPr>
                <w:rFonts w:ascii="Times New Roman" w:hAnsi="Times New Roman" w:cs="Times New Roman"/>
                <w:sz w:val="24"/>
                <w:lang w:val="en-US"/>
              </w:rPr>
              <w:t>Action rejected or requires exiting FIDE mode</w:t>
            </w:r>
          </w:p>
        </w:tc>
        <w:tc>
          <w:tcPr>
            <w:tcW w:w="0" w:type="auto"/>
            <w:vAlign w:val="center"/>
          </w:tcPr>
          <w:p w14:paraId="18460584" w14:textId="77777777" w:rsidR="006A2D3A" w:rsidRPr="006A2D3A" w:rsidRDefault="006A2D3A">
            <w:pPr>
              <w:widowControl/>
              <w:numPr>
                <w:ilvl w:val="0"/>
                <w:numId w:val="12"/>
              </w:numPr>
              <w:tabs>
                <w:tab w:val="clear" w:pos="567"/>
                <w:tab w:val="clear" w:pos="1134"/>
                <w:tab w:val="clear" w:pos="1701"/>
                <w:tab w:val="clear" w:pos="2268"/>
                <w:tab w:val="clear" w:pos="2835"/>
                <w:tab w:val="clear" w:pos="3402"/>
                <w:tab w:val="num" w:pos="302"/>
                <w:tab w:val="num" w:pos="2520"/>
              </w:tabs>
              <w:spacing w:line="240" w:lineRule="auto"/>
              <w:ind w:left="264" w:right="60" w:hanging="180"/>
              <w:jc w:val="left"/>
              <w:rPr>
                <w:rFonts w:ascii="Times New Roman" w:hAnsi="Times New Roman" w:cs="Times New Roman"/>
                <w:i/>
                <w:sz w:val="16"/>
                <w:szCs w:val="16"/>
                <w:lang w:val="en-US"/>
              </w:rPr>
            </w:pPr>
            <w:r w:rsidRPr="006A2D3A">
              <w:rPr>
                <w:rFonts w:ascii="Times New Roman" w:hAnsi="Times New Roman" w:cs="Times New Roman"/>
                <w:i/>
                <w:sz w:val="16"/>
                <w:szCs w:val="16"/>
                <w:lang w:val="en-US"/>
              </w:rPr>
              <w:t>Operations not permitted under FIDE regulations</w:t>
            </w:r>
          </w:p>
        </w:tc>
      </w:tr>
    </w:tbl>
    <w:p w14:paraId="4E7E326B" w14:textId="77777777" w:rsidR="00807F9A" w:rsidRPr="00807F9A" w:rsidRDefault="00807F9A" w:rsidP="00980A6F">
      <w:pPr>
        <w:pStyle w:val="Body3"/>
      </w:pPr>
    </w:p>
    <w:p w14:paraId="5A6110E8" w14:textId="47473230" w:rsidR="00807F9A" w:rsidRPr="00807F9A" w:rsidRDefault="00807F9A" w:rsidP="006A2D3A">
      <w:pPr>
        <w:pStyle w:val="Heading4"/>
      </w:pPr>
      <w:r w:rsidRPr="00807F9A">
        <w:t xml:space="preserve">Level 1 actions are acceptable deviations from standard procedures and do not require explicit confirmation. In many cases, they are implicitly triggered through non-standard workflows or dedicated interfaces. </w:t>
      </w:r>
    </w:p>
    <w:p w14:paraId="58D26C8C" w14:textId="47622BF9" w:rsidR="00807F9A" w:rsidRPr="00807F9A" w:rsidRDefault="00807F9A" w:rsidP="006A2D3A">
      <w:pPr>
        <w:pStyle w:val="Heading4"/>
      </w:pPr>
      <w:r w:rsidRPr="00807F9A">
        <w:t xml:space="preserve">Level 2 actions trigger an informational warning. The THP informs the user that the action is not explicitly covered by the regulations, but no further confirmation is required beyond acknowledgement. </w:t>
      </w:r>
    </w:p>
    <w:p w14:paraId="1B9B0FA7" w14:textId="39B0E539" w:rsidR="00807F9A" w:rsidRPr="00807F9A" w:rsidRDefault="00807F9A" w:rsidP="006A2D3A">
      <w:pPr>
        <w:pStyle w:val="Heading4"/>
      </w:pPr>
      <w:r w:rsidRPr="00807F9A">
        <w:t xml:space="preserve">Level 3 actions trigger a warning requiring explicit confirmation. The user is informed that the action is not compliant with the regulations, although it is not expected to compromise the proper management of the tournament. </w:t>
      </w:r>
    </w:p>
    <w:p w14:paraId="26B43683" w14:textId="0C5F5D1C" w:rsidR="00807F9A" w:rsidRPr="00807F9A" w:rsidRDefault="00807F9A" w:rsidP="006A2D3A">
      <w:pPr>
        <w:pStyle w:val="Heading4"/>
      </w:pPr>
      <w:r w:rsidRPr="00807F9A">
        <w:t>Level 4 actions trigger a double warning procedure. The THP:</w:t>
      </w:r>
    </w:p>
    <w:p w14:paraId="6A9C05F2" w14:textId="79B414BC" w:rsidR="00807F9A" w:rsidRPr="00807F9A" w:rsidRDefault="00807F9A" w:rsidP="006A2D3A">
      <w:pPr>
        <w:pStyle w:val="Heading5"/>
      </w:pPr>
      <w:r w:rsidRPr="00807F9A">
        <w:t>informs the user that the requested action is not compliant with the regulations;</w:t>
      </w:r>
    </w:p>
    <w:p w14:paraId="7E9D0441" w14:textId="61F38299" w:rsidR="00807F9A" w:rsidRPr="00807F9A" w:rsidRDefault="00807F9A" w:rsidP="006A2D3A">
      <w:pPr>
        <w:pStyle w:val="Heading5"/>
      </w:pPr>
      <w:r w:rsidRPr="00807F9A">
        <w:t>after confirmation, presents a second warning explicitly highlighting the consequences of the action.</w:t>
      </w:r>
    </w:p>
    <w:p w14:paraId="68B92EAB" w14:textId="77777777" w:rsidR="00807F9A" w:rsidRPr="00807F9A" w:rsidRDefault="00807F9A" w:rsidP="006A2D3A">
      <w:pPr>
        <w:pStyle w:val="Body4"/>
      </w:pPr>
      <w:r w:rsidRPr="00807F9A">
        <w:t>The second confirmation is intended to ensure that the action is deliberate and fully understood (a confirmation opposite to the one given in the first warning is recommended).</w:t>
      </w:r>
    </w:p>
    <w:p w14:paraId="2340361B" w14:textId="6CDCE8EE" w:rsidR="00807F9A" w:rsidRPr="00807F9A" w:rsidRDefault="00807F9A" w:rsidP="006A2D3A">
      <w:pPr>
        <w:pStyle w:val="Heading4"/>
      </w:pPr>
      <w:r w:rsidRPr="00807F9A">
        <w:t xml:space="preserve">Level 5 actions are not allowed while operating in FIDE mode. When such an action is requested, the THP either rejects it or requires the user to exit FIDE mode before proceeding. </w:t>
      </w:r>
    </w:p>
    <w:p w14:paraId="7168776E" w14:textId="0AAEF661" w:rsidR="00807F9A" w:rsidRPr="00807F9A" w:rsidRDefault="00807F9A" w:rsidP="006A2D3A">
      <w:pPr>
        <w:pStyle w:val="Heading4"/>
      </w:pPr>
      <w:r w:rsidRPr="00807F9A">
        <w:t xml:space="preserve">The THP may differentiate warning levels visually (for example through colours, icons, or layout) </w:t>
      </w:r>
      <w:proofErr w:type="gramStart"/>
      <w:r w:rsidRPr="00807F9A">
        <w:t>in order to</w:t>
      </w:r>
      <w:proofErr w:type="gramEnd"/>
      <w:r w:rsidRPr="00807F9A">
        <w:t xml:space="preserve"> clearly communicate their severity.</w:t>
      </w:r>
    </w:p>
    <w:p w14:paraId="4FBABE0E" w14:textId="0892559D" w:rsidR="00807F9A" w:rsidRPr="00807F9A" w:rsidRDefault="00807F9A" w:rsidP="006A2D3A">
      <w:pPr>
        <w:pStyle w:val="Heading3"/>
      </w:pPr>
      <w:r w:rsidRPr="00807F9A">
        <w:t>Pairing Integrity</w:t>
      </w:r>
    </w:p>
    <w:p w14:paraId="4A1A0C1B" w14:textId="4C785CE9" w:rsidR="00807F9A" w:rsidRPr="00807F9A" w:rsidRDefault="00807F9A" w:rsidP="006A2D3A">
      <w:pPr>
        <w:pStyle w:val="Heading4"/>
      </w:pPr>
      <w:r w:rsidRPr="00807F9A">
        <w:t>Introduction</w:t>
      </w:r>
    </w:p>
    <w:p w14:paraId="644F4CA9" w14:textId="77777777" w:rsidR="00807F9A" w:rsidRPr="00807F9A" w:rsidRDefault="00807F9A" w:rsidP="00980A6F">
      <w:pPr>
        <w:pStyle w:val="Body3"/>
      </w:pPr>
      <w:r w:rsidRPr="00807F9A">
        <w:t>Once the Tournament Pairing Numbers (TPNs) have been used for the pairings of the first round, any event that may compromise the integrity of the pairing process is considered a Pairing Integrity Breaching Event (PIBE).</w:t>
      </w:r>
    </w:p>
    <w:p w14:paraId="513CDBF7" w14:textId="77777777" w:rsidR="00807F9A" w:rsidRPr="00807F9A" w:rsidRDefault="00807F9A" w:rsidP="00980A6F">
      <w:pPr>
        <w:pStyle w:val="Body3"/>
      </w:pPr>
      <w:r w:rsidRPr="00807F9A">
        <w:t>The pairings of each round should be verifiable by a pairing checker. However, for practical purposes, certain events are classified as PIBEs regardless of whether they ultimately result in different pairings or cause a pairing checker verification failure.</w:t>
      </w:r>
    </w:p>
    <w:p w14:paraId="26CF7424" w14:textId="77777777" w:rsidR="00807F9A" w:rsidRPr="00807F9A" w:rsidRDefault="00807F9A" w:rsidP="00980A6F">
      <w:pPr>
        <w:pStyle w:val="Body3"/>
      </w:pPr>
      <w:r w:rsidRPr="00807F9A">
        <w:t>The different types of PIBE are described in the following paragraphs.</w:t>
      </w:r>
    </w:p>
    <w:p w14:paraId="7FA741A5" w14:textId="77777777" w:rsidR="00807F9A" w:rsidRPr="00807F9A" w:rsidRDefault="00807F9A" w:rsidP="00980A6F">
      <w:pPr>
        <w:pStyle w:val="Body3"/>
      </w:pPr>
      <w:r w:rsidRPr="00807F9A">
        <w:t xml:space="preserve">The THP must be able to identify and isolate each PIBE and must issue at least </w:t>
      </w:r>
      <w:r w:rsidRPr="00807F9A">
        <w:lastRenderedPageBreak/>
        <w:t xml:space="preserve">a </w:t>
      </w:r>
      <w:proofErr w:type="gramStart"/>
      <w:r w:rsidRPr="00807F9A">
        <w:t>Level-3</w:t>
      </w:r>
      <w:proofErr w:type="gramEnd"/>
      <w:r w:rsidRPr="00807F9A">
        <w:t xml:space="preserve"> warning for each (which may be disabled by the user), or a higher-level warning where explicitly specified.</w:t>
      </w:r>
    </w:p>
    <w:p w14:paraId="4E8E5C77" w14:textId="2E0D5556" w:rsidR="00807F9A" w:rsidRPr="00807F9A" w:rsidRDefault="00807F9A" w:rsidP="006A2D3A">
      <w:pPr>
        <w:pStyle w:val="Heading4"/>
      </w:pPr>
      <w:r w:rsidRPr="00807F9A">
        <w:t>Manual Pairing Alteration (MPA) PIBE</w:t>
      </w:r>
    </w:p>
    <w:p w14:paraId="467E0F15" w14:textId="77777777" w:rsidR="00807F9A" w:rsidRPr="00807F9A" w:rsidRDefault="00807F9A" w:rsidP="00980A6F">
      <w:pPr>
        <w:pStyle w:val="Body3"/>
      </w:pPr>
      <w:r w:rsidRPr="00807F9A">
        <w:t>It is accepted practice that a user (arbiter) may manually modify pairings generated by the system or directly create pairings.</w:t>
      </w:r>
    </w:p>
    <w:p w14:paraId="6D1567E7" w14:textId="77777777" w:rsidR="00807F9A" w:rsidRPr="00807F9A" w:rsidRDefault="00807F9A" w:rsidP="00980A6F">
      <w:pPr>
        <w:pStyle w:val="Body3"/>
      </w:pPr>
      <w:r w:rsidRPr="00807F9A">
        <w:t>The THP must provide appropriate safeguards for manual pairing operations:</w:t>
      </w:r>
    </w:p>
    <w:p w14:paraId="693FE980" w14:textId="1E9076DC" w:rsidR="00807F9A" w:rsidRPr="00807F9A" w:rsidRDefault="00807F9A" w:rsidP="006A2D3A">
      <w:pPr>
        <w:pStyle w:val="Heading5"/>
      </w:pPr>
      <w:r w:rsidRPr="00807F9A">
        <w:t>The manual pairing alteration phase (MPA phase) must be clearly separated from the automatic pairing phase. An explicit or implicit event must mark both the entry into and the exit from the MPA phase. The implementation of this mechanism is left to the THP.</w:t>
      </w:r>
    </w:p>
    <w:p w14:paraId="53EDB295" w14:textId="0B55A36E" w:rsidR="00807F9A" w:rsidRPr="00807F9A" w:rsidRDefault="00807F9A" w:rsidP="006A2D3A">
      <w:pPr>
        <w:pStyle w:val="Heading5"/>
      </w:pPr>
      <w:r w:rsidRPr="00807F9A">
        <w:t>During the MPA phase, the THP must issue a Level-3 warning if the user creates pairings (including bye assignments) that violate the system’s absolute criteria, i.e.: repeated pairings between players who have already met; assignment of a pairing-allocated bye (PAB) to a player who has already received one, has won by forfeit, or has received a full-point bye; and colour violations, where a player receives three consecutive identical colours before the last round, or has a colour imbalance greater than two.</w:t>
      </w:r>
    </w:p>
    <w:p w14:paraId="60E8EB39" w14:textId="77777777" w:rsidR="00807F9A" w:rsidRPr="00807F9A" w:rsidRDefault="00807F9A" w:rsidP="006A2D3A">
      <w:pPr>
        <w:pStyle w:val="Body4"/>
      </w:pPr>
      <w:r w:rsidRPr="00807F9A">
        <w:t>Assignment of a full-point bye (FPB) is subject to a Level 2 warning.</w:t>
      </w:r>
    </w:p>
    <w:p w14:paraId="6294D587" w14:textId="77777777" w:rsidR="00807F9A" w:rsidRPr="00807F9A" w:rsidRDefault="00807F9A" w:rsidP="006A2D3A">
      <w:pPr>
        <w:pStyle w:val="Body4"/>
      </w:pPr>
      <w:r w:rsidRPr="00807F9A">
        <w:t xml:space="preserve">A </w:t>
      </w:r>
      <w:proofErr w:type="gramStart"/>
      <w:r w:rsidRPr="00807F9A">
        <w:t>Level-2</w:t>
      </w:r>
      <w:proofErr w:type="gramEnd"/>
      <w:r w:rsidRPr="00807F9A">
        <w:t xml:space="preserve"> warning may also be issued if the user creates a pairing where both players receive the colour opposite to their colour preference.</w:t>
      </w:r>
    </w:p>
    <w:p w14:paraId="02D0847F" w14:textId="7FC28EF8" w:rsidR="00807F9A" w:rsidRPr="00807F9A" w:rsidRDefault="00807F9A" w:rsidP="006A2D3A">
      <w:pPr>
        <w:pStyle w:val="Heading5"/>
      </w:pPr>
      <w:r w:rsidRPr="00807F9A">
        <w:t xml:space="preserve">Upon exiting the MPA phase, the THP must verify the resulting pairings using its pairing checker. If the pairings do not match the correct ones, an MPA PIBE occurs. The THP must issue a </w:t>
      </w:r>
      <w:proofErr w:type="gramStart"/>
      <w:r w:rsidRPr="00807F9A">
        <w:t>Level-4</w:t>
      </w:r>
      <w:proofErr w:type="gramEnd"/>
      <w:r w:rsidRPr="00807F9A">
        <w:t xml:space="preserve"> warning, and at least one of the warning's two messages must show the correct pairings to the user. </w:t>
      </w:r>
    </w:p>
    <w:p w14:paraId="1477B78F" w14:textId="77777777" w:rsidR="00807F9A" w:rsidRPr="00807F9A" w:rsidRDefault="00807F9A" w:rsidP="006A2D3A">
      <w:pPr>
        <w:pStyle w:val="Body4"/>
      </w:pPr>
      <w:r w:rsidRPr="00807F9A">
        <w:t>If a round is cancelled or the MPA phase is re-entered for the same round, any associated MPA PIBE (at most one per round) is also removed.</w:t>
      </w:r>
    </w:p>
    <w:p w14:paraId="4FC99E00" w14:textId="600552E3" w:rsidR="00807F9A" w:rsidRPr="00807F9A" w:rsidRDefault="00807F9A" w:rsidP="006A2D3A">
      <w:pPr>
        <w:pStyle w:val="Heading4"/>
      </w:pPr>
      <w:r w:rsidRPr="00807F9A">
        <w:t>Import PIBE</w:t>
      </w:r>
    </w:p>
    <w:p w14:paraId="04BF4790" w14:textId="77777777" w:rsidR="00807F9A" w:rsidRPr="00807F9A" w:rsidRDefault="00807F9A" w:rsidP="00980A6F">
      <w:pPr>
        <w:pStyle w:val="Body3"/>
      </w:pPr>
      <w:r w:rsidRPr="00807F9A">
        <w:t>An Import PIBE occurs when the THP imports a TRF from an external source, checks the rounds already paired and discovers that the pairings of those rounds do not follow the pairing rules of the system.</w:t>
      </w:r>
    </w:p>
    <w:p w14:paraId="3928FF75" w14:textId="2C45AC28" w:rsidR="00807F9A" w:rsidRPr="00807F9A" w:rsidRDefault="00807F9A" w:rsidP="006A2D3A">
      <w:pPr>
        <w:pStyle w:val="Heading4"/>
      </w:pPr>
      <w:r w:rsidRPr="00807F9A">
        <w:lastRenderedPageBreak/>
        <w:t>Regeneration PIBE</w:t>
      </w:r>
    </w:p>
    <w:p w14:paraId="74DD026B" w14:textId="77777777" w:rsidR="00807F9A" w:rsidRPr="00807F9A" w:rsidRDefault="00807F9A" w:rsidP="00980A6F">
      <w:pPr>
        <w:pStyle w:val="Body3"/>
      </w:pPr>
      <w:r w:rsidRPr="00807F9A">
        <w:t>A Regeneration PIBE occurs when the THP regenerates the TPNs (thereby modifying them from their original values) following an arbiter’s request due to changes in player static data, such as ratings, title, or any other element contributing to the standard generation of the original TPNs.</w:t>
      </w:r>
    </w:p>
    <w:p w14:paraId="5DB2B7AF" w14:textId="77777777" w:rsidR="00807F9A" w:rsidRPr="00807F9A" w:rsidRDefault="00807F9A" w:rsidP="00980A6F">
      <w:pPr>
        <w:pStyle w:val="Body3"/>
      </w:pPr>
      <w:r w:rsidRPr="00807F9A">
        <w:t>Regeneration of TPNs due to late entry does not constitute a PIBE, as it does not affect previously generated pairings. A late-entering player is considered as having been present from the beginning of the tournament with absences in earlier rounds (with or without receiving points</w:t>
      </w:r>
      <w:proofErr w:type="gramStart"/>
      <w:r w:rsidRPr="00807F9A">
        <w:t>), and</w:t>
      </w:r>
      <w:proofErr w:type="gramEnd"/>
      <w:r w:rsidRPr="00807F9A">
        <w:t xml:space="preserve"> therefore does not influence previous pairings.</w:t>
      </w:r>
    </w:p>
    <w:p w14:paraId="2C3D954F" w14:textId="5FC29F72" w:rsidR="00807F9A" w:rsidRPr="00807F9A" w:rsidRDefault="00807F9A" w:rsidP="006A2D3A">
      <w:pPr>
        <w:pStyle w:val="Heading4"/>
      </w:pPr>
      <w:r w:rsidRPr="00807F9A">
        <w:t>Correction PIBE</w:t>
      </w:r>
    </w:p>
    <w:p w14:paraId="5195BE48" w14:textId="77777777" w:rsidR="00807F9A" w:rsidRPr="00807F9A" w:rsidRDefault="00807F9A" w:rsidP="00980A6F">
      <w:pPr>
        <w:pStyle w:val="Body3"/>
      </w:pPr>
      <w:r w:rsidRPr="00807F9A">
        <w:t>A Correction PIBE occurs when one or more results from the round that precedes the one that is currently being played or has just finished are corrected because they were entered incorrectly.</w:t>
      </w:r>
    </w:p>
    <w:p w14:paraId="78B1AE0A" w14:textId="0BDEBEDF" w:rsidR="00807F9A" w:rsidRPr="00807F9A" w:rsidRDefault="00807F9A" w:rsidP="006A2D3A">
      <w:pPr>
        <w:pStyle w:val="Heading4"/>
      </w:pPr>
      <w:r w:rsidRPr="00807F9A">
        <w:t>Adjournment PIBE</w:t>
      </w:r>
    </w:p>
    <w:p w14:paraId="536EA653" w14:textId="77777777" w:rsidR="00807F9A" w:rsidRPr="00807F9A" w:rsidRDefault="00807F9A" w:rsidP="00980A6F">
      <w:pPr>
        <w:pStyle w:val="Body3"/>
      </w:pPr>
      <w:r w:rsidRPr="00807F9A">
        <w:t>An Adjournment PIBE occurs when the result for an adjourned game played in an earlier round is entered and it is not a draw (adjourned games are considered draws for pairing purposes).</w:t>
      </w:r>
    </w:p>
    <w:p w14:paraId="56EF9F2F" w14:textId="530ED6BE" w:rsidR="00807F9A" w:rsidRPr="00807F9A" w:rsidRDefault="00807F9A" w:rsidP="006A2D3A">
      <w:pPr>
        <w:pStyle w:val="Heading4"/>
      </w:pPr>
      <w:r w:rsidRPr="00807F9A">
        <w:t>Exchange PIBE</w:t>
      </w:r>
    </w:p>
    <w:p w14:paraId="41BAB088" w14:textId="77777777" w:rsidR="00807F9A" w:rsidRPr="00807F9A" w:rsidRDefault="00807F9A" w:rsidP="00980A6F">
      <w:pPr>
        <w:pStyle w:val="Body3"/>
      </w:pPr>
      <w:r w:rsidRPr="00807F9A">
        <w:t>An Exchange PIBE occurs when the user exchanges the TPNs of two or more players, whose TPNs are usually consecutive.</w:t>
      </w:r>
    </w:p>
    <w:p w14:paraId="32131ECF" w14:textId="63A5D405" w:rsidR="00807F9A" w:rsidRPr="00807F9A" w:rsidRDefault="00807F9A" w:rsidP="006A2D3A">
      <w:pPr>
        <w:pStyle w:val="Heading4"/>
      </w:pPr>
      <w:r w:rsidRPr="00807F9A">
        <w:t>Configuration PIBE</w:t>
      </w:r>
    </w:p>
    <w:p w14:paraId="2291B707" w14:textId="77777777" w:rsidR="00807F9A" w:rsidRPr="00807F9A" w:rsidRDefault="00807F9A" w:rsidP="00980A6F">
      <w:pPr>
        <w:pStyle w:val="Body3"/>
      </w:pPr>
      <w:r w:rsidRPr="00807F9A">
        <w:t>A Configuration PIBE occurs when a change to the tournament configuration, such as the number of rounds or the scoring system (including the value assigned to the PAB), causes pairings of already played or published rounds to become incorrect.</w:t>
      </w:r>
    </w:p>
    <w:p w14:paraId="4B275A7D" w14:textId="5DB5BD30" w:rsidR="00807F9A" w:rsidRPr="00807F9A" w:rsidRDefault="00807F9A" w:rsidP="006A2D3A">
      <w:pPr>
        <w:pStyle w:val="Heading4"/>
      </w:pPr>
      <w:r w:rsidRPr="00807F9A">
        <w:t>Logging of PIBEs</w:t>
      </w:r>
    </w:p>
    <w:p w14:paraId="3FC74A2C" w14:textId="77777777" w:rsidR="00807F9A" w:rsidRPr="00807F9A" w:rsidRDefault="00807F9A" w:rsidP="00980A6F">
      <w:pPr>
        <w:pStyle w:val="Body3"/>
      </w:pPr>
      <w:r w:rsidRPr="00807F9A">
        <w:t>PIBEs should be logged in the TRF. As no specific code is currently defined, it is recommended to include a free-text comment.</w:t>
      </w:r>
    </w:p>
    <w:p w14:paraId="5B754EE0" w14:textId="77777777" w:rsidR="00807F9A" w:rsidRPr="00807F9A" w:rsidRDefault="00807F9A" w:rsidP="00980A6F">
      <w:pPr>
        <w:pStyle w:val="Body3"/>
      </w:pPr>
      <w:r w:rsidRPr="00807F9A">
        <w:t>Examples of such comments are:</w:t>
      </w:r>
    </w:p>
    <w:p w14:paraId="6B445549" w14:textId="77777777" w:rsidR="006A2D3A" w:rsidRPr="006A2D3A" w:rsidRDefault="006A2D3A" w:rsidP="006A2D3A">
      <w:pPr>
        <w:keepLines/>
        <w:tabs>
          <w:tab w:val="clear" w:pos="567"/>
          <w:tab w:val="clear" w:pos="1134"/>
          <w:tab w:val="left" w:pos="851"/>
        </w:tabs>
        <w:spacing w:line="240" w:lineRule="auto"/>
        <w:ind w:left="1699"/>
        <w:contextualSpacing/>
        <w:jc w:val="left"/>
        <w:outlineLvl w:val="2"/>
        <w:rPr>
          <w:rFonts w:ascii="Courier New" w:eastAsia="Calibri" w:hAnsi="Courier New" w:cs="Courier New"/>
          <w:sz w:val="17"/>
          <w:szCs w:val="17"/>
        </w:rPr>
      </w:pPr>
      <w:r w:rsidRPr="006A2D3A">
        <w:rPr>
          <w:rFonts w:ascii="Courier New" w:eastAsia="Calibri" w:hAnsi="Courier New" w:cs="Courier New"/>
          <w:sz w:val="17"/>
          <w:szCs w:val="17"/>
        </w:rPr>
        <w:lastRenderedPageBreak/>
        <w:t>### MPA @ Round 5: 19-7 21-33 44=PAB =&gt; 19-33 21-44 7=FPB</w:t>
      </w:r>
    </w:p>
    <w:p w14:paraId="3788BD31" w14:textId="77777777" w:rsidR="006A2D3A" w:rsidRPr="006A2D3A" w:rsidRDefault="006A2D3A" w:rsidP="006A2D3A">
      <w:pPr>
        <w:keepLines/>
        <w:tabs>
          <w:tab w:val="clear" w:pos="567"/>
          <w:tab w:val="clear" w:pos="1134"/>
          <w:tab w:val="left" w:pos="851"/>
        </w:tabs>
        <w:spacing w:line="240" w:lineRule="auto"/>
        <w:ind w:left="1699"/>
        <w:contextualSpacing/>
        <w:jc w:val="left"/>
        <w:outlineLvl w:val="2"/>
        <w:rPr>
          <w:rFonts w:ascii="Courier New" w:eastAsia="Calibri" w:hAnsi="Courier New" w:cs="Courier New"/>
          <w:sz w:val="17"/>
          <w:szCs w:val="17"/>
        </w:rPr>
      </w:pPr>
      <w:r w:rsidRPr="006A2D3A">
        <w:rPr>
          <w:rFonts w:ascii="Courier New" w:eastAsia="Calibri" w:hAnsi="Courier New" w:cs="Courier New"/>
          <w:sz w:val="17"/>
          <w:szCs w:val="17"/>
        </w:rPr>
        <w:t>### Import @ Round 2: 11-59 58-12 =&gt; 11-58 59-12</w:t>
      </w:r>
    </w:p>
    <w:p w14:paraId="13CEDB64" w14:textId="77777777" w:rsidR="006A2D3A" w:rsidRPr="006A2D3A" w:rsidRDefault="006A2D3A" w:rsidP="006A2D3A">
      <w:pPr>
        <w:keepLines/>
        <w:tabs>
          <w:tab w:val="clear" w:pos="567"/>
          <w:tab w:val="clear" w:pos="1134"/>
          <w:tab w:val="left" w:pos="851"/>
        </w:tabs>
        <w:spacing w:line="240" w:lineRule="auto"/>
        <w:ind w:left="1699"/>
        <w:contextualSpacing/>
        <w:jc w:val="left"/>
        <w:outlineLvl w:val="2"/>
        <w:rPr>
          <w:rFonts w:ascii="Courier New" w:eastAsia="Calibri" w:hAnsi="Courier New" w:cs="Courier New"/>
          <w:sz w:val="17"/>
          <w:szCs w:val="17"/>
        </w:rPr>
      </w:pPr>
      <w:r w:rsidRPr="006A2D3A">
        <w:rPr>
          <w:rFonts w:ascii="Courier New" w:eastAsia="Calibri" w:hAnsi="Courier New" w:cs="Courier New"/>
          <w:sz w:val="17"/>
          <w:szCs w:val="17"/>
        </w:rPr>
        <w:t>### Regeneration @ Round 3: 18 19 21 22 23 24 =&gt; 24 18 19 21 22 23</w:t>
      </w:r>
    </w:p>
    <w:p w14:paraId="01C355F6" w14:textId="77777777" w:rsidR="006A2D3A" w:rsidRPr="006A2D3A" w:rsidRDefault="006A2D3A" w:rsidP="006A2D3A">
      <w:pPr>
        <w:keepLines/>
        <w:tabs>
          <w:tab w:val="clear" w:pos="567"/>
          <w:tab w:val="clear" w:pos="1134"/>
          <w:tab w:val="left" w:pos="851"/>
        </w:tabs>
        <w:spacing w:line="240" w:lineRule="auto"/>
        <w:ind w:left="1699"/>
        <w:contextualSpacing/>
        <w:jc w:val="left"/>
        <w:outlineLvl w:val="2"/>
        <w:rPr>
          <w:rFonts w:ascii="Courier New" w:eastAsia="Calibri" w:hAnsi="Courier New" w:cs="Courier New"/>
          <w:sz w:val="17"/>
          <w:szCs w:val="17"/>
        </w:rPr>
      </w:pPr>
      <w:r w:rsidRPr="006A2D3A">
        <w:rPr>
          <w:rFonts w:ascii="Courier New" w:eastAsia="Calibri" w:hAnsi="Courier New" w:cs="Courier New"/>
          <w:sz w:val="17"/>
          <w:szCs w:val="17"/>
        </w:rPr>
        <w:t>### Correction @ Round 4: 6-17: 1-0 =&gt; 0-1</w:t>
      </w:r>
    </w:p>
    <w:p w14:paraId="3DC56E8C" w14:textId="77777777" w:rsidR="006A2D3A" w:rsidRPr="006A2D3A" w:rsidRDefault="006A2D3A" w:rsidP="006A2D3A">
      <w:pPr>
        <w:keepLines/>
        <w:tabs>
          <w:tab w:val="clear" w:pos="567"/>
          <w:tab w:val="clear" w:pos="1134"/>
          <w:tab w:val="left" w:pos="851"/>
        </w:tabs>
        <w:spacing w:line="240" w:lineRule="auto"/>
        <w:ind w:left="1699"/>
        <w:contextualSpacing/>
        <w:jc w:val="left"/>
        <w:outlineLvl w:val="2"/>
        <w:rPr>
          <w:rFonts w:ascii="Courier New" w:eastAsia="Calibri" w:hAnsi="Courier New" w:cs="Courier New"/>
          <w:sz w:val="17"/>
          <w:szCs w:val="17"/>
        </w:rPr>
      </w:pPr>
      <w:r w:rsidRPr="006A2D3A">
        <w:rPr>
          <w:rFonts w:ascii="Courier New" w:eastAsia="Calibri" w:hAnsi="Courier New" w:cs="Courier New"/>
          <w:sz w:val="17"/>
          <w:szCs w:val="17"/>
        </w:rPr>
        <w:t>### Adjournment @ Round 6: 17-5 1-0</w:t>
      </w:r>
    </w:p>
    <w:p w14:paraId="5A2EC2D5" w14:textId="77777777" w:rsidR="006A2D3A" w:rsidRPr="006A2D3A" w:rsidRDefault="006A2D3A" w:rsidP="006A2D3A">
      <w:pPr>
        <w:keepLines/>
        <w:tabs>
          <w:tab w:val="clear" w:pos="567"/>
          <w:tab w:val="clear" w:pos="1134"/>
          <w:tab w:val="left" w:pos="851"/>
        </w:tabs>
        <w:spacing w:line="240" w:lineRule="auto"/>
        <w:ind w:left="1699"/>
        <w:contextualSpacing/>
        <w:jc w:val="left"/>
        <w:outlineLvl w:val="2"/>
        <w:rPr>
          <w:rFonts w:ascii="Courier New" w:eastAsia="Calibri" w:hAnsi="Courier New" w:cs="Courier New"/>
          <w:sz w:val="17"/>
          <w:szCs w:val="17"/>
        </w:rPr>
      </w:pPr>
      <w:r w:rsidRPr="006A2D3A">
        <w:rPr>
          <w:rFonts w:ascii="Courier New" w:eastAsia="Calibri" w:hAnsi="Courier New" w:cs="Courier New"/>
          <w:sz w:val="17"/>
          <w:szCs w:val="17"/>
        </w:rPr>
        <w:t>### Exchange @ Round 3: 18-24 =&gt; 24 18 19 20 21 22 23</w:t>
      </w:r>
    </w:p>
    <w:p w14:paraId="4EF54B48" w14:textId="77777777" w:rsidR="006A2D3A" w:rsidRPr="006A2D3A" w:rsidRDefault="006A2D3A" w:rsidP="006A2D3A">
      <w:pPr>
        <w:keepLines/>
        <w:tabs>
          <w:tab w:val="clear" w:pos="567"/>
          <w:tab w:val="clear" w:pos="1134"/>
          <w:tab w:val="left" w:pos="851"/>
        </w:tabs>
        <w:spacing w:line="240" w:lineRule="auto"/>
        <w:ind w:left="1699"/>
        <w:contextualSpacing/>
        <w:jc w:val="left"/>
        <w:outlineLvl w:val="2"/>
        <w:rPr>
          <w:rFonts w:ascii="Courier New" w:eastAsia="Calibri" w:hAnsi="Courier New" w:cs="Courier New"/>
          <w:sz w:val="17"/>
          <w:szCs w:val="17"/>
        </w:rPr>
      </w:pPr>
      <w:r w:rsidRPr="006A2D3A">
        <w:rPr>
          <w:rFonts w:ascii="Courier New" w:eastAsia="Calibri" w:hAnsi="Courier New" w:cs="Courier New"/>
          <w:sz w:val="17"/>
          <w:szCs w:val="17"/>
        </w:rPr>
        <w:t xml:space="preserve">### Configuration @ Round </w:t>
      </w:r>
      <w:proofErr w:type="gramStart"/>
      <w:r w:rsidRPr="006A2D3A">
        <w:rPr>
          <w:rFonts w:ascii="Courier New" w:eastAsia="Calibri" w:hAnsi="Courier New" w:cs="Courier New"/>
          <w:sz w:val="17"/>
          <w:szCs w:val="17"/>
        </w:rPr>
        <w:t>9 :</w:t>
      </w:r>
      <w:proofErr w:type="gramEnd"/>
      <w:r w:rsidRPr="006A2D3A">
        <w:rPr>
          <w:rFonts w:ascii="Courier New" w:eastAsia="Calibri" w:hAnsi="Courier New" w:cs="Courier New"/>
          <w:sz w:val="17"/>
          <w:szCs w:val="17"/>
        </w:rPr>
        <w:t xml:space="preserve"> 1-3 2-4 11-6 =&gt; 1-2 11-3 6-4</w:t>
      </w:r>
    </w:p>
    <w:p w14:paraId="44C4C7FC" w14:textId="2ECC0591" w:rsidR="00807F9A" w:rsidRPr="00807F9A" w:rsidRDefault="00807F9A" w:rsidP="006A2D3A">
      <w:pPr>
        <w:pStyle w:val="Heading3"/>
      </w:pPr>
      <w:r w:rsidRPr="00807F9A">
        <w:t>Ratings and Rating Lists Management</w:t>
      </w:r>
    </w:p>
    <w:p w14:paraId="4C38F99E" w14:textId="3477B466" w:rsidR="00807F9A" w:rsidRPr="00807F9A" w:rsidRDefault="00807F9A" w:rsidP="006A2D3A">
      <w:pPr>
        <w:pStyle w:val="Heading4"/>
      </w:pPr>
      <w:r w:rsidRPr="00807F9A">
        <w:t>Ratings</w:t>
      </w:r>
    </w:p>
    <w:p w14:paraId="40CD11E4" w14:textId="77777777" w:rsidR="00807F9A" w:rsidRPr="00807F9A" w:rsidRDefault="00807F9A" w:rsidP="00980A6F">
      <w:pPr>
        <w:pStyle w:val="Body3"/>
      </w:pPr>
      <w:r w:rsidRPr="00807F9A">
        <w:t>The THP shall distinguish between:</w:t>
      </w:r>
    </w:p>
    <w:p w14:paraId="16343C76" w14:textId="41D8F514" w:rsidR="00807F9A" w:rsidRPr="00807F9A" w:rsidRDefault="00807F9A" w:rsidP="006A2D3A">
      <w:pPr>
        <w:pStyle w:val="Heading5"/>
      </w:pPr>
      <w:r w:rsidRPr="00807F9A">
        <w:t>Official Ratings, used for FIDE reporting purposes; an Official Rating is the rating value that will be reported to FIDE and used for rating calculations.</w:t>
      </w:r>
    </w:p>
    <w:p w14:paraId="6D002C2B" w14:textId="7E8AF2F1" w:rsidR="00807F9A" w:rsidRPr="00807F9A" w:rsidRDefault="00807F9A" w:rsidP="006A2D3A">
      <w:pPr>
        <w:pStyle w:val="Heading5"/>
      </w:pPr>
      <w:r w:rsidRPr="00807F9A">
        <w:t>Tournament Ratings, used for tournament operations; a Tournament Rating is the rating value used for participant ranking and therefore TPN assignment, and rating-based tie-break calculations.</w:t>
      </w:r>
    </w:p>
    <w:p w14:paraId="3AAB5B64" w14:textId="77777777" w:rsidR="00807F9A" w:rsidRPr="00807F9A" w:rsidRDefault="00807F9A" w:rsidP="006A2D3A">
      <w:pPr>
        <w:pStyle w:val="Body4"/>
      </w:pPr>
      <w:r w:rsidRPr="00807F9A">
        <w:t>Tournament Ratings and Official Ratings often coincide, which simplifies their management. However, from a formal standpoint, they are two distinct entities.</w:t>
      </w:r>
    </w:p>
    <w:p w14:paraId="5ADDE936" w14:textId="09982C81" w:rsidR="00807F9A" w:rsidRPr="00807F9A" w:rsidRDefault="00807F9A" w:rsidP="006A2D3A">
      <w:pPr>
        <w:pStyle w:val="Heading4"/>
      </w:pPr>
      <w:r w:rsidRPr="00807F9A">
        <w:t>Rating Lists</w:t>
      </w:r>
    </w:p>
    <w:p w14:paraId="0E48AD50" w14:textId="45E2303D" w:rsidR="00807F9A" w:rsidRPr="00807F9A" w:rsidRDefault="00807F9A" w:rsidP="006A2D3A">
      <w:pPr>
        <w:pStyle w:val="Heading5"/>
      </w:pPr>
      <w:r w:rsidRPr="00807F9A">
        <w:t>Rating values may originate from one or more rating lists.</w:t>
      </w:r>
    </w:p>
    <w:p w14:paraId="152D90BC" w14:textId="7A005E21" w:rsidR="00807F9A" w:rsidRPr="00807F9A" w:rsidRDefault="00807F9A" w:rsidP="006A2D3A">
      <w:pPr>
        <w:pStyle w:val="Heading5"/>
      </w:pPr>
      <w:r w:rsidRPr="00807F9A">
        <w:t>The rating lists relevant for the operation of the THP are the three official FIDE rating lists (standard, rapid, blitz) that include unrated players. From these three lists, the Effective Rapid and Blitz Rating Lists are derived. In addition to players who have a rating of the corresponding type, these lists also include players who have only a Standard rating, because that rating will be used as their initial Rapid or Blitz rating if they participate in a tournament of that type (see the FIDE Rapid and Blitz Rating Regulations).</w:t>
      </w:r>
    </w:p>
    <w:p w14:paraId="10163865" w14:textId="71134B8F" w:rsidR="00807F9A" w:rsidRPr="00807F9A" w:rsidRDefault="00807F9A" w:rsidP="006A2D3A">
      <w:pPr>
        <w:pStyle w:val="Heading5"/>
      </w:pPr>
      <w:r w:rsidRPr="00807F9A">
        <w:t>The THP may also provide access to other rating lists (national, regional, club, historical or other rating lists), referred to as Custom Rating Lists. Those lists and their management are outside the scope of VCL requirements, except for checking their existence or where explicitly stated.</w:t>
      </w:r>
    </w:p>
    <w:p w14:paraId="3F7E21BB" w14:textId="5D3ABEB2" w:rsidR="00807F9A" w:rsidRPr="00807F9A" w:rsidRDefault="00807F9A" w:rsidP="006A2D3A">
      <w:pPr>
        <w:pStyle w:val="Heading4"/>
      </w:pPr>
      <w:r w:rsidRPr="00807F9A">
        <w:t>Rating List Types</w:t>
      </w:r>
    </w:p>
    <w:p w14:paraId="64E0CEC2" w14:textId="1D100624" w:rsidR="00807F9A" w:rsidRPr="00807F9A" w:rsidRDefault="00807F9A" w:rsidP="006A2D3A">
      <w:pPr>
        <w:pStyle w:val="Heading5"/>
      </w:pPr>
      <w:r w:rsidRPr="00807F9A">
        <w:t>A rating list may be either Type-A or Type-B.</w:t>
      </w:r>
    </w:p>
    <w:p w14:paraId="1F68E1CA" w14:textId="2827B22D" w:rsidR="00807F9A" w:rsidRPr="00807F9A" w:rsidRDefault="00807F9A" w:rsidP="006A2D3A">
      <w:pPr>
        <w:pStyle w:val="Heading5"/>
      </w:pPr>
      <w:r w:rsidRPr="00807F9A">
        <w:lastRenderedPageBreak/>
        <w:t>A Type-A Rating List is a rating list whose original source is known to the THP. The association between the rating list and its original source allows the THP to determine whether a newer version of the rating list is available and to perform consistency checks when appropriate. A Type-A Rating List is accessed through a copy of the same rating list maintained by the THP. A maintained copy may be stored locally or on a server managed by the THP. A locally stored copy may be obtained automatically by the THP or through user-initiated import.</w:t>
      </w:r>
    </w:p>
    <w:p w14:paraId="15AAB8C9" w14:textId="0B521080" w:rsidR="00807F9A" w:rsidRPr="00807F9A" w:rsidRDefault="00807F9A" w:rsidP="006A2D3A">
      <w:pPr>
        <w:pStyle w:val="Heading5"/>
      </w:pPr>
      <w:r w:rsidRPr="00807F9A">
        <w:t>A Type-B Rating List is a rating list whose original source is not known to the THP. Such a rating list is typically provided by the user through import. The THP treats it as an independent data source and cannot determine automatically whether newer versions exist. Providing updated versions is the user's responsibility.</w:t>
      </w:r>
    </w:p>
    <w:p w14:paraId="517FA58D" w14:textId="59487CB3" w:rsidR="00807F9A" w:rsidRPr="00807F9A" w:rsidRDefault="00807F9A" w:rsidP="006A2D3A">
      <w:pPr>
        <w:pStyle w:val="Heading4"/>
      </w:pPr>
      <w:r w:rsidRPr="00807F9A">
        <w:t>Constraints</w:t>
      </w:r>
    </w:p>
    <w:p w14:paraId="28FEE459" w14:textId="64DDD6CB" w:rsidR="00807F9A" w:rsidRPr="00807F9A" w:rsidRDefault="00807F9A" w:rsidP="006A2D3A">
      <w:pPr>
        <w:pStyle w:val="Heading5"/>
      </w:pPr>
      <w:r w:rsidRPr="00807F9A">
        <w:t xml:space="preserve">If a THP supports Type-A Rating Lists, access to any official FIDE rating list must be available. </w:t>
      </w:r>
    </w:p>
    <w:p w14:paraId="558AE0CE" w14:textId="1CE19321" w:rsidR="00807F9A" w:rsidRPr="00807F9A" w:rsidRDefault="00807F9A" w:rsidP="006A2D3A">
      <w:pPr>
        <w:pStyle w:val="Heading5"/>
      </w:pPr>
      <w:r w:rsidRPr="00807F9A">
        <w:t>If a THP supports Type-B Rating Lists, import of any official FIDE rating list must be allowed.</w:t>
      </w:r>
    </w:p>
    <w:p w14:paraId="4BDF1AB3" w14:textId="5C51A21D" w:rsidR="00807F9A" w:rsidRPr="00807F9A" w:rsidRDefault="00807F9A" w:rsidP="006A2D3A">
      <w:pPr>
        <w:pStyle w:val="Heading4"/>
      </w:pPr>
      <w:r w:rsidRPr="00807F9A">
        <w:t>Official Rating Management</w:t>
      </w:r>
    </w:p>
    <w:p w14:paraId="49101307" w14:textId="0B36AB32" w:rsidR="00807F9A" w:rsidRPr="00807F9A" w:rsidRDefault="00807F9A" w:rsidP="006A2D3A">
      <w:pPr>
        <w:pStyle w:val="Heading5"/>
      </w:pPr>
      <w:r w:rsidRPr="00807F9A">
        <w:t xml:space="preserve">The THP </w:t>
      </w:r>
      <w:proofErr w:type="gramStart"/>
      <w:r w:rsidRPr="00807F9A">
        <w:t>has to</w:t>
      </w:r>
      <w:proofErr w:type="gramEnd"/>
      <w:r w:rsidRPr="00807F9A">
        <w:t xml:space="preserve"> maintain the Official Rating associated with each player.</w:t>
      </w:r>
    </w:p>
    <w:p w14:paraId="08B6D0C2" w14:textId="4A6FAF49" w:rsidR="00807F9A" w:rsidRPr="00807F9A" w:rsidRDefault="00807F9A" w:rsidP="006A2D3A">
      <w:pPr>
        <w:pStyle w:val="Heading5"/>
      </w:pPr>
      <w:r w:rsidRPr="00807F9A">
        <w:t xml:space="preserve">The Official Rating originates from the FIDE Standard Rating List, the Effective Rapid Rating List, or the Effective Blitz Rating List, depending on the tournament type. </w:t>
      </w:r>
    </w:p>
    <w:p w14:paraId="68735474" w14:textId="74649542" w:rsidR="00807F9A" w:rsidRPr="00807F9A" w:rsidRDefault="00807F9A" w:rsidP="006A2D3A">
      <w:pPr>
        <w:pStyle w:val="Heading5"/>
      </w:pPr>
      <w:r w:rsidRPr="00807F9A">
        <w:t xml:space="preserve">If no rating is available in the </w:t>
      </w:r>
      <w:proofErr w:type="gramStart"/>
      <w:r w:rsidRPr="00807F9A">
        <w:t>aforementioned rating</w:t>
      </w:r>
      <w:proofErr w:type="gramEnd"/>
      <w:r w:rsidRPr="00807F9A">
        <w:t xml:space="preserve"> list(s), the THP may obtain a rating value from another rating list, whose source </w:t>
      </w:r>
      <w:proofErr w:type="gramStart"/>
      <w:r w:rsidRPr="00807F9A">
        <w:t>has to</w:t>
      </w:r>
      <w:proofErr w:type="gramEnd"/>
      <w:r w:rsidRPr="00807F9A">
        <w:t xml:space="preserve"> be retained. Such ratings are not considered Official Ratings for reporting purposes. </w:t>
      </w:r>
    </w:p>
    <w:p w14:paraId="2B7BC5E7" w14:textId="5528947B" w:rsidR="00807F9A" w:rsidRPr="00807F9A" w:rsidRDefault="00807F9A" w:rsidP="006A2D3A">
      <w:pPr>
        <w:pStyle w:val="Heading4"/>
      </w:pPr>
      <w:r w:rsidRPr="00807F9A">
        <w:t>Tournament Rating Management</w:t>
      </w:r>
    </w:p>
    <w:p w14:paraId="4663E7A3" w14:textId="102EA62F" w:rsidR="00807F9A" w:rsidRPr="00807F9A" w:rsidRDefault="00807F9A" w:rsidP="006A2D3A">
      <w:pPr>
        <w:pStyle w:val="Heading5"/>
      </w:pPr>
      <w:r w:rsidRPr="00807F9A">
        <w:t xml:space="preserve">The THP </w:t>
      </w:r>
      <w:proofErr w:type="gramStart"/>
      <w:r w:rsidRPr="00807F9A">
        <w:t>has to</w:t>
      </w:r>
      <w:proofErr w:type="gramEnd"/>
      <w:r w:rsidRPr="00807F9A">
        <w:t xml:space="preserve"> determine a Tournament Rating for each player.</w:t>
      </w:r>
    </w:p>
    <w:p w14:paraId="01BA4551" w14:textId="36711202" w:rsidR="00807F9A" w:rsidRPr="00807F9A" w:rsidRDefault="00807F9A" w:rsidP="006A2D3A">
      <w:pPr>
        <w:pStyle w:val="Heading5"/>
      </w:pPr>
      <w:r w:rsidRPr="00807F9A">
        <w:t xml:space="preserve">The Tournament Rating may be derived from: </w:t>
      </w:r>
    </w:p>
    <w:p w14:paraId="6201D385" w14:textId="3A3423C7" w:rsidR="00807F9A" w:rsidRPr="00807F9A" w:rsidRDefault="00807F9A" w:rsidP="006A2D3A">
      <w:pPr>
        <w:pStyle w:val="Heading6"/>
      </w:pPr>
      <w:r w:rsidRPr="00807F9A">
        <w:t>Official Ratings;</w:t>
      </w:r>
    </w:p>
    <w:p w14:paraId="7B1C7DC4" w14:textId="1A536600" w:rsidR="00807F9A" w:rsidRPr="00807F9A" w:rsidRDefault="00807F9A" w:rsidP="006A2D3A">
      <w:pPr>
        <w:pStyle w:val="Heading6"/>
      </w:pPr>
      <w:r w:rsidRPr="00807F9A">
        <w:t>Ratings obtained from Custom Rating Lists (if any);</w:t>
      </w:r>
    </w:p>
    <w:p w14:paraId="0F11C0FE" w14:textId="3169EDA0" w:rsidR="00807F9A" w:rsidRPr="00807F9A" w:rsidRDefault="00807F9A" w:rsidP="006A2D3A">
      <w:pPr>
        <w:pStyle w:val="Heading6"/>
      </w:pPr>
      <w:r w:rsidRPr="00807F9A">
        <w:t>Manually entered ratings;</w:t>
      </w:r>
    </w:p>
    <w:p w14:paraId="37257C42" w14:textId="1EBF656D" w:rsidR="00807F9A" w:rsidRPr="00807F9A" w:rsidRDefault="00807F9A" w:rsidP="006A2D3A">
      <w:pPr>
        <w:pStyle w:val="Heading6"/>
      </w:pPr>
      <w:r w:rsidRPr="00807F9A">
        <w:t>Any combinations of the above.</w:t>
      </w:r>
    </w:p>
    <w:p w14:paraId="341CBB5B" w14:textId="375F12B6" w:rsidR="00807F9A" w:rsidRPr="00807F9A" w:rsidRDefault="00807F9A" w:rsidP="006A2D3A">
      <w:pPr>
        <w:pStyle w:val="Heading4"/>
      </w:pPr>
      <w:r w:rsidRPr="00807F9A">
        <w:t>Tournament Rating Selection</w:t>
      </w:r>
    </w:p>
    <w:p w14:paraId="4D4C618F" w14:textId="7E5DA275" w:rsidR="00807F9A" w:rsidRPr="00807F9A" w:rsidRDefault="00807F9A" w:rsidP="006A2D3A">
      <w:pPr>
        <w:pStyle w:val="Heading5"/>
      </w:pPr>
      <w:r w:rsidRPr="00807F9A">
        <w:t xml:space="preserve">When creating a new tournament, to determine the Tournament Rating of each player, the user </w:t>
      </w:r>
      <w:proofErr w:type="gramStart"/>
      <w:r w:rsidRPr="00807F9A">
        <w:t>has to</w:t>
      </w:r>
      <w:proofErr w:type="gramEnd"/>
      <w:r w:rsidRPr="00807F9A">
        <w:t xml:space="preserve"> define the Main Rating List and may optionally define additional rating lists, whether official or custom.</w:t>
      </w:r>
    </w:p>
    <w:p w14:paraId="06477A14" w14:textId="444E0117" w:rsidR="00807F9A" w:rsidRPr="00807F9A" w:rsidRDefault="00807F9A" w:rsidP="006A2D3A">
      <w:pPr>
        <w:pStyle w:val="Heading5"/>
      </w:pPr>
      <w:r w:rsidRPr="00807F9A">
        <w:lastRenderedPageBreak/>
        <w:t>The Main Rating List and any additional rating lists form the Rating List Sequence for the tournament. The Main Rating List is the first in the sequence. The order of the remaining lists is defined by the user.</w:t>
      </w:r>
    </w:p>
    <w:p w14:paraId="7F22FD8B" w14:textId="27FD9519" w:rsidR="00807F9A" w:rsidRPr="00807F9A" w:rsidRDefault="00807F9A" w:rsidP="006A2D3A">
      <w:pPr>
        <w:pStyle w:val="Heading5"/>
      </w:pPr>
      <w:r w:rsidRPr="00807F9A">
        <w:t>Regardless of the methodology used by the THP to identify a player, when the player is inserted into the tournament list:</w:t>
      </w:r>
    </w:p>
    <w:p w14:paraId="7C65CB1B" w14:textId="53E2DFF4" w:rsidR="00807F9A" w:rsidRPr="00807F9A" w:rsidRDefault="00807F9A" w:rsidP="006A2D3A">
      <w:pPr>
        <w:pStyle w:val="Heading6"/>
      </w:pPr>
      <w:r w:rsidRPr="00807F9A">
        <w:t>if the player is found in the Main Rating List, the corresponding rating is automatically assigned;</w:t>
      </w:r>
    </w:p>
    <w:p w14:paraId="682DD6B3" w14:textId="2E95D0E0" w:rsidR="00807F9A" w:rsidRPr="00807F9A" w:rsidRDefault="00807F9A" w:rsidP="006A2D3A">
      <w:pPr>
        <w:pStyle w:val="Heading6"/>
      </w:pPr>
      <w:r w:rsidRPr="00807F9A">
        <w:t>otherwise, the THP should propose alternative ratings for the player from other rating lists (if any) in the Rating List Sequence, allowing the user to select one of them directly, or to enter a rating manually. In this case, the THP may provide a default minimum value for manually entered ratings.</w:t>
      </w:r>
    </w:p>
    <w:p w14:paraId="41926FA9" w14:textId="2A3B3095" w:rsidR="00807F9A" w:rsidRPr="00807F9A" w:rsidRDefault="00807F9A" w:rsidP="006A2D3A">
      <w:pPr>
        <w:pStyle w:val="Heading4"/>
      </w:pPr>
      <w:r w:rsidRPr="00807F9A">
        <w:t>First-Class Management</w:t>
      </w:r>
    </w:p>
    <w:p w14:paraId="29D2900C" w14:textId="07CB1433" w:rsidR="00807F9A" w:rsidRPr="00807F9A" w:rsidRDefault="00807F9A" w:rsidP="006A2D3A">
      <w:pPr>
        <w:pStyle w:val="Heading5"/>
      </w:pPr>
      <w:r w:rsidRPr="00807F9A">
        <w:t>First-Class Management is achieved when the THP supports Type-A Rating Lists. It may also support Type-B Rating Lists for custom lists, but their management is outside the scope of the VCL.</w:t>
      </w:r>
    </w:p>
    <w:p w14:paraId="0DECD42F" w14:textId="27B73FAA" w:rsidR="00807F9A" w:rsidRPr="00807F9A" w:rsidRDefault="00807F9A" w:rsidP="006A2D3A">
      <w:pPr>
        <w:pStyle w:val="Heading5"/>
      </w:pPr>
      <w:r w:rsidRPr="00807F9A">
        <w:t xml:space="preserve">When a new tournament is created, the THP proposes a default Rating List Sequence, consisting of the following rating lists: </w:t>
      </w:r>
    </w:p>
    <w:p w14:paraId="5194CEEA" w14:textId="3D385EDC" w:rsidR="00807F9A" w:rsidRPr="00807F9A" w:rsidRDefault="00807F9A" w:rsidP="006A2D3A">
      <w:pPr>
        <w:pStyle w:val="Heading6"/>
      </w:pPr>
      <w:r w:rsidRPr="00807F9A">
        <w:t>FIDE Standard, FIDE Rapid, FIDE Blitz, for Standard tournaments</w:t>
      </w:r>
    </w:p>
    <w:p w14:paraId="54D2B78E" w14:textId="3FCAAA70" w:rsidR="00807F9A" w:rsidRPr="00807F9A" w:rsidRDefault="00807F9A" w:rsidP="006A2D3A">
      <w:pPr>
        <w:pStyle w:val="Heading6"/>
      </w:pPr>
      <w:r w:rsidRPr="00807F9A">
        <w:t>Effective Rapid, FIDE Blitz, for Rapid tournaments</w:t>
      </w:r>
    </w:p>
    <w:p w14:paraId="32D8A68B" w14:textId="195AB359" w:rsidR="00807F9A" w:rsidRPr="00807F9A" w:rsidRDefault="00807F9A" w:rsidP="006A2D3A">
      <w:pPr>
        <w:pStyle w:val="Heading6"/>
      </w:pPr>
      <w:r w:rsidRPr="00807F9A">
        <w:t>Effective Blitz, FIDE Rapid, for Blitz tournaments</w:t>
      </w:r>
    </w:p>
    <w:p w14:paraId="3C79E1D0" w14:textId="60E95BA5" w:rsidR="00807F9A" w:rsidRPr="00807F9A" w:rsidRDefault="00807F9A" w:rsidP="006A2D3A">
      <w:pPr>
        <w:pStyle w:val="Heading5"/>
      </w:pPr>
      <w:r w:rsidRPr="00807F9A">
        <w:t>The user can then exclude one or more of those lists, include any number of Custom Rating Lists (if their management is provided by the THP), and reorder the remaining lists. The first list in the order is the Main Rating List.</w:t>
      </w:r>
    </w:p>
    <w:p w14:paraId="2AD8AEB2" w14:textId="58B7452F" w:rsidR="00807F9A" w:rsidRPr="00807F9A" w:rsidRDefault="00807F9A" w:rsidP="006A2D3A">
      <w:pPr>
        <w:pStyle w:val="Heading5"/>
      </w:pPr>
      <w:r w:rsidRPr="00807F9A">
        <w:t>Player insertion is performed according to Article 7.c.</w:t>
      </w:r>
    </w:p>
    <w:p w14:paraId="55B2BD1A" w14:textId="2642B3D8" w:rsidR="00807F9A" w:rsidRPr="00807F9A" w:rsidRDefault="00807F9A" w:rsidP="006A2D3A">
      <w:pPr>
        <w:pStyle w:val="Heading4"/>
      </w:pPr>
      <w:r w:rsidRPr="00807F9A">
        <w:t>Second-Class Management</w:t>
      </w:r>
    </w:p>
    <w:p w14:paraId="450D7180" w14:textId="3E627905" w:rsidR="00807F9A" w:rsidRPr="00807F9A" w:rsidRDefault="00807F9A" w:rsidP="006A2D3A">
      <w:pPr>
        <w:pStyle w:val="Heading5"/>
      </w:pPr>
      <w:r w:rsidRPr="00807F9A">
        <w:t>Second-Class Management is achieved when the THP supports multiple rating lists and a Rating List Sequence, but all these rating lists are Type-B Rating Lists.</w:t>
      </w:r>
    </w:p>
    <w:p w14:paraId="2FC81A49" w14:textId="73B87E5A" w:rsidR="00807F9A" w:rsidRPr="00807F9A" w:rsidRDefault="00807F9A" w:rsidP="006A2D3A">
      <w:pPr>
        <w:pStyle w:val="Heading5"/>
      </w:pPr>
      <w:r w:rsidRPr="00807F9A">
        <w:t xml:space="preserve">When a new tournament is created, the user can define a Rating List Sequence composed of Type-B lists only (official or custom), the first of which is the Main Rating List. </w:t>
      </w:r>
    </w:p>
    <w:p w14:paraId="2AA533BE" w14:textId="088BF22F" w:rsidR="00807F9A" w:rsidRPr="00807F9A" w:rsidRDefault="00807F9A" w:rsidP="006A2D3A">
      <w:pPr>
        <w:pStyle w:val="Heading5"/>
      </w:pPr>
      <w:r w:rsidRPr="00807F9A">
        <w:t xml:space="preserve">Player insertion is performed according to Article 7.c. </w:t>
      </w:r>
    </w:p>
    <w:p w14:paraId="1EBED5F8" w14:textId="11C665FE" w:rsidR="00807F9A" w:rsidRPr="00807F9A" w:rsidRDefault="00807F9A" w:rsidP="006A2D3A">
      <w:pPr>
        <w:pStyle w:val="Heading4"/>
      </w:pPr>
      <w:r w:rsidRPr="00807F9A">
        <w:t>Third-Class Management</w:t>
      </w:r>
    </w:p>
    <w:p w14:paraId="1A234BAF" w14:textId="03E32DAD" w:rsidR="00807F9A" w:rsidRPr="00807F9A" w:rsidRDefault="00807F9A" w:rsidP="006A2D3A">
      <w:pPr>
        <w:pStyle w:val="Heading5"/>
      </w:pPr>
      <w:r w:rsidRPr="00807F9A">
        <w:t>Third-Class Management is achieved when the THP supports only Type-B Rating Lists and the user cannot define a Rating List Sequence.</w:t>
      </w:r>
    </w:p>
    <w:p w14:paraId="571B4214" w14:textId="2BE8332D" w:rsidR="00807F9A" w:rsidRPr="00807F9A" w:rsidRDefault="00807F9A" w:rsidP="006A2D3A">
      <w:pPr>
        <w:pStyle w:val="Heading5"/>
      </w:pPr>
      <w:r w:rsidRPr="00807F9A">
        <w:t xml:space="preserve">For each player insertion, the user </w:t>
      </w:r>
      <w:proofErr w:type="gramStart"/>
      <w:r w:rsidRPr="00807F9A">
        <w:t>has to</w:t>
      </w:r>
      <w:proofErr w:type="gramEnd"/>
      <w:r w:rsidRPr="00807F9A">
        <w:t xml:space="preserve"> explicitly select the Type-B Rating List to be queried </w:t>
      </w:r>
      <w:proofErr w:type="gramStart"/>
      <w:r w:rsidRPr="00807F9A">
        <w:t>in order to</w:t>
      </w:r>
      <w:proofErr w:type="gramEnd"/>
      <w:r w:rsidRPr="00807F9A">
        <w:t xml:space="preserve"> determine the Tournament Rating. </w:t>
      </w:r>
    </w:p>
    <w:p w14:paraId="4BC2DA5F" w14:textId="6D517652" w:rsidR="00807F9A" w:rsidRPr="00807F9A" w:rsidRDefault="00807F9A" w:rsidP="006A2D3A">
      <w:pPr>
        <w:pStyle w:val="Heading4"/>
      </w:pPr>
      <w:r w:rsidRPr="00807F9A">
        <w:lastRenderedPageBreak/>
        <w:t xml:space="preserve">Update Management of Type-A Rating Lists (included in First-Class Management) </w:t>
      </w:r>
    </w:p>
    <w:p w14:paraId="0D4057F0" w14:textId="6CA372E0" w:rsidR="00807F9A" w:rsidRPr="00807F9A" w:rsidRDefault="00807F9A" w:rsidP="006A2D3A">
      <w:pPr>
        <w:pStyle w:val="Heading5"/>
      </w:pPr>
      <w:r w:rsidRPr="00807F9A">
        <w:t>The official FIDE rating lists may be accessed through a locally or remotely stored copy previously obtained and managed by the THP (see Article 3.b).</w:t>
      </w:r>
    </w:p>
    <w:p w14:paraId="787A5B77" w14:textId="77777777" w:rsidR="00807F9A" w:rsidRPr="00807F9A" w:rsidRDefault="00807F9A" w:rsidP="00D06737">
      <w:pPr>
        <w:pStyle w:val="Body4"/>
      </w:pPr>
      <w:r w:rsidRPr="00807F9A">
        <w:t>The same applies to custom rating lists when supported; however, custom lists management is not subject to VCL requirements.</w:t>
      </w:r>
    </w:p>
    <w:p w14:paraId="0913D6CD" w14:textId="493EFB80" w:rsidR="00807F9A" w:rsidRPr="00807F9A" w:rsidRDefault="00807F9A" w:rsidP="00D06737">
      <w:pPr>
        <w:pStyle w:val="Heading5"/>
      </w:pPr>
      <w:r w:rsidRPr="00807F9A">
        <w:t>The user uses, for each official FIDE list, the stored version of the same FIDE list maintained by the THP. If user-initiated import is supported, the THP should also provide a one-click import mechanism for all official FIDE rating lists.</w:t>
      </w:r>
    </w:p>
    <w:p w14:paraId="59241F9B" w14:textId="258687F8" w:rsidR="00807F9A" w:rsidRPr="00807F9A" w:rsidRDefault="00807F9A" w:rsidP="00D06737">
      <w:pPr>
        <w:pStyle w:val="Heading5"/>
      </w:pPr>
      <w:r w:rsidRPr="00807F9A">
        <w:t xml:space="preserve">Each </w:t>
      </w:r>
      <w:proofErr w:type="gramStart"/>
      <w:r w:rsidRPr="00807F9A">
        <w:t>stored  rating</w:t>
      </w:r>
      <w:proofErr w:type="gramEnd"/>
      <w:r w:rsidRPr="00807F9A">
        <w:t xml:space="preserve"> value must be associated with:</w:t>
      </w:r>
    </w:p>
    <w:p w14:paraId="59DD72CB" w14:textId="3232FA24" w:rsidR="00807F9A" w:rsidRPr="00807F9A" w:rsidRDefault="00807F9A" w:rsidP="00D06737">
      <w:pPr>
        <w:pStyle w:val="Heading6"/>
      </w:pPr>
      <w:r w:rsidRPr="00807F9A">
        <w:t>its source rating list, or</w:t>
      </w:r>
    </w:p>
    <w:p w14:paraId="1F89CEC2" w14:textId="50D234AA" w:rsidR="00807F9A" w:rsidRPr="00807F9A" w:rsidRDefault="00807F9A" w:rsidP="00D06737">
      <w:pPr>
        <w:pStyle w:val="Heading6"/>
      </w:pPr>
      <w:r w:rsidRPr="00807F9A">
        <w:t>the absence of a source, indicating manual entry.</w:t>
      </w:r>
    </w:p>
    <w:p w14:paraId="04CDA95E" w14:textId="77777777" w:rsidR="00807F9A" w:rsidRPr="00807F9A" w:rsidRDefault="00807F9A" w:rsidP="00D06737">
      <w:pPr>
        <w:pStyle w:val="Body4"/>
      </w:pPr>
      <w:r w:rsidRPr="00807F9A">
        <w:t xml:space="preserve">The source rating list is retained even if the rating is modified after insertion. </w:t>
      </w:r>
    </w:p>
    <w:p w14:paraId="60E73A29" w14:textId="75610AB9" w:rsidR="00807F9A" w:rsidRPr="00807F9A" w:rsidRDefault="00807F9A" w:rsidP="00D06737">
      <w:pPr>
        <w:pStyle w:val="Heading5"/>
      </w:pPr>
      <w:r w:rsidRPr="00807F9A">
        <w:t>During the tournament, either automatically (for instance, when tournament management is resumed or at a scheduled time) or upon user request, the THP may perform consistency checks against the FIDE Rating Server, provided that a connection is available.</w:t>
      </w:r>
    </w:p>
    <w:p w14:paraId="21AF2DE2" w14:textId="18931A99" w:rsidR="00807F9A" w:rsidRPr="00807F9A" w:rsidRDefault="00807F9A" w:rsidP="00D06737">
      <w:pPr>
        <w:pStyle w:val="Heading5"/>
      </w:pPr>
      <w:r w:rsidRPr="00807F9A">
        <w:t xml:space="preserve">A consistency check verifies whether the Official and Tournament Ratings currently associated with the players are still consistent with the reference FIDE rating lists and, when applicable, with the Rating List Sequence defined for the tournament. Players for whom a different rating would now be assigned are identified and reported to the user. </w:t>
      </w:r>
    </w:p>
    <w:p w14:paraId="587FFBA9" w14:textId="6FC0E361" w:rsidR="00807F9A" w:rsidRPr="00807F9A" w:rsidRDefault="00807F9A" w:rsidP="00D06737">
      <w:pPr>
        <w:pStyle w:val="Heading5"/>
      </w:pPr>
      <w:r w:rsidRPr="00807F9A">
        <w:t>The user may decide whether to apply all the suggested updates or just some of them.</w:t>
      </w:r>
    </w:p>
    <w:p w14:paraId="40E663F4" w14:textId="3E931CE0" w:rsidR="00807F9A" w:rsidRPr="00807F9A" w:rsidRDefault="00807F9A" w:rsidP="00D06737">
      <w:pPr>
        <w:pStyle w:val="Heading5"/>
      </w:pPr>
      <w:r w:rsidRPr="00807F9A">
        <w:t>The reference official FIDE list is determined as follows:</w:t>
      </w:r>
    </w:p>
    <w:p w14:paraId="61954E25" w14:textId="6A6880DA" w:rsidR="00807F9A" w:rsidRPr="00807F9A" w:rsidRDefault="00807F9A" w:rsidP="00D06737">
      <w:pPr>
        <w:pStyle w:val="Heading6"/>
      </w:pPr>
      <w:r w:rsidRPr="00807F9A">
        <w:t>the list valid for the month in which the tournament started, for tournaments lasting more 30 days or less;</w:t>
      </w:r>
    </w:p>
    <w:p w14:paraId="37E3DEB9" w14:textId="465603CB" w:rsidR="00807F9A" w:rsidRPr="00807F9A" w:rsidRDefault="00807F9A" w:rsidP="00D06737">
      <w:pPr>
        <w:pStyle w:val="Heading6"/>
      </w:pPr>
      <w:r w:rsidRPr="00807F9A">
        <w:t>the list valid for the current month, otherwise.</w:t>
      </w:r>
    </w:p>
    <w:p w14:paraId="3BE42DA8" w14:textId="2046EC50" w:rsidR="00807F9A" w:rsidRPr="00807F9A" w:rsidRDefault="00807F9A" w:rsidP="00D06737">
      <w:pPr>
        <w:pStyle w:val="Heading5"/>
      </w:pPr>
      <w:r w:rsidRPr="00807F9A">
        <w:t>The user must be able to enable and disable these checks.</w:t>
      </w:r>
    </w:p>
    <w:p w14:paraId="3BB866B0" w14:textId="179C7079" w:rsidR="00807F9A" w:rsidRPr="00807F9A" w:rsidRDefault="00807F9A" w:rsidP="00D06737">
      <w:pPr>
        <w:pStyle w:val="Heading5"/>
      </w:pPr>
      <w:r w:rsidRPr="00807F9A">
        <w:t>The THP may still perform similar checks on custom rating lists, if their structure is known, but such functionality is not subject to VCL requirements.</w:t>
      </w:r>
    </w:p>
    <w:p w14:paraId="2C4853EB" w14:textId="4F565517" w:rsidR="00807F9A" w:rsidRPr="00807F9A" w:rsidRDefault="00807F9A" w:rsidP="00D06737">
      <w:pPr>
        <w:pStyle w:val="Heading3"/>
      </w:pPr>
      <w:r w:rsidRPr="00807F9A">
        <w:t>TRF-26 Clarifications and Recommended Conventions</w:t>
      </w:r>
    </w:p>
    <w:p w14:paraId="6DC81A03" w14:textId="59706E6C" w:rsidR="00807F9A" w:rsidRPr="00807F9A" w:rsidRDefault="00807F9A" w:rsidP="00E35F9A">
      <w:pPr>
        <w:pStyle w:val="Heading4"/>
      </w:pPr>
      <w:r w:rsidRPr="00807F9A">
        <w:lastRenderedPageBreak/>
        <w:t>Introduction</w:t>
      </w:r>
    </w:p>
    <w:p w14:paraId="309AD569" w14:textId="77777777" w:rsidR="00807F9A" w:rsidRPr="00807F9A" w:rsidRDefault="00807F9A" w:rsidP="00980A6F">
      <w:pPr>
        <w:pStyle w:val="Body3"/>
      </w:pPr>
      <w:r w:rsidRPr="00807F9A">
        <w:t>In a few areas, the TRF-26 specification leaves room for interpretation or does not completely define the proper contents that a THP should include in a TRF report, whether partial (for the In-Tournament Data Exchange mechanism, "ITDX") or final (for pairing, tie-break verification and rating reporting).</w:t>
      </w:r>
    </w:p>
    <w:p w14:paraId="3EF9DB69" w14:textId="77777777" w:rsidR="00807F9A" w:rsidRPr="00807F9A" w:rsidRDefault="00807F9A" w:rsidP="00980A6F">
      <w:pPr>
        <w:pStyle w:val="Body3"/>
      </w:pPr>
      <w:r w:rsidRPr="00807F9A">
        <w:t xml:space="preserve">This chapter of the TEC Manual addresses such issues. The following articles provide a common interpretation of ambiguous situations and describe </w:t>
      </w:r>
      <w:proofErr w:type="gramStart"/>
      <w:r w:rsidRPr="00807F9A">
        <w:t>a number of</w:t>
      </w:r>
      <w:proofErr w:type="gramEnd"/>
      <w:r w:rsidRPr="00807F9A">
        <w:t xml:space="preserve"> conventions intended to improve interoperability among THPs, especially when exchanging tournament data during an event through ITDX.</w:t>
      </w:r>
    </w:p>
    <w:p w14:paraId="126322D0" w14:textId="77777777" w:rsidR="00807F9A" w:rsidRPr="00807F9A" w:rsidRDefault="00807F9A" w:rsidP="00980A6F">
      <w:pPr>
        <w:pStyle w:val="Body3"/>
      </w:pPr>
      <w:r w:rsidRPr="00807F9A">
        <w:t>THP developers are expected to follow the interpretations and conventions described in this chapter.</w:t>
      </w:r>
    </w:p>
    <w:p w14:paraId="003B4CF9" w14:textId="57289526" w:rsidR="00807F9A" w:rsidRPr="00807F9A" w:rsidRDefault="00807F9A" w:rsidP="00D06737">
      <w:pPr>
        <w:pStyle w:val="Heading4"/>
      </w:pPr>
      <w:r w:rsidRPr="00807F9A">
        <w:t>National Rating Support</w:t>
      </w:r>
    </w:p>
    <w:p w14:paraId="7E04A3E7" w14:textId="77777777" w:rsidR="00807F9A" w:rsidRPr="00807F9A" w:rsidRDefault="00807F9A" w:rsidP="00980A6F">
      <w:pPr>
        <w:pStyle w:val="Body3"/>
      </w:pPr>
      <w:r w:rsidRPr="00807F9A">
        <w:t>National Rating Support (NRS) should not be considered a mandatory feature of a THP. However, the situations in which NRS may be avoided are limited.</w:t>
      </w:r>
    </w:p>
    <w:p w14:paraId="1310BEA5" w14:textId="27993F2E" w:rsidR="00807F9A" w:rsidRPr="00807F9A" w:rsidRDefault="00807F9A" w:rsidP="00D06737">
      <w:pPr>
        <w:pStyle w:val="Heading5"/>
      </w:pPr>
      <w:r w:rsidRPr="00807F9A">
        <w:t>A THP may choose not to manage national rating records at all. In this case the program operates exclusively with one official FIDE rating list (exceptionally with two, when a Standard FIDE rating becomes the initial rating in a player's first Rapid or Blitz event). Unrated players are assigned rating 0.</w:t>
      </w:r>
    </w:p>
    <w:p w14:paraId="046E8D32" w14:textId="6CFE3B47" w:rsidR="00807F9A" w:rsidRPr="00807F9A" w:rsidRDefault="00807F9A" w:rsidP="00D06737">
      <w:pPr>
        <w:pStyle w:val="Heading5"/>
      </w:pPr>
      <w:r w:rsidRPr="00807F9A">
        <w:t>If national rating records do not influence tournament standings, a THP is not required to generate NRS records or Record-172 in final tournament reports. This is typically the case when custom rating-based tie-breaks are not used or when Record-172 specifies "FIDE" as the ranking method.</w:t>
      </w:r>
    </w:p>
    <w:p w14:paraId="202B750F" w14:textId="18D4F980" w:rsidR="00807F9A" w:rsidRPr="00807F9A" w:rsidRDefault="00807F9A" w:rsidP="00D06737">
      <w:pPr>
        <w:pStyle w:val="Heading4"/>
      </w:pPr>
      <w:r w:rsidRPr="00807F9A">
        <w:t>ITDX Support and Rating Information Exchange</w:t>
      </w:r>
    </w:p>
    <w:p w14:paraId="3E367546" w14:textId="1396714F" w:rsidR="00807F9A" w:rsidRPr="00807F9A" w:rsidRDefault="00807F9A" w:rsidP="00D06737">
      <w:pPr>
        <w:pStyle w:val="Heading5"/>
      </w:pPr>
      <w:r w:rsidRPr="00807F9A">
        <w:t>ITDX support is considered an essential feature of a modern THP. Consequently, when a THP supports national rating records, such records should also be transmitted in a partial TRF used for ITDX.</w:t>
      </w:r>
    </w:p>
    <w:p w14:paraId="4A3DDA71" w14:textId="18A683DD" w:rsidR="00807F9A" w:rsidRPr="00807F9A" w:rsidRDefault="00807F9A" w:rsidP="00D06737">
      <w:pPr>
        <w:pStyle w:val="Heading5"/>
      </w:pPr>
      <w:r w:rsidRPr="00807F9A">
        <w:t xml:space="preserve">National rating records may also be used to overcome a necessity given by the fact that THPs supporting Type-A Rating Lists are required to keep track of the source rating list associated with each rating value. To maintain this information for ITDX, THPs are recommended to use the following convention: </w:t>
      </w:r>
    </w:p>
    <w:p w14:paraId="41F1FCFD" w14:textId="4767D0D4" w:rsidR="00807F9A" w:rsidRPr="00807F9A" w:rsidRDefault="00807F9A" w:rsidP="00D06737">
      <w:pPr>
        <w:pStyle w:val="Heading6"/>
      </w:pPr>
      <w:r w:rsidRPr="00807F9A">
        <w:t>Use pseudo-NRS records to identify the source of a rating value.</w:t>
      </w:r>
    </w:p>
    <w:p w14:paraId="7B834AE0" w14:textId="198CC169" w:rsidR="00807F9A" w:rsidRPr="00807F9A" w:rsidRDefault="00807F9A" w:rsidP="00D06737">
      <w:pPr>
        <w:pStyle w:val="Heading6"/>
      </w:pPr>
      <w:r w:rsidRPr="00807F9A">
        <w:lastRenderedPageBreak/>
        <w:t>The dummy "Federation" presented in the first field of the "National" Rating Support record is one of the following:</w:t>
      </w:r>
    </w:p>
    <w:tbl>
      <w:tblPr>
        <w:tblStyle w:val="TableGrid2"/>
        <w:tblW w:w="0" w:type="auto"/>
        <w:tblInd w:w="2880" w:type="dxa"/>
        <w:tblLook w:val="01E0" w:firstRow="1" w:lastRow="1" w:firstColumn="1" w:lastColumn="1" w:noHBand="0" w:noVBand="0"/>
      </w:tblPr>
      <w:tblGrid>
        <w:gridCol w:w="804"/>
        <w:gridCol w:w="2859"/>
      </w:tblGrid>
      <w:tr w:rsidR="00D06737" w:rsidRPr="00D06737" w14:paraId="49B8D0E6" w14:textId="77777777" w:rsidTr="00347B91">
        <w:tc>
          <w:tcPr>
            <w:tcW w:w="0" w:type="auto"/>
          </w:tcPr>
          <w:p w14:paraId="325131DC" w14:textId="77777777" w:rsidR="00D06737" w:rsidRPr="009E339A" w:rsidRDefault="00D06737" w:rsidP="009E339A">
            <w:pPr>
              <w:pStyle w:val="Body0"/>
              <w:rPr>
                <w:b/>
                <w:bCs/>
              </w:rPr>
            </w:pPr>
            <w:r w:rsidRPr="009E339A">
              <w:rPr>
                <w:b/>
                <w:bCs/>
              </w:rPr>
              <w:t>Code</w:t>
            </w:r>
          </w:p>
        </w:tc>
        <w:tc>
          <w:tcPr>
            <w:tcW w:w="0" w:type="auto"/>
          </w:tcPr>
          <w:p w14:paraId="6FF29E89" w14:textId="77777777" w:rsidR="00D06737" w:rsidRPr="009E339A" w:rsidRDefault="00D06737" w:rsidP="009E339A">
            <w:pPr>
              <w:pStyle w:val="Body0"/>
              <w:rPr>
                <w:b/>
                <w:bCs/>
              </w:rPr>
            </w:pPr>
            <w:r w:rsidRPr="009E339A">
              <w:rPr>
                <w:b/>
                <w:bCs/>
              </w:rPr>
              <w:t>Meaning</w:t>
            </w:r>
          </w:p>
        </w:tc>
      </w:tr>
      <w:tr w:rsidR="00D06737" w:rsidRPr="00D06737" w14:paraId="7F8C44AD" w14:textId="77777777" w:rsidTr="00347B91">
        <w:tc>
          <w:tcPr>
            <w:tcW w:w="0" w:type="auto"/>
          </w:tcPr>
          <w:p w14:paraId="5232ED62" w14:textId="77777777" w:rsidR="00D06737" w:rsidRPr="00D06737" w:rsidRDefault="00D06737" w:rsidP="009E339A">
            <w:pPr>
              <w:pStyle w:val="Body0"/>
            </w:pPr>
            <w:r w:rsidRPr="00D06737">
              <w:t>SSS</w:t>
            </w:r>
          </w:p>
        </w:tc>
        <w:tc>
          <w:tcPr>
            <w:tcW w:w="0" w:type="auto"/>
          </w:tcPr>
          <w:p w14:paraId="06C99CAD" w14:textId="77777777" w:rsidR="00D06737" w:rsidRPr="00D06737" w:rsidRDefault="00D06737" w:rsidP="009E339A">
            <w:pPr>
              <w:pStyle w:val="Body0"/>
            </w:pPr>
            <w:r w:rsidRPr="00D06737">
              <w:t>FIDE Standard Rating List</w:t>
            </w:r>
          </w:p>
        </w:tc>
      </w:tr>
      <w:tr w:rsidR="00D06737" w:rsidRPr="00D06737" w14:paraId="6B8C9C89" w14:textId="77777777" w:rsidTr="00347B91">
        <w:tc>
          <w:tcPr>
            <w:tcW w:w="0" w:type="auto"/>
          </w:tcPr>
          <w:p w14:paraId="4333AB04" w14:textId="77777777" w:rsidR="00D06737" w:rsidRPr="00D06737" w:rsidRDefault="00D06737" w:rsidP="009E339A">
            <w:pPr>
              <w:pStyle w:val="Body0"/>
            </w:pPr>
            <w:r w:rsidRPr="00D06737">
              <w:t>RRR</w:t>
            </w:r>
          </w:p>
        </w:tc>
        <w:tc>
          <w:tcPr>
            <w:tcW w:w="0" w:type="auto"/>
          </w:tcPr>
          <w:p w14:paraId="30349032" w14:textId="77777777" w:rsidR="00D06737" w:rsidRPr="00D06737" w:rsidRDefault="00D06737" w:rsidP="009E339A">
            <w:pPr>
              <w:pStyle w:val="Body0"/>
            </w:pPr>
            <w:r w:rsidRPr="00D06737">
              <w:t>FIDE Rapid Rating List</w:t>
            </w:r>
          </w:p>
        </w:tc>
      </w:tr>
      <w:tr w:rsidR="00D06737" w:rsidRPr="00D06737" w14:paraId="5F673C77" w14:textId="77777777" w:rsidTr="00347B91">
        <w:tc>
          <w:tcPr>
            <w:tcW w:w="0" w:type="auto"/>
          </w:tcPr>
          <w:p w14:paraId="0C5E33D3" w14:textId="77777777" w:rsidR="00D06737" w:rsidRPr="00D06737" w:rsidRDefault="00D06737" w:rsidP="009E339A">
            <w:pPr>
              <w:pStyle w:val="Body0"/>
            </w:pPr>
            <w:r w:rsidRPr="00D06737">
              <w:t>BBB</w:t>
            </w:r>
          </w:p>
        </w:tc>
        <w:tc>
          <w:tcPr>
            <w:tcW w:w="0" w:type="auto"/>
          </w:tcPr>
          <w:p w14:paraId="14F6E977" w14:textId="77777777" w:rsidR="00D06737" w:rsidRPr="00D06737" w:rsidRDefault="00D06737" w:rsidP="009E339A">
            <w:pPr>
              <w:pStyle w:val="Body0"/>
            </w:pPr>
            <w:r w:rsidRPr="00D06737">
              <w:t>FIDE Blitz Rating List</w:t>
            </w:r>
          </w:p>
        </w:tc>
      </w:tr>
      <w:tr w:rsidR="00D06737" w:rsidRPr="00D06737" w14:paraId="00CF4016" w14:textId="77777777" w:rsidTr="00347B91">
        <w:tc>
          <w:tcPr>
            <w:tcW w:w="0" w:type="auto"/>
          </w:tcPr>
          <w:p w14:paraId="168790F4" w14:textId="77777777" w:rsidR="00D06737" w:rsidRPr="00D06737" w:rsidRDefault="00D06737" w:rsidP="009E339A">
            <w:pPr>
              <w:pStyle w:val="Body0"/>
            </w:pPr>
            <w:r w:rsidRPr="00D06737">
              <w:t>MMM</w:t>
            </w:r>
          </w:p>
        </w:tc>
        <w:tc>
          <w:tcPr>
            <w:tcW w:w="0" w:type="auto"/>
          </w:tcPr>
          <w:p w14:paraId="69D08D72" w14:textId="77777777" w:rsidR="00D06737" w:rsidRPr="00D06737" w:rsidRDefault="00D06737" w:rsidP="009E339A">
            <w:pPr>
              <w:pStyle w:val="Body0"/>
            </w:pPr>
            <w:r w:rsidRPr="00D06737">
              <w:t>Rating entered manually</w:t>
            </w:r>
          </w:p>
        </w:tc>
      </w:tr>
    </w:tbl>
    <w:p w14:paraId="284CA7D4" w14:textId="049F44DB" w:rsidR="00807F9A" w:rsidRPr="00807F9A" w:rsidRDefault="00807F9A" w:rsidP="00D06737">
      <w:pPr>
        <w:pStyle w:val="Heading6"/>
      </w:pPr>
      <w:r w:rsidRPr="00807F9A">
        <w:t>Corresponding Record-172 entries should also be present, for example:</w:t>
      </w:r>
    </w:p>
    <w:p w14:paraId="2A86160B" w14:textId="77777777" w:rsidR="00D06737" w:rsidRPr="00D06737" w:rsidRDefault="00D06737" w:rsidP="00D06737">
      <w:pPr>
        <w:pStyle w:val="Heading3"/>
        <w:numPr>
          <w:ilvl w:val="0"/>
          <w:numId w:val="0"/>
        </w:numPr>
        <w:spacing w:before="0" w:beforeAutospacing="0" w:after="0" w:afterAutospacing="0" w:line="240" w:lineRule="auto"/>
        <w:ind w:left="2835"/>
        <w:rPr>
          <w:rStyle w:val="Strong"/>
          <w:rFonts w:ascii="Courier New" w:hAnsi="Courier New" w:cs="Courier New"/>
          <w:b w:val="0"/>
          <w:bCs w:val="0"/>
          <w:sz w:val="16"/>
          <w:szCs w:val="16"/>
          <w:lang w:val="it-IT"/>
        </w:rPr>
      </w:pPr>
      <w:r w:rsidRPr="00D06737">
        <w:rPr>
          <w:rStyle w:val="Strong"/>
          <w:rFonts w:ascii="Courier New" w:hAnsi="Courier New" w:cs="Courier New"/>
          <w:b w:val="0"/>
          <w:bCs w:val="0"/>
          <w:sz w:val="16"/>
          <w:szCs w:val="16"/>
          <w:lang w:val="it-IT"/>
        </w:rPr>
        <w:t>### FED CODE</w:t>
      </w:r>
    </w:p>
    <w:p w14:paraId="75086A93"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it-IT"/>
        </w:rPr>
      </w:pPr>
      <w:r w:rsidRPr="00D06737">
        <w:rPr>
          <w:rStyle w:val="Strong"/>
          <w:rFonts w:ascii="Courier New" w:hAnsi="Courier New" w:cs="Courier New"/>
          <w:b w:val="0"/>
          <w:bCs w:val="0"/>
          <w:sz w:val="16"/>
          <w:szCs w:val="16"/>
          <w:lang w:val="it-IT"/>
        </w:rPr>
        <w:t>172 ITA FIDON</w:t>
      </w:r>
    </w:p>
    <w:p w14:paraId="5EED8DA6"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it-IT"/>
        </w:rPr>
      </w:pPr>
      <w:r w:rsidRPr="00D06737">
        <w:rPr>
          <w:rStyle w:val="Strong"/>
          <w:rFonts w:ascii="Courier New" w:hAnsi="Courier New" w:cs="Courier New"/>
          <w:b w:val="0"/>
          <w:bCs w:val="0"/>
          <w:sz w:val="16"/>
          <w:szCs w:val="16"/>
          <w:lang w:val="it-IT"/>
        </w:rPr>
        <w:t>172 RRR FIDON</w:t>
      </w:r>
    </w:p>
    <w:p w14:paraId="5A600A12"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n-US"/>
        </w:rPr>
      </w:pPr>
      <w:r w:rsidRPr="00D06737">
        <w:rPr>
          <w:rStyle w:val="Strong"/>
          <w:rFonts w:ascii="Courier New" w:hAnsi="Courier New" w:cs="Courier New"/>
          <w:b w:val="0"/>
          <w:bCs w:val="0"/>
          <w:sz w:val="16"/>
          <w:szCs w:val="16"/>
          <w:lang w:val="en-US"/>
        </w:rPr>
        <w:t>172 BBB FIDON</w:t>
      </w:r>
    </w:p>
    <w:p w14:paraId="316F3C8A"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n-US"/>
        </w:rPr>
      </w:pPr>
      <w:r w:rsidRPr="00D06737">
        <w:rPr>
          <w:rStyle w:val="Strong"/>
          <w:rFonts w:ascii="Courier New" w:hAnsi="Courier New" w:cs="Courier New"/>
          <w:b w:val="0"/>
          <w:bCs w:val="0"/>
          <w:sz w:val="16"/>
          <w:szCs w:val="16"/>
          <w:lang w:val="en-US"/>
        </w:rPr>
        <w:t>172 MMM FIDON</w:t>
      </w:r>
    </w:p>
    <w:p w14:paraId="13725878"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n-US"/>
        </w:rPr>
      </w:pPr>
      <w:r w:rsidRPr="00D06737">
        <w:rPr>
          <w:rStyle w:val="Strong"/>
          <w:rFonts w:ascii="Courier New" w:hAnsi="Courier New" w:cs="Courier New"/>
          <w:b w:val="0"/>
          <w:bCs w:val="0"/>
          <w:sz w:val="16"/>
          <w:szCs w:val="16"/>
          <w:lang w:val="en-US"/>
        </w:rPr>
        <w:t>001   36 m    Player 0036                          0 MEX</w:t>
      </w:r>
    </w:p>
    <w:p w14:paraId="24B8C15F"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n-US"/>
        </w:rPr>
      </w:pPr>
      <w:r w:rsidRPr="00D06737">
        <w:rPr>
          <w:rStyle w:val="Strong"/>
          <w:rFonts w:ascii="Courier New" w:hAnsi="Courier New" w:cs="Courier New"/>
          <w:b w:val="0"/>
          <w:bCs w:val="0"/>
          <w:sz w:val="16"/>
          <w:szCs w:val="16"/>
          <w:lang w:val="en-US"/>
        </w:rPr>
        <w:t>RRR   36                                        1570</w:t>
      </w:r>
    </w:p>
    <w:p w14:paraId="5EDF21D1"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n-US"/>
        </w:rPr>
      </w:pPr>
      <w:r w:rsidRPr="00D06737">
        <w:rPr>
          <w:rStyle w:val="Strong"/>
          <w:rFonts w:ascii="Courier New" w:hAnsi="Courier New" w:cs="Courier New"/>
          <w:b w:val="0"/>
          <w:bCs w:val="0"/>
          <w:sz w:val="16"/>
          <w:szCs w:val="16"/>
          <w:lang w:val="en-US"/>
        </w:rPr>
        <w:t>001   40 m    Player 0040                          0 ITA</w:t>
      </w:r>
    </w:p>
    <w:p w14:paraId="312133A1"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n-US"/>
        </w:rPr>
      </w:pPr>
      <w:r w:rsidRPr="00D06737">
        <w:rPr>
          <w:rStyle w:val="Strong"/>
          <w:rFonts w:ascii="Courier New" w:hAnsi="Courier New" w:cs="Courier New"/>
          <w:b w:val="0"/>
          <w:bCs w:val="0"/>
          <w:sz w:val="16"/>
          <w:szCs w:val="16"/>
          <w:lang w:val="en-US"/>
        </w:rPr>
        <w:t>BBB   40                                        1515</w:t>
      </w:r>
    </w:p>
    <w:p w14:paraId="61C6861F"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s-ES"/>
        </w:rPr>
      </w:pPr>
      <w:r w:rsidRPr="00D06737">
        <w:rPr>
          <w:rStyle w:val="Strong"/>
          <w:rFonts w:ascii="Courier New" w:hAnsi="Courier New" w:cs="Courier New"/>
          <w:b w:val="0"/>
          <w:bCs w:val="0"/>
          <w:sz w:val="16"/>
          <w:szCs w:val="16"/>
          <w:lang w:val="es-ES"/>
        </w:rPr>
        <w:t>ITA   40                                        1515</w:t>
      </w:r>
    </w:p>
    <w:p w14:paraId="18143CEA"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s-ES"/>
        </w:rPr>
      </w:pPr>
      <w:r w:rsidRPr="00D06737">
        <w:rPr>
          <w:rStyle w:val="Strong"/>
          <w:rFonts w:ascii="Courier New" w:hAnsi="Courier New" w:cs="Courier New"/>
          <w:b w:val="0"/>
          <w:bCs w:val="0"/>
          <w:sz w:val="16"/>
          <w:szCs w:val="16"/>
          <w:lang w:val="es-ES"/>
        </w:rPr>
        <w:t>001   48 m    Player 0048                          0 ITA</w:t>
      </w:r>
    </w:p>
    <w:p w14:paraId="5B7194D4"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s-ES"/>
        </w:rPr>
      </w:pPr>
      <w:r w:rsidRPr="00D06737">
        <w:rPr>
          <w:rStyle w:val="Strong"/>
          <w:rFonts w:ascii="Courier New" w:hAnsi="Courier New" w:cs="Courier New"/>
          <w:b w:val="0"/>
          <w:bCs w:val="0"/>
          <w:sz w:val="16"/>
          <w:szCs w:val="16"/>
          <w:lang w:val="es-ES"/>
        </w:rPr>
        <w:t>MMM   48                                        1400</w:t>
      </w:r>
    </w:p>
    <w:p w14:paraId="2F676F38"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s-ES"/>
        </w:rPr>
      </w:pPr>
      <w:r w:rsidRPr="00D06737">
        <w:rPr>
          <w:rStyle w:val="Strong"/>
          <w:rFonts w:ascii="Courier New" w:hAnsi="Courier New" w:cs="Courier New"/>
          <w:b w:val="0"/>
          <w:bCs w:val="0"/>
          <w:sz w:val="16"/>
          <w:szCs w:val="16"/>
          <w:lang w:val="es-ES"/>
        </w:rPr>
        <w:t>ITA   48                                        1400</w:t>
      </w:r>
    </w:p>
    <w:p w14:paraId="2E2287E5"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s-ES"/>
        </w:rPr>
      </w:pPr>
      <w:r w:rsidRPr="00D06737">
        <w:rPr>
          <w:rStyle w:val="Strong"/>
          <w:rFonts w:ascii="Courier New" w:hAnsi="Courier New" w:cs="Courier New"/>
          <w:b w:val="0"/>
          <w:bCs w:val="0"/>
          <w:sz w:val="16"/>
          <w:szCs w:val="16"/>
          <w:lang w:val="es-ES"/>
        </w:rPr>
        <w:t>001   49 w    Player 0049                          0 ITA</w:t>
      </w:r>
    </w:p>
    <w:p w14:paraId="7DC419C7" w14:textId="77777777" w:rsidR="00D06737" w:rsidRPr="00D06737" w:rsidRDefault="00D06737" w:rsidP="00D06737">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6"/>
          <w:szCs w:val="16"/>
          <w:lang w:val="en-US"/>
        </w:rPr>
      </w:pPr>
      <w:r w:rsidRPr="00D06737">
        <w:rPr>
          <w:rStyle w:val="Strong"/>
          <w:rFonts w:ascii="Courier New" w:hAnsi="Courier New" w:cs="Courier New"/>
          <w:b w:val="0"/>
          <w:bCs w:val="0"/>
          <w:sz w:val="16"/>
          <w:szCs w:val="16"/>
          <w:lang w:val="en-US"/>
        </w:rPr>
        <w:t>ITA   49                                        1399</w:t>
      </w:r>
    </w:p>
    <w:p w14:paraId="336DDF29" w14:textId="4D3A1CD3" w:rsidR="00807F9A" w:rsidRPr="00807F9A" w:rsidRDefault="00807F9A" w:rsidP="00D06737">
      <w:pPr>
        <w:pStyle w:val="Heading6"/>
      </w:pPr>
      <w:r w:rsidRPr="00807F9A">
        <w:t xml:space="preserve">Only one FIDON record should be present for each player, or, if there is more than one FIDON record, all of them should indicate the same rating value. </w:t>
      </w:r>
    </w:p>
    <w:p w14:paraId="1916E843" w14:textId="45A96A2D" w:rsidR="00807F9A" w:rsidRPr="00807F9A" w:rsidRDefault="00807F9A" w:rsidP="00D06737">
      <w:pPr>
        <w:pStyle w:val="Heading6"/>
      </w:pPr>
      <w:r w:rsidRPr="00807F9A">
        <w:t>At the end of the tournament, all pseudo-NRS records should disappear from the TRF26 report (and the same goes for the corresponding 172 records).</w:t>
      </w:r>
    </w:p>
    <w:p w14:paraId="1ED906F1" w14:textId="349E7B2A" w:rsidR="00807F9A" w:rsidRPr="00807F9A" w:rsidRDefault="00807F9A" w:rsidP="00D06737">
      <w:pPr>
        <w:pStyle w:val="Heading4"/>
      </w:pPr>
      <w:r w:rsidRPr="00807F9A">
        <w:t>Unknown results in ITDX files</w:t>
      </w:r>
    </w:p>
    <w:p w14:paraId="06EC12A9" w14:textId="56ADA57E" w:rsidR="00807F9A" w:rsidRPr="00807F9A" w:rsidRDefault="00807F9A" w:rsidP="00D06737">
      <w:pPr>
        <w:pStyle w:val="Heading5"/>
      </w:pPr>
      <w:r w:rsidRPr="00807F9A">
        <w:t>If the tournament uses a scoring system different from the standard scoring system, the Record-162 is used to register it. The record could define all possible codes: W (win, for over-the-board or forfeit wins, and full-point byes); D (draw, for over-the -board draws or half-point-byes), L (loss, for over-the board losses), A (absence, for forfeit losses or zero-point byes), P (PAB, for pairing-allocated byes), and X (for unknown results); or just the ones corresponding to non-default values.</w:t>
      </w:r>
    </w:p>
    <w:p w14:paraId="29949F55" w14:textId="7578C419" w:rsidR="00807F9A" w:rsidRPr="00807F9A" w:rsidRDefault="00807F9A" w:rsidP="00D06737">
      <w:pPr>
        <w:pStyle w:val="Heading5"/>
      </w:pPr>
      <w:r w:rsidRPr="00807F9A">
        <w:t>While the codes W, D, L, A and P can be mapped directly to existing result codes used in Record-001, no equivalent mapping exists for X.</w:t>
      </w:r>
    </w:p>
    <w:p w14:paraId="45B153B9" w14:textId="70EB19EF" w:rsidR="00807F9A" w:rsidRPr="00807F9A" w:rsidRDefault="00807F9A" w:rsidP="00D06737">
      <w:pPr>
        <w:pStyle w:val="Heading5"/>
      </w:pPr>
      <w:r w:rsidRPr="00807F9A">
        <w:t xml:space="preserve">There are two possible interpretations: </w:t>
      </w:r>
    </w:p>
    <w:p w14:paraId="3EE5C3DD" w14:textId="4F987661" w:rsidR="00807F9A" w:rsidRPr="00807F9A" w:rsidRDefault="00807F9A" w:rsidP="00D06737">
      <w:pPr>
        <w:pStyle w:val="Heading6"/>
      </w:pPr>
      <w:r w:rsidRPr="00807F9A">
        <w:t>Any otherwise invalid result code appearing in a player Record-001 is interpreted as an unknown result.</w:t>
      </w:r>
    </w:p>
    <w:p w14:paraId="0F97BF18" w14:textId="5B972E81" w:rsidR="00807F9A" w:rsidRPr="00807F9A" w:rsidRDefault="00807F9A" w:rsidP="00D06737">
      <w:pPr>
        <w:pStyle w:val="Heading6"/>
      </w:pPr>
      <w:r w:rsidRPr="00807F9A">
        <w:lastRenderedPageBreak/>
        <w:t>A specific conventional symbol is used to represent an unknown result, while all other invalid values generate a parsing error.</w:t>
      </w:r>
    </w:p>
    <w:p w14:paraId="4B8AABF9" w14:textId="084EA634" w:rsidR="00807F9A" w:rsidRPr="00807F9A" w:rsidRDefault="00807F9A" w:rsidP="00D06737">
      <w:pPr>
        <w:pStyle w:val="Heading5"/>
      </w:pPr>
      <w:r w:rsidRPr="00807F9A">
        <w:t>THPs should adopt the second interpretation; TEC recommends using the character "?" as the unique representation of an unknown result in ITDX files (note that unknown results are allowed only in partial ITDX files; final tournament reports cannot be validated if they contain games with unknown results).</w:t>
      </w:r>
    </w:p>
    <w:p w14:paraId="21F44866" w14:textId="302A278D" w:rsidR="00807F9A" w:rsidRPr="00807F9A" w:rsidRDefault="00807F9A" w:rsidP="00D06737">
      <w:pPr>
        <w:pStyle w:val="Heading5"/>
      </w:pPr>
      <w:r w:rsidRPr="00807F9A">
        <w:t>Typical situations where an unknown result may occur include adjourned or postponed games, and games that have been paired but not yet played. When exporting ITDX files containing such games, a THP should behave as follows:</w:t>
      </w:r>
    </w:p>
    <w:p w14:paraId="338A3BD6" w14:textId="1A4998A0" w:rsidR="00807F9A" w:rsidRPr="00807F9A" w:rsidRDefault="00807F9A" w:rsidP="00D06737">
      <w:pPr>
        <w:pStyle w:val="Heading6"/>
      </w:pPr>
      <w:r w:rsidRPr="00807F9A">
        <w:t>when dealing with adjourned or postponed games, X will normally correspond to the score of a draw, which is the default value defined by the TRF-26 specification;</w:t>
      </w:r>
    </w:p>
    <w:p w14:paraId="59263EDB" w14:textId="36B32996" w:rsidR="00807F9A" w:rsidRPr="00807F9A" w:rsidRDefault="00807F9A" w:rsidP="00D06737">
      <w:pPr>
        <w:pStyle w:val="Heading6"/>
      </w:pPr>
      <w:r w:rsidRPr="00807F9A">
        <w:t>when dealing with a newly paired round that has not yet been played, X should normally be assigned a value of 0 in Record-162;</w:t>
      </w:r>
    </w:p>
    <w:p w14:paraId="2B4647A7" w14:textId="53FAB79A" w:rsidR="00807F9A" w:rsidRPr="00807F9A" w:rsidRDefault="00807F9A" w:rsidP="00D06737">
      <w:pPr>
        <w:pStyle w:val="Heading6"/>
      </w:pPr>
      <w:r w:rsidRPr="00807F9A">
        <w:t>when dealing with both adjourned games and newly paired games in the same partial TRF, X should be defined as the score of a draw (default) and the field 81-84 (Points) in Record-001 of each affected player should be increased by that value.</w:t>
      </w:r>
    </w:p>
    <w:p w14:paraId="4237A151" w14:textId="1C2770AF" w:rsidR="00807F9A" w:rsidRPr="00807F9A" w:rsidRDefault="00807F9A" w:rsidP="00D06737">
      <w:pPr>
        <w:pStyle w:val="Heading5"/>
      </w:pPr>
      <w:r w:rsidRPr="00807F9A">
        <w:t>Note that a convention frequently used by older software was to leave the result field empty when a game had been paired but not yet played. This convention should no longer be used. Missing result values should be treated as parsing errors.</w:t>
      </w:r>
    </w:p>
    <w:p w14:paraId="6B347D7C" w14:textId="2A91ACF4" w:rsidR="00807F9A" w:rsidRPr="00807F9A" w:rsidRDefault="00807F9A" w:rsidP="00DD09CE">
      <w:pPr>
        <w:pStyle w:val="Heading4"/>
      </w:pPr>
      <w:r w:rsidRPr="00807F9A">
        <w:t>Interpretation of Record-299</w:t>
      </w:r>
    </w:p>
    <w:p w14:paraId="57BEEED0" w14:textId="77777777" w:rsidR="00807F9A" w:rsidRPr="00807F9A" w:rsidRDefault="00807F9A" w:rsidP="00980A6F">
      <w:pPr>
        <w:pStyle w:val="Body3"/>
      </w:pPr>
      <w:r w:rsidRPr="00807F9A">
        <w:t>Record-299 describes abnormal point assignments. Its general schema is the following:</w:t>
      </w:r>
    </w:p>
    <w:p w14:paraId="53ED35B3" w14:textId="2D3A2872" w:rsidR="00DD09CE" w:rsidRPr="00DD09CE" w:rsidRDefault="00DD09CE" w:rsidP="00DD09CE">
      <w:pPr>
        <w:keepLines/>
        <w:tabs>
          <w:tab w:val="clear" w:pos="567"/>
          <w:tab w:val="clear" w:pos="1134"/>
          <w:tab w:val="left" w:pos="851"/>
        </w:tabs>
        <w:spacing w:before="100" w:beforeAutospacing="1" w:after="100" w:afterAutospacing="1"/>
        <w:ind w:left="1701"/>
        <w:contextualSpacing/>
        <w:jc w:val="left"/>
        <w:outlineLvl w:val="2"/>
        <w:rPr>
          <w:rFonts w:ascii="Courier New" w:eastAsia="Calibri" w:hAnsi="Courier New" w:cs="Courier New"/>
          <w:sz w:val="17"/>
          <w:szCs w:val="17"/>
        </w:rPr>
      </w:pPr>
      <w:r w:rsidRPr="00DD09CE">
        <w:rPr>
          <w:rFonts w:ascii="Courier New" w:eastAsia="Calibri" w:hAnsi="Courier New" w:cs="Courier New"/>
          <w:sz w:val="17"/>
          <w:szCs w:val="17"/>
        </w:rPr>
        <w:t xml:space="preserve">### </w:t>
      </w:r>
      <w:proofErr w:type="gramStart"/>
      <w:r w:rsidRPr="00DD09CE">
        <w:rPr>
          <w:rFonts w:ascii="Courier New" w:eastAsia="Calibri" w:hAnsi="Courier New" w:cs="Courier New"/>
          <w:sz w:val="17"/>
          <w:szCs w:val="17"/>
        </w:rPr>
        <w:t>T  MMMM</w:t>
      </w:r>
      <w:proofErr w:type="gramEnd"/>
      <w:r w:rsidRPr="00DD09CE">
        <w:rPr>
          <w:rFonts w:ascii="Courier New" w:eastAsia="Calibri" w:hAnsi="Courier New" w:cs="Courier New"/>
          <w:sz w:val="17"/>
          <w:szCs w:val="17"/>
        </w:rPr>
        <w:t xml:space="preserve">  </w:t>
      </w:r>
      <w:proofErr w:type="gramStart"/>
      <w:r w:rsidRPr="00DD09CE">
        <w:rPr>
          <w:rFonts w:ascii="Courier New" w:eastAsia="Calibri" w:hAnsi="Courier New" w:cs="Courier New"/>
          <w:sz w:val="17"/>
          <w:szCs w:val="17"/>
        </w:rPr>
        <w:t>GGGG  RRR</w:t>
      </w:r>
      <w:proofErr w:type="gramEnd"/>
      <w:r w:rsidRPr="00DD09CE">
        <w:rPr>
          <w:rFonts w:ascii="Courier New" w:eastAsia="Calibri" w:hAnsi="Courier New" w:cs="Courier New"/>
          <w:sz w:val="17"/>
          <w:szCs w:val="17"/>
        </w:rPr>
        <w:t xml:space="preserve"> PPP1 PPP2 PPP3</w:t>
      </w:r>
    </w:p>
    <w:p w14:paraId="71991784" w14:textId="2A2EA7E6" w:rsidR="00807F9A" w:rsidRPr="00807F9A" w:rsidRDefault="00807F9A" w:rsidP="00980A6F">
      <w:pPr>
        <w:pStyle w:val="Body3"/>
      </w:pPr>
      <w:r w:rsidRPr="00807F9A">
        <w:t xml:space="preserve">or, in rare situations where five characters are needed to represent the </w:t>
      </w:r>
      <w:r w:rsidR="00DD09CE" w:rsidRPr="00807F9A">
        <w:t>match points</w:t>
      </w:r>
      <w:r w:rsidRPr="00807F9A">
        <w:t xml:space="preserve">, </w:t>
      </w:r>
      <w:r w:rsidR="00DD09CE" w:rsidRPr="00807F9A">
        <w:t>game points</w:t>
      </w:r>
      <w:r w:rsidRPr="00807F9A">
        <w:t xml:space="preserve">, or individual points,  </w:t>
      </w:r>
    </w:p>
    <w:p w14:paraId="794C893A" w14:textId="6F8229B1" w:rsidR="00DD09CE" w:rsidRPr="00DD09CE" w:rsidRDefault="00DD09CE" w:rsidP="00DD09CE">
      <w:pPr>
        <w:keepLines/>
        <w:tabs>
          <w:tab w:val="clear" w:pos="567"/>
          <w:tab w:val="clear" w:pos="1134"/>
          <w:tab w:val="left" w:pos="851"/>
        </w:tabs>
        <w:spacing w:before="100" w:beforeAutospacing="1" w:after="100" w:afterAutospacing="1"/>
        <w:ind w:left="1701"/>
        <w:contextualSpacing/>
        <w:jc w:val="left"/>
        <w:outlineLvl w:val="2"/>
        <w:rPr>
          <w:rFonts w:ascii="Courier New" w:eastAsia="Calibri" w:hAnsi="Courier New" w:cs="Courier New"/>
          <w:sz w:val="17"/>
          <w:szCs w:val="17"/>
        </w:rPr>
      </w:pPr>
      <w:r w:rsidRPr="00DD09CE">
        <w:rPr>
          <w:rFonts w:ascii="Courier New" w:eastAsia="Calibri" w:hAnsi="Courier New" w:cs="Courier New"/>
          <w:sz w:val="17"/>
          <w:szCs w:val="17"/>
        </w:rPr>
        <w:t xml:space="preserve">### T MMMMM </w:t>
      </w:r>
      <w:proofErr w:type="gramStart"/>
      <w:r w:rsidRPr="00DD09CE">
        <w:rPr>
          <w:rFonts w:ascii="Courier New" w:eastAsia="Calibri" w:hAnsi="Courier New" w:cs="Courier New"/>
          <w:sz w:val="17"/>
          <w:szCs w:val="17"/>
        </w:rPr>
        <w:t>GGGGG  RRR</w:t>
      </w:r>
      <w:proofErr w:type="gramEnd"/>
      <w:r w:rsidRPr="00DD09CE">
        <w:rPr>
          <w:rFonts w:ascii="Courier New" w:eastAsia="Calibri" w:hAnsi="Courier New" w:cs="Courier New"/>
          <w:sz w:val="17"/>
          <w:szCs w:val="17"/>
        </w:rPr>
        <w:t xml:space="preserve"> PPP1 PPP2 PPP3</w:t>
      </w:r>
    </w:p>
    <w:p w14:paraId="316CA337" w14:textId="77777777" w:rsidR="00807F9A" w:rsidRPr="00807F9A" w:rsidRDefault="00807F9A" w:rsidP="00980A6F">
      <w:pPr>
        <w:pStyle w:val="Body3"/>
      </w:pPr>
      <w:r w:rsidRPr="00807F9A">
        <w:t>where T represents the type of abnormal assignment (AAT).</w:t>
      </w:r>
    </w:p>
    <w:p w14:paraId="2FBE36C5" w14:textId="206814C7" w:rsidR="00807F9A" w:rsidRPr="00807F9A" w:rsidRDefault="00807F9A" w:rsidP="00DD09CE">
      <w:pPr>
        <w:pStyle w:val="Heading5"/>
      </w:pPr>
      <w:r w:rsidRPr="00807F9A">
        <w:lastRenderedPageBreak/>
        <w:t xml:space="preserve">The TRF-26 specification combines two conceptually different mechanisms within the same record definition. For clarity, the two mechanisms are referred to in this document as: </w:t>
      </w:r>
    </w:p>
    <w:p w14:paraId="2F47E97A" w14:textId="50DA39CC" w:rsidR="00807F9A" w:rsidRPr="00807F9A" w:rsidRDefault="00807F9A" w:rsidP="00DD09CE">
      <w:pPr>
        <w:pStyle w:val="Heading6"/>
      </w:pPr>
      <w:r w:rsidRPr="00807F9A">
        <w:t xml:space="preserve">Result-AATs, when the field T contains one of "W" (win), "D" (draw), "L" (loss), "F" (full-point bye), "H" (half-point bye), "Z" (zero-point bye), "+" (forfeit win), or "-" (forfeit loss); the MMMM and GGGG values represent the score associated with a specific game or match outcome. </w:t>
      </w:r>
    </w:p>
    <w:p w14:paraId="74D4B2DA" w14:textId="4173FDD4" w:rsidR="00807F9A" w:rsidRPr="00807F9A" w:rsidRDefault="00807F9A" w:rsidP="00DD09CE">
      <w:pPr>
        <w:pStyle w:val="Heading6"/>
      </w:pPr>
      <w:r w:rsidRPr="00807F9A">
        <w:t>Blank-AAT, when the field T is an empty space; this record is used to indicate bonus or penalty points.</w:t>
      </w:r>
    </w:p>
    <w:p w14:paraId="1EDE449E" w14:textId="77777777" w:rsidR="00807F9A" w:rsidRPr="00807F9A" w:rsidRDefault="00807F9A" w:rsidP="00DD09CE">
      <w:pPr>
        <w:pStyle w:val="Body5"/>
      </w:pPr>
      <w:r w:rsidRPr="00807F9A">
        <w:t>The interpretation rules are different and should be described separately in amendment of the current TRF-26 specification.</w:t>
      </w:r>
    </w:p>
    <w:p w14:paraId="4FFB18C5" w14:textId="1EA07AA6" w:rsidR="00807F9A" w:rsidRPr="00807F9A" w:rsidRDefault="00807F9A" w:rsidP="00DD09CE">
      <w:pPr>
        <w:pStyle w:val="Heading5"/>
      </w:pPr>
      <w:r w:rsidRPr="00807F9A">
        <w:t>Result-AATs</w:t>
      </w:r>
    </w:p>
    <w:p w14:paraId="6EF22052" w14:textId="6B67E374" w:rsidR="00807F9A" w:rsidRPr="00807F9A" w:rsidRDefault="00807F9A" w:rsidP="00DD09CE">
      <w:pPr>
        <w:pStyle w:val="Heading6"/>
      </w:pPr>
      <w:r w:rsidRPr="00807F9A">
        <w:t xml:space="preserve">The fields MMMM and GGGG define the number of points assigned when the specified outcome (as defined in the introduction of Record-299) occurs. In team competitions, MMMM and GGGG represent the number of match-points and the number of game-points respectively; in individual competitions, MMMM is empty or zero and GGGG represent </w:t>
      </w:r>
      <w:proofErr w:type="gramStart"/>
      <w:r w:rsidRPr="00807F9A">
        <w:t>a number of</w:t>
      </w:r>
      <w:proofErr w:type="gramEnd"/>
      <w:r w:rsidRPr="00807F9A">
        <w:t xml:space="preserve"> points. </w:t>
      </w:r>
    </w:p>
    <w:p w14:paraId="59CED310" w14:textId="6F95D07D" w:rsidR="00807F9A" w:rsidRPr="00807F9A" w:rsidRDefault="00807F9A" w:rsidP="00DD09CE">
      <w:pPr>
        <w:pStyle w:val="Heading6"/>
      </w:pPr>
      <w:r w:rsidRPr="00807F9A">
        <w:t>The interpretation of a Result-AAT Record-299 is the following: If, in round RRR (or in all rounds when RRR is 0), participants PPP1, PPP2, PPP3, etc. obtain the result identified by T, then they receive the score specified by MMMM and GGGG. If no participant identifiers are specified, or if the only participant identifier is zero, the rule applies to all participants.</w:t>
      </w:r>
    </w:p>
    <w:p w14:paraId="6E83EE97" w14:textId="00180439" w:rsidR="00807F9A" w:rsidRPr="00807F9A" w:rsidRDefault="00807F9A" w:rsidP="00DD09CE">
      <w:pPr>
        <w:pStyle w:val="Heading6"/>
      </w:pPr>
      <w:r w:rsidRPr="00807F9A">
        <w:t>The example provided by the TRF-26 specification is:</w:t>
      </w:r>
    </w:p>
    <w:p w14:paraId="5123C036" w14:textId="77777777" w:rsidR="00DD09CE" w:rsidRPr="00DD09CE" w:rsidRDefault="00DD09CE" w:rsidP="00DD09CE">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7"/>
          <w:szCs w:val="17"/>
        </w:rPr>
      </w:pPr>
      <w:r w:rsidRPr="00DD09CE">
        <w:rPr>
          <w:rStyle w:val="Strong"/>
          <w:rFonts w:ascii="Courier New" w:hAnsi="Courier New" w:cs="Courier New"/>
          <w:b w:val="0"/>
          <w:bCs w:val="0"/>
          <w:sz w:val="17"/>
          <w:szCs w:val="17"/>
        </w:rPr>
        <w:t xml:space="preserve">### </w:t>
      </w:r>
      <w:proofErr w:type="gramStart"/>
      <w:r w:rsidRPr="00DD09CE">
        <w:rPr>
          <w:rStyle w:val="Strong"/>
          <w:rFonts w:ascii="Courier New" w:hAnsi="Courier New" w:cs="Courier New"/>
          <w:b w:val="0"/>
          <w:bCs w:val="0"/>
          <w:sz w:val="17"/>
          <w:szCs w:val="17"/>
        </w:rPr>
        <w:t>T  MMMM</w:t>
      </w:r>
      <w:proofErr w:type="gramEnd"/>
      <w:r w:rsidRPr="00DD09CE">
        <w:rPr>
          <w:rStyle w:val="Strong"/>
          <w:rFonts w:ascii="Courier New" w:hAnsi="Courier New" w:cs="Courier New"/>
          <w:b w:val="0"/>
          <w:bCs w:val="0"/>
          <w:sz w:val="17"/>
          <w:szCs w:val="17"/>
        </w:rPr>
        <w:t xml:space="preserve">  GGGG  </w:t>
      </w:r>
    </w:p>
    <w:p w14:paraId="6391C59C" w14:textId="77777777" w:rsidR="00DD09CE" w:rsidRPr="00DD09CE" w:rsidRDefault="00DD09CE" w:rsidP="00DD09CE">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7"/>
          <w:szCs w:val="17"/>
        </w:rPr>
      </w:pPr>
      <w:r w:rsidRPr="00DD09CE">
        <w:rPr>
          <w:rStyle w:val="Strong"/>
          <w:rFonts w:ascii="Courier New" w:hAnsi="Courier New" w:cs="Courier New"/>
          <w:b w:val="0"/>
          <w:bCs w:val="0"/>
          <w:sz w:val="17"/>
          <w:szCs w:val="17"/>
        </w:rPr>
        <w:t>299 +   2.0   2.5</w:t>
      </w:r>
    </w:p>
    <w:p w14:paraId="6A56E463" w14:textId="77777777" w:rsidR="00DD09CE" w:rsidRPr="00DD09CE" w:rsidRDefault="00DD09CE" w:rsidP="00DD09CE">
      <w:pPr>
        <w:pStyle w:val="Heading3"/>
        <w:numPr>
          <w:ilvl w:val="0"/>
          <w:numId w:val="0"/>
        </w:numPr>
        <w:spacing w:before="0" w:beforeAutospacing="0" w:after="0" w:afterAutospacing="0" w:line="240" w:lineRule="auto"/>
        <w:ind w:left="2837"/>
        <w:rPr>
          <w:rStyle w:val="Strong"/>
          <w:rFonts w:ascii="Courier New" w:hAnsi="Courier New" w:cs="Courier New"/>
          <w:b w:val="0"/>
          <w:bCs w:val="0"/>
          <w:sz w:val="17"/>
          <w:szCs w:val="17"/>
        </w:rPr>
      </w:pPr>
      <w:r w:rsidRPr="00DD09CE">
        <w:rPr>
          <w:rStyle w:val="Strong"/>
          <w:rFonts w:ascii="Courier New" w:hAnsi="Courier New" w:cs="Courier New"/>
          <w:b w:val="0"/>
          <w:bCs w:val="0"/>
          <w:sz w:val="17"/>
          <w:szCs w:val="17"/>
        </w:rPr>
        <w:t>299 -   0.0   1.5</w:t>
      </w:r>
    </w:p>
    <w:p w14:paraId="7AC9FB4C" w14:textId="77777777" w:rsidR="00807F9A" w:rsidRPr="00807F9A" w:rsidRDefault="00807F9A" w:rsidP="00DD09CE">
      <w:pPr>
        <w:pStyle w:val="Body5"/>
      </w:pPr>
      <w:r w:rsidRPr="00807F9A">
        <w:t>It means that every forfeit win awards 2 match points and 2.5 game points, while every forfeit loss awards 0 match points and 1.5 game points. Since this is the only example shown in the official specification, it does not fully clarify the extent of its application. Other examples are:</w:t>
      </w:r>
    </w:p>
    <w:p w14:paraId="28B08D84" w14:textId="77777777" w:rsidR="00DD09CE" w:rsidRPr="00DD09CE" w:rsidRDefault="00DD09CE" w:rsidP="00DD09CE">
      <w:pPr>
        <w:keepLines/>
        <w:tabs>
          <w:tab w:val="clear" w:pos="567"/>
          <w:tab w:val="clear" w:pos="1134"/>
          <w:tab w:val="left" w:pos="851"/>
        </w:tabs>
        <w:spacing w:line="240" w:lineRule="auto"/>
        <w:ind w:left="2837"/>
        <w:contextualSpacing/>
        <w:jc w:val="left"/>
        <w:outlineLvl w:val="2"/>
        <w:rPr>
          <w:rFonts w:ascii="Courier New" w:eastAsia="Calibri" w:hAnsi="Courier New" w:cs="Courier New"/>
          <w:sz w:val="17"/>
          <w:szCs w:val="17"/>
        </w:rPr>
      </w:pPr>
      <w:r w:rsidRPr="00DD09CE">
        <w:rPr>
          <w:rFonts w:ascii="Courier New" w:eastAsia="Calibri" w:hAnsi="Courier New" w:cs="Courier New"/>
          <w:sz w:val="17"/>
          <w:szCs w:val="17"/>
        </w:rPr>
        <w:t xml:space="preserve">### </w:t>
      </w:r>
      <w:proofErr w:type="gramStart"/>
      <w:r w:rsidRPr="00DD09CE">
        <w:rPr>
          <w:rFonts w:ascii="Courier New" w:eastAsia="Calibri" w:hAnsi="Courier New" w:cs="Courier New"/>
          <w:sz w:val="17"/>
          <w:szCs w:val="17"/>
        </w:rPr>
        <w:t>T  MMMM</w:t>
      </w:r>
      <w:proofErr w:type="gramEnd"/>
      <w:r w:rsidRPr="00DD09CE">
        <w:rPr>
          <w:rFonts w:ascii="Courier New" w:eastAsia="Calibri" w:hAnsi="Courier New" w:cs="Courier New"/>
          <w:sz w:val="17"/>
          <w:szCs w:val="17"/>
        </w:rPr>
        <w:t xml:space="preserve">  </w:t>
      </w:r>
      <w:proofErr w:type="gramStart"/>
      <w:r w:rsidRPr="00DD09CE">
        <w:rPr>
          <w:rFonts w:ascii="Courier New" w:eastAsia="Calibri" w:hAnsi="Courier New" w:cs="Courier New"/>
          <w:sz w:val="17"/>
          <w:szCs w:val="17"/>
        </w:rPr>
        <w:t>GGGG  RRR</w:t>
      </w:r>
      <w:proofErr w:type="gramEnd"/>
    </w:p>
    <w:p w14:paraId="1831C358" w14:textId="77777777" w:rsidR="00DD09CE" w:rsidRPr="00DD09CE" w:rsidRDefault="00DD09CE" w:rsidP="00DD09CE">
      <w:pPr>
        <w:keepLines/>
        <w:tabs>
          <w:tab w:val="clear" w:pos="567"/>
          <w:tab w:val="clear" w:pos="1134"/>
          <w:tab w:val="left" w:pos="851"/>
        </w:tabs>
        <w:spacing w:line="240" w:lineRule="auto"/>
        <w:ind w:left="2837"/>
        <w:contextualSpacing/>
        <w:jc w:val="left"/>
        <w:outlineLvl w:val="2"/>
        <w:rPr>
          <w:rFonts w:ascii="Courier New" w:eastAsia="Calibri" w:hAnsi="Courier New" w:cs="Courier New"/>
          <w:sz w:val="17"/>
          <w:szCs w:val="17"/>
        </w:rPr>
      </w:pPr>
      <w:r w:rsidRPr="00DD09CE">
        <w:rPr>
          <w:rFonts w:ascii="Courier New" w:eastAsia="Calibri" w:hAnsi="Courier New" w:cs="Courier New"/>
          <w:sz w:val="17"/>
          <w:szCs w:val="17"/>
        </w:rPr>
        <w:t>299 -        -1.0    8</w:t>
      </w:r>
    </w:p>
    <w:p w14:paraId="481FB7E6" w14:textId="77777777" w:rsidR="00DD09CE" w:rsidRPr="00DD09CE" w:rsidRDefault="00DD09CE" w:rsidP="00DD09CE">
      <w:pPr>
        <w:keepLines/>
        <w:tabs>
          <w:tab w:val="clear" w:pos="567"/>
          <w:tab w:val="clear" w:pos="1134"/>
          <w:tab w:val="left" w:pos="851"/>
        </w:tabs>
        <w:spacing w:line="240" w:lineRule="auto"/>
        <w:ind w:left="2837"/>
        <w:contextualSpacing/>
        <w:jc w:val="left"/>
        <w:outlineLvl w:val="2"/>
        <w:rPr>
          <w:rFonts w:ascii="Courier New" w:eastAsia="Calibri" w:hAnsi="Courier New" w:cs="Courier New"/>
          <w:sz w:val="17"/>
          <w:szCs w:val="17"/>
        </w:rPr>
      </w:pPr>
      <w:r w:rsidRPr="00DD09CE">
        <w:rPr>
          <w:rFonts w:ascii="Courier New" w:eastAsia="Calibri" w:hAnsi="Courier New" w:cs="Courier New"/>
          <w:sz w:val="17"/>
          <w:szCs w:val="17"/>
        </w:rPr>
        <w:t>299 -        -1.0    9</w:t>
      </w:r>
    </w:p>
    <w:p w14:paraId="22F0648B" w14:textId="77777777" w:rsidR="00807F9A" w:rsidRPr="00807F9A" w:rsidRDefault="00807F9A" w:rsidP="00DD09CE">
      <w:pPr>
        <w:pStyle w:val="Body5"/>
      </w:pPr>
      <w:r w:rsidRPr="00807F9A">
        <w:lastRenderedPageBreak/>
        <w:t xml:space="preserve">In this </w:t>
      </w:r>
      <w:proofErr w:type="gramStart"/>
      <w:r w:rsidRPr="00807F9A">
        <w:t>particular individual</w:t>
      </w:r>
      <w:proofErr w:type="gramEnd"/>
      <w:r w:rsidRPr="00807F9A">
        <w:t xml:space="preserve"> competition, forfeit losses in the 8th and 9th round carry a negative score of -1.0.</w:t>
      </w:r>
    </w:p>
    <w:p w14:paraId="73BA828B" w14:textId="77777777" w:rsidR="00DD09CE" w:rsidRPr="00DD09CE" w:rsidRDefault="00DD09CE" w:rsidP="00DD09CE">
      <w:pPr>
        <w:keepLines/>
        <w:tabs>
          <w:tab w:val="clear" w:pos="567"/>
          <w:tab w:val="clear" w:pos="1134"/>
          <w:tab w:val="left" w:pos="851"/>
        </w:tabs>
        <w:spacing w:line="240" w:lineRule="auto"/>
        <w:ind w:left="2835"/>
        <w:contextualSpacing/>
        <w:jc w:val="left"/>
        <w:outlineLvl w:val="2"/>
        <w:rPr>
          <w:rFonts w:ascii="Courier New" w:eastAsia="Calibri" w:hAnsi="Courier New" w:cs="Courier New"/>
          <w:sz w:val="17"/>
          <w:szCs w:val="17"/>
        </w:rPr>
      </w:pPr>
      <w:r w:rsidRPr="00DD09CE">
        <w:rPr>
          <w:rFonts w:ascii="Courier New" w:eastAsia="Calibri" w:hAnsi="Courier New" w:cs="Courier New"/>
          <w:sz w:val="17"/>
          <w:szCs w:val="17"/>
        </w:rPr>
        <w:t xml:space="preserve">### </w:t>
      </w:r>
      <w:proofErr w:type="gramStart"/>
      <w:r w:rsidRPr="00DD09CE">
        <w:rPr>
          <w:rFonts w:ascii="Courier New" w:eastAsia="Calibri" w:hAnsi="Courier New" w:cs="Courier New"/>
          <w:sz w:val="17"/>
          <w:szCs w:val="17"/>
        </w:rPr>
        <w:t>T  MMMM</w:t>
      </w:r>
      <w:proofErr w:type="gramEnd"/>
      <w:r w:rsidRPr="00DD09CE">
        <w:rPr>
          <w:rFonts w:ascii="Courier New" w:eastAsia="Calibri" w:hAnsi="Courier New" w:cs="Courier New"/>
          <w:sz w:val="17"/>
          <w:szCs w:val="17"/>
        </w:rPr>
        <w:t xml:space="preserve">  </w:t>
      </w:r>
      <w:proofErr w:type="gramStart"/>
      <w:r w:rsidRPr="00DD09CE">
        <w:rPr>
          <w:rFonts w:ascii="Courier New" w:eastAsia="Calibri" w:hAnsi="Courier New" w:cs="Courier New"/>
          <w:sz w:val="17"/>
          <w:szCs w:val="17"/>
        </w:rPr>
        <w:t>GGGG  RRR</w:t>
      </w:r>
      <w:proofErr w:type="gramEnd"/>
      <w:r w:rsidRPr="00DD09CE">
        <w:rPr>
          <w:rFonts w:ascii="Courier New" w:eastAsia="Calibri" w:hAnsi="Courier New" w:cs="Courier New"/>
          <w:sz w:val="17"/>
          <w:szCs w:val="17"/>
        </w:rPr>
        <w:t xml:space="preserve"> PPP1 PPP2 PPP3 ...</w:t>
      </w:r>
    </w:p>
    <w:p w14:paraId="552EF6DF" w14:textId="77777777" w:rsidR="00DD09CE" w:rsidRPr="00DD09CE" w:rsidRDefault="00DD09CE" w:rsidP="00DD09CE">
      <w:pPr>
        <w:keepLines/>
        <w:tabs>
          <w:tab w:val="clear" w:pos="567"/>
          <w:tab w:val="clear" w:pos="1134"/>
          <w:tab w:val="left" w:pos="851"/>
        </w:tabs>
        <w:spacing w:line="240" w:lineRule="auto"/>
        <w:ind w:left="2835"/>
        <w:contextualSpacing/>
        <w:jc w:val="left"/>
        <w:outlineLvl w:val="2"/>
        <w:rPr>
          <w:rFonts w:eastAsia="Calibri"/>
          <w:sz w:val="17"/>
          <w:szCs w:val="17"/>
        </w:rPr>
      </w:pPr>
      <w:r w:rsidRPr="00DD09CE">
        <w:rPr>
          <w:rFonts w:ascii="Courier New" w:eastAsia="Calibri" w:hAnsi="Courier New" w:cs="Courier New"/>
          <w:sz w:val="17"/>
          <w:szCs w:val="17"/>
        </w:rPr>
        <w:t>299 W   1.0   1.5    4   33</w:t>
      </w:r>
    </w:p>
    <w:p w14:paraId="090729DB" w14:textId="77777777" w:rsidR="00807F9A" w:rsidRPr="00807F9A" w:rsidRDefault="00807F9A" w:rsidP="00DD09CE">
      <w:pPr>
        <w:pStyle w:val="Body5"/>
      </w:pPr>
      <w:r w:rsidRPr="00807F9A">
        <w:t>Team #33 receives 1 match point and 1.5 game points if it wins its Round-4 match.</w:t>
      </w:r>
    </w:p>
    <w:p w14:paraId="7F3E66DC" w14:textId="77777777" w:rsidR="00DD09CE" w:rsidRPr="00DD09CE" w:rsidRDefault="00DD09CE" w:rsidP="00DD09CE">
      <w:pPr>
        <w:keepLines/>
        <w:tabs>
          <w:tab w:val="clear" w:pos="567"/>
          <w:tab w:val="clear" w:pos="1134"/>
          <w:tab w:val="left" w:pos="851"/>
        </w:tabs>
        <w:spacing w:line="240" w:lineRule="auto"/>
        <w:ind w:left="2835"/>
        <w:contextualSpacing/>
        <w:jc w:val="left"/>
        <w:outlineLvl w:val="2"/>
        <w:rPr>
          <w:rFonts w:ascii="Courier New" w:eastAsia="Calibri" w:hAnsi="Courier New" w:cs="Courier New"/>
          <w:sz w:val="17"/>
          <w:szCs w:val="17"/>
        </w:rPr>
      </w:pPr>
      <w:r w:rsidRPr="00DD09CE">
        <w:rPr>
          <w:rFonts w:ascii="Courier New" w:eastAsia="Calibri" w:hAnsi="Courier New" w:cs="Courier New"/>
          <w:sz w:val="17"/>
          <w:szCs w:val="17"/>
        </w:rPr>
        <w:t xml:space="preserve">### </w:t>
      </w:r>
      <w:proofErr w:type="gramStart"/>
      <w:r w:rsidRPr="00DD09CE">
        <w:rPr>
          <w:rFonts w:ascii="Courier New" w:eastAsia="Calibri" w:hAnsi="Courier New" w:cs="Courier New"/>
          <w:sz w:val="17"/>
          <w:szCs w:val="17"/>
        </w:rPr>
        <w:t>T  MMMM</w:t>
      </w:r>
      <w:proofErr w:type="gramEnd"/>
      <w:r w:rsidRPr="00DD09CE">
        <w:rPr>
          <w:rFonts w:ascii="Courier New" w:eastAsia="Calibri" w:hAnsi="Courier New" w:cs="Courier New"/>
          <w:sz w:val="17"/>
          <w:szCs w:val="17"/>
        </w:rPr>
        <w:t xml:space="preserve">  </w:t>
      </w:r>
      <w:proofErr w:type="gramStart"/>
      <w:r w:rsidRPr="00DD09CE">
        <w:rPr>
          <w:rFonts w:ascii="Courier New" w:eastAsia="Calibri" w:hAnsi="Courier New" w:cs="Courier New"/>
          <w:sz w:val="17"/>
          <w:szCs w:val="17"/>
        </w:rPr>
        <w:t>GGGG  RRR</w:t>
      </w:r>
      <w:proofErr w:type="gramEnd"/>
      <w:r w:rsidRPr="00DD09CE">
        <w:rPr>
          <w:rFonts w:ascii="Courier New" w:eastAsia="Calibri" w:hAnsi="Courier New" w:cs="Courier New"/>
          <w:sz w:val="17"/>
          <w:szCs w:val="17"/>
        </w:rPr>
        <w:t xml:space="preserve"> PPP1 PPP2 PPP3 ...</w:t>
      </w:r>
    </w:p>
    <w:p w14:paraId="17FD0035" w14:textId="77777777" w:rsidR="00DD09CE" w:rsidRPr="00DD09CE" w:rsidRDefault="00DD09CE" w:rsidP="00DD09CE">
      <w:pPr>
        <w:keepLines/>
        <w:tabs>
          <w:tab w:val="clear" w:pos="567"/>
          <w:tab w:val="clear" w:pos="1134"/>
          <w:tab w:val="left" w:pos="851"/>
        </w:tabs>
        <w:spacing w:line="240" w:lineRule="auto"/>
        <w:ind w:left="2835"/>
        <w:contextualSpacing/>
        <w:jc w:val="left"/>
        <w:outlineLvl w:val="2"/>
        <w:rPr>
          <w:rFonts w:eastAsia="Calibri"/>
          <w:sz w:val="17"/>
          <w:szCs w:val="17"/>
        </w:rPr>
      </w:pPr>
      <w:r w:rsidRPr="00DD09CE">
        <w:rPr>
          <w:rFonts w:ascii="Courier New" w:eastAsia="Calibri" w:hAnsi="Courier New" w:cs="Courier New"/>
          <w:sz w:val="17"/>
          <w:szCs w:val="17"/>
        </w:rPr>
        <w:t>299 L   1.0   1.5    4   19</w:t>
      </w:r>
    </w:p>
    <w:p w14:paraId="01ACFEB9" w14:textId="77777777" w:rsidR="00807F9A" w:rsidRPr="00807F9A" w:rsidRDefault="00807F9A" w:rsidP="00DD09CE">
      <w:pPr>
        <w:pStyle w:val="Body5"/>
      </w:pPr>
      <w:r w:rsidRPr="00807F9A">
        <w:t>Team #19 receives 1 match point and 1.5 game points if it loses its Round-4 match.</w:t>
      </w:r>
    </w:p>
    <w:p w14:paraId="64B49DA0" w14:textId="52BBD444" w:rsidR="00807F9A" w:rsidRPr="00807F9A" w:rsidRDefault="00807F9A" w:rsidP="00DD09CE">
      <w:pPr>
        <w:pStyle w:val="Heading6"/>
      </w:pPr>
      <w:r w:rsidRPr="00807F9A">
        <w:t>Since Result-AATs may alter the number of points assigned for a game or match, THPs should use the following convention whenever the tie-break list includes tie-breaks that depend on the number of wins (e.g. WIN or WON): Regardless of the Result-AAT type, consider the number of match points assigned by MMMM in team competitions or the number of points assigned by GGGG in individual competitions:</w:t>
      </w:r>
    </w:p>
    <w:p w14:paraId="000FF998" w14:textId="18355049" w:rsidR="00807F9A" w:rsidRPr="00807F9A" w:rsidRDefault="00807F9A">
      <w:pPr>
        <w:pStyle w:val="Body3"/>
        <w:numPr>
          <w:ilvl w:val="0"/>
          <w:numId w:val="13"/>
        </w:numPr>
      </w:pPr>
      <w:r w:rsidRPr="00807F9A">
        <w:t>if this number is greater than the normal draw score, the game or match is considered won;</w:t>
      </w:r>
    </w:p>
    <w:p w14:paraId="7FE6E700" w14:textId="30AF20F7" w:rsidR="00807F9A" w:rsidRPr="00807F9A" w:rsidRDefault="00807F9A">
      <w:pPr>
        <w:pStyle w:val="Body3"/>
        <w:numPr>
          <w:ilvl w:val="0"/>
          <w:numId w:val="13"/>
        </w:numPr>
      </w:pPr>
      <w:r w:rsidRPr="00807F9A">
        <w:t>if this number is equal to the normal draw score, the game or match is considered drawn;</w:t>
      </w:r>
    </w:p>
    <w:p w14:paraId="5838E057" w14:textId="4990836A" w:rsidR="00807F9A" w:rsidRPr="00807F9A" w:rsidRDefault="00807F9A">
      <w:pPr>
        <w:pStyle w:val="Body3"/>
        <w:numPr>
          <w:ilvl w:val="0"/>
          <w:numId w:val="13"/>
        </w:numPr>
      </w:pPr>
      <w:r w:rsidRPr="00807F9A">
        <w:t>otherwise, the game or match is considered lost.</w:t>
      </w:r>
    </w:p>
    <w:p w14:paraId="19033C1B" w14:textId="12055F16" w:rsidR="00807F9A" w:rsidRPr="00807F9A" w:rsidRDefault="00807F9A" w:rsidP="00DD09CE">
      <w:pPr>
        <w:pStyle w:val="Heading5"/>
      </w:pPr>
      <w:r w:rsidRPr="00807F9A">
        <w:t xml:space="preserve">Blank-AAT </w:t>
      </w:r>
    </w:p>
    <w:p w14:paraId="2C258AC3" w14:textId="77777777" w:rsidR="00807F9A" w:rsidRPr="00807F9A" w:rsidRDefault="00807F9A" w:rsidP="00DD09CE">
      <w:pPr>
        <w:pStyle w:val="Body4"/>
      </w:pPr>
      <w:r w:rsidRPr="00807F9A">
        <w:t>The current TRF-26 specification doesn't deal properly with the Blank-AAT, in the sense that it doesn't say that the Blank-AAT must be managed differently from the other AATs. The differences are:</w:t>
      </w:r>
    </w:p>
    <w:p w14:paraId="37492219" w14:textId="6B5D70CA" w:rsidR="00807F9A" w:rsidRPr="00807F9A" w:rsidRDefault="00807F9A" w:rsidP="00DD09CE">
      <w:pPr>
        <w:pStyle w:val="Heading6"/>
      </w:pPr>
      <w:r w:rsidRPr="00807F9A">
        <w:t>the round number and at least one participant identifier are mandatory;</w:t>
      </w:r>
    </w:p>
    <w:p w14:paraId="0BADE8F6" w14:textId="4806C955" w:rsidR="00807F9A" w:rsidRPr="00807F9A" w:rsidRDefault="00807F9A" w:rsidP="00DD09CE">
      <w:pPr>
        <w:pStyle w:val="Heading6"/>
      </w:pPr>
      <w:r w:rsidRPr="00807F9A">
        <w:t>the number of points, positive or negative, indicated by MMMM and/or GGGG (only GGGG in individual competitions) are algebraically added to the number of points obtained by normal means and affect standings and tie-breaks after the round RRR; this combined score is then used for the pairings of successive rounds (if any);</w:t>
      </w:r>
    </w:p>
    <w:p w14:paraId="29CECA9C" w14:textId="75941B46" w:rsidR="00807F9A" w:rsidRPr="00807F9A" w:rsidRDefault="00807F9A" w:rsidP="00DD09CE">
      <w:pPr>
        <w:pStyle w:val="Heading6"/>
      </w:pPr>
      <w:r w:rsidRPr="00807F9A">
        <w:t>RRR = 0 means that the provision is applied before the pairings of Round-1;</w:t>
      </w:r>
    </w:p>
    <w:p w14:paraId="368D5457" w14:textId="678AA689" w:rsidR="00807F9A" w:rsidRDefault="00807F9A" w:rsidP="00DD09CE">
      <w:pPr>
        <w:pStyle w:val="Heading6"/>
      </w:pPr>
      <w:r w:rsidRPr="00807F9A">
        <w:lastRenderedPageBreak/>
        <w:t xml:space="preserve">RRR = 999 means that the provision is conventionally applied only to the final standings, but does not affect tie-break calculations, </w:t>
      </w:r>
      <w:proofErr w:type="gramStart"/>
      <w:r w:rsidRPr="00807F9A">
        <w:t>with the exception of</w:t>
      </w:r>
      <w:proofErr w:type="gramEnd"/>
      <w:r w:rsidRPr="00807F9A">
        <w:t xml:space="preserve"> Direct Encounter. </w:t>
      </w:r>
    </w:p>
    <w:p w14:paraId="5466FE91" w14:textId="20287EEA" w:rsidR="00785FFE" w:rsidRDefault="00785FFE" w:rsidP="00807F9A">
      <w:pPr>
        <w:pStyle w:val="Heading2"/>
        <w:rPr>
          <w:sz w:val="24"/>
        </w:rPr>
      </w:pPr>
      <w:r>
        <w:br w:type="page"/>
      </w:r>
    </w:p>
    <w:p w14:paraId="1E386C6E" w14:textId="056C59DC" w:rsidR="00310AC6" w:rsidRPr="00DD63CE" w:rsidRDefault="00310AC6" w:rsidP="004B7CF2">
      <w:pPr>
        <w:pStyle w:val="Annexure"/>
      </w:pPr>
      <w:bookmarkStart w:id="43" w:name="_Toc197462316"/>
      <w:bookmarkStart w:id="44" w:name="_Toc213159599"/>
      <w:bookmarkStart w:id="45" w:name="_Hlk191391840"/>
      <w:r w:rsidRPr="00DD63CE">
        <w:lastRenderedPageBreak/>
        <w:t>Fees</w:t>
      </w:r>
      <w:bookmarkEnd w:id="43"/>
      <w:bookmarkEnd w:id="44"/>
    </w:p>
    <w:p w14:paraId="75A467E9" w14:textId="77777777" w:rsidR="00310AC6" w:rsidRPr="00DD63CE" w:rsidRDefault="00310AC6">
      <w:pPr>
        <w:pStyle w:val="AnnexureHeading1"/>
        <w:numPr>
          <w:ilvl w:val="1"/>
          <w:numId w:val="10"/>
        </w:numPr>
      </w:pPr>
      <w:bookmarkStart w:id="46" w:name="_Toc197462317"/>
      <w:r w:rsidRPr="00DD63CE">
        <w:t>Structure</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4"/>
        <w:gridCol w:w="4961"/>
        <w:gridCol w:w="1552"/>
        <w:gridCol w:w="1683"/>
      </w:tblGrid>
      <w:tr w:rsidR="00BB179F" w:rsidRPr="00DD63CE" w14:paraId="2F88F4AF" w14:textId="26CF61C3" w:rsidTr="000869FF">
        <w:tc>
          <w:tcPr>
            <w:tcW w:w="704" w:type="dxa"/>
            <w:vMerge w:val="restart"/>
            <w:shd w:val="clear" w:color="auto" w:fill="334166"/>
            <w:vAlign w:val="center"/>
          </w:tcPr>
          <w:p w14:paraId="3F335F70" w14:textId="77777777" w:rsidR="00BB179F" w:rsidRPr="000869FF" w:rsidRDefault="00BB179F" w:rsidP="004B7CF2">
            <w:pPr>
              <w:pStyle w:val="Body0"/>
              <w:jc w:val="center"/>
              <w:rPr>
                <w:b/>
                <w:bCs/>
                <w:color w:val="FFFFFF" w:themeColor="background1"/>
              </w:rPr>
            </w:pPr>
            <w:r w:rsidRPr="000869FF">
              <w:rPr>
                <w:b/>
                <w:bCs/>
                <w:color w:val="FFFFFF" w:themeColor="background1"/>
              </w:rPr>
              <w:t>Seq</w:t>
            </w:r>
          </w:p>
        </w:tc>
        <w:tc>
          <w:tcPr>
            <w:tcW w:w="4961" w:type="dxa"/>
            <w:vMerge w:val="restart"/>
            <w:shd w:val="clear" w:color="auto" w:fill="334166"/>
            <w:vAlign w:val="center"/>
          </w:tcPr>
          <w:p w14:paraId="30E12707" w14:textId="77777777" w:rsidR="00BB179F" w:rsidRPr="000869FF" w:rsidRDefault="00BB179F" w:rsidP="004B7CF2">
            <w:pPr>
              <w:pStyle w:val="Body0"/>
              <w:jc w:val="center"/>
              <w:rPr>
                <w:b/>
                <w:bCs/>
                <w:color w:val="FFFFFF" w:themeColor="background1"/>
              </w:rPr>
            </w:pPr>
            <w:r w:rsidRPr="000869FF">
              <w:rPr>
                <w:b/>
                <w:bCs/>
                <w:color w:val="FFFFFF" w:themeColor="background1"/>
              </w:rPr>
              <w:t>Description</w:t>
            </w:r>
          </w:p>
        </w:tc>
        <w:tc>
          <w:tcPr>
            <w:tcW w:w="3235" w:type="dxa"/>
            <w:gridSpan w:val="2"/>
            <w:shd w:val="clear" w:color="auto" w:fill="334166"/>
            <w:vAlign w:val="center"/>
          </w:tcPr>
          <w:p w14:paraId="7CE649C2" w14:textId="0AFF58BD" w:rsidR="00BB179F" w:rsidRPr="000869FF" w:rsidRDefault="00BB179F" w:rsidP="004B7CF2">
            <w:pPr>
              <w:pStyle w:val="Body0"/>
              <w:jc w:val="center"/>
              <w:rPr>
                <w:b/>
                <w:bCs/>
                <w:color w:val="FFFFFF" w:themeColor="background1"/>
              </w:rPr>
            </w:pPr>
            <w:r w:rsidRPr="000869FF">
              <w:rPr>
                <w:b/>
                <w:bCs/>
                <w:color w:val="FFFFFF" w:themeColor="background1"/>
              </w:rPr>
              <w:t>Fee (USD)</w:t>
            </w:r>
          </w:p>
        </w:tc>
      </w:tr>
      <w:tr w:rsidR="00BB179F" w:rsidRPr="00DD63CE" w14:paraId="44FA77B4" w14:textId="77777777" w:rsidTr="000869FF">
        <w:tc>
          <w:tcPr>
            <w:tcW w:w="704" w:type="dxa"/>
            <w:vMerge/>
            <w:shd w:val="clear" w:color="auto" w:fill="334166"/>
            <w:vAlign w:val="center"/>
          </w:tcPr>
          <w:p w14:paraId="2EA46688" w14:textId="77777777" w:rsidR="00BB179F" w:rsidRPr="006B41D8" w:rsidRDefault="00BB179F" w:rsidP="004B7CF2">
            <w:pPr>
              <w:pStyle w:val="Body0"/>
              <w:jc w:val="center"/>
              <w:rPr>
                <w:b/>
                <w:color w:val="FFFFFF"/>
              </w:rPr>
            </w:pPr>
          </w:p>
        </w:tc>
        <w:tc>
          <w:tcPr>
            <w:tcW w:w="4961" w:type="dxa"/>
            <w:vMerge/>
            <w:shd w:val="clear" w:color="auto" w:fill="334166"/>
            <w:vAlign w:val="center"/>
          </w:tcPr>
          <w:p w14:paraId="73FE3948" w14:textId="77777777" w:rsidR="00BB179F" w:rsidRPr="006B41D8" w:rsidRDefault="00BB179F" w:rsidP="004B7CF2">
            <w:pPr>
              <w:pStyle w:val="Body0"/>
              <w:jc w:val="center"/>
              <w:rPr>
                <w:b/>
                <w:color w:val="FFFFFF"/>
              </w:rPr>
            </w:pPr>
          </w:p>
        </w:tc>
        <w:tc>
          <w:tcPr>
            <w:tcW w:w="1552" w:type="dxa"/>
            <w:shd w:val="clear" w:color="auto" w:fill="334166"/>
            <w:vAlign w:val="center"/>
          </w:tcPr>
          <w:p w14:paraId="047247EB" w14:textId="7192B499" w:rsidR="00BB179F" w:rsidRPr="006B41D8" w:rsidRDefault="00BB179F" w:rsidP="004B7CF2">
            <w:pPr>
              <w:pStyle w:val="Body0"/>
              <w:jc w:val="center"/>
              <w:rPr>
                <w:b/>
                <w:color w:val="FFFFFF"/>
              </w:rPr>
            </w:pPr>
            <w:r w:rsidRPr="006B41D8">
              <w:rPr>
                <w:b/>
                <w:color w:val="FFFFFF"/>
              </w:rPr>
              <w:t>Preliminary</w:t>
            </w:r>
          </w:p>
        </w:tc>
        <w:tc>
          <w:tcPr>
            <w:tcW w:w="1683" w:type="dxa"/>
            <w:shd w:val="clear" w:color="auto" w:fill="334166"/>
            <w:vAlign w:val="center"/>
          </w:tcPr>
          <w:p w14:paraId="7AE8831A" w14:textId="34426542" w:rsidR="00BB179F" w:rsidRPr="006B41D8" w:rsidRDefault="00BB179F" w:rsidP="004B7CF2">
            <w:pPr>
              <w:pStyle w:val="Body0"/>
              <w:jc w:val="center"/>
              <w:rPr>
                <w:b/>
                <w:color w:val="FFFFFF"/>
              </w:rPr>
            </w:pPr>
            <w:r w:rsidRPr="006B41D8">
              <w:rPr>
                <w:b/>
                <w:color w:val="FFFFFF"/>
              </w:rPr>
              <w:t>Testing</w:t>
            </w:r>
          </w:p>
        </w:tc>
      </w:tr>
      <w:tr w:rsidR="00F270F2" w:rsidRPr="00DD63CE" w14:paraId="110F6586" w14:textId="29A8821A" w:rsidTr="000869FF">
        <w:tc>
          <w:tcPr>
            <w:tcW w:w="704" w:type="dxa"/>
            <w:tcBorders>
              <w:bottom w:val="dotted" w:sz="4" w:space="0" w:color="auto"/>
            </w:tcBorders>
            <w:vAlign w:val="center"/>
          </w:tcPr>
          <w:p w14:paraId="341FB34B" w14:textId="77777777" w:rsidR="00F270F2" w:rsidRPr="00DD63CE" w:rsidRDefault="00F270F2" w:rsidP="004B7CF2">
            <w:pPr>
              <w:pStyle w:val="Body0"/>
              <w:jc w:val="center"/>
            </w:pPr>
            <w:r w:rsidRPr="00DD63CE">
              <w:t>1.</w:t>
            </w:r>
          </w:p>
        </w:tc>
        <w:tc>
          <w:tcPr>
            <w:tcW w:w="4961" w:type="dxa"/>
            <w:tcBorders>
              <w:bottom w:val="dotted" w:sz="4" w:space="0" w:color="auto"/>
            </w:tcBorders>
          </w:tcPr>
          <w:p w14:paraId="3F2E164B" w14:textId="3917C0CC" w:rsidR="00F270F2" w:rsidRPr="00DD63CE" w:rsidRDefault="009F45EB" w:rsidP="004B7CF2">
            <w:pPr>
              <w:pStyle w:val="Body0"/>
            </w:pPr>
            <w:r>
              <w:t xml:space="preserve">Mandatory </w:t>
            </w:r>
            <w:r w:rsidR="00F270F2" w:rsidRPr="00DD63CE">
              <w:t>Initiation Fee</w:t>
            </w:r>
            <w:r w:rsidR="00F270F2">
              <w:t xml:space="preserve"> (once off)</w:t>
            </w:r>
          </w:p>
        </w:tc>
        <w:tc>
          <w:tcPr>
            <w:tcW w:w="1552" w:type="dxa"/>
            <w:tcBorders>
              <w:bottom w:val="dotted" w:sz="4" w:space="0" w:color="auto"/>
            </w:tcBorders>
            <w:vAlign w:val="center"/>
          </w:tcPr>
          <w:p w14:paraId="661A111D" w14:textId="3BFC6005" w:rsidR="00F270F2" w:rsidRPr="00DD63CE" w:rsidRDefault="00F270F2" w:rsidP="004B7CF2">
            <w:pPr>
              <w:pStyle w:val="Body0"/>
              <w:jc w:val="center"/>
            </w:pPr>
          </w:p>
        </w:tc>
        <w:tc>
          <w:tcPr>
            <w:tcW w:w="1683" w:type="dxa"/>
            <w:tcBorders>
              <w:bottom w:val="dotted" w:sz="4" w:space="0" w:color="auto"/>
            </w:tcBorders>
          </w:tcPr>
          <w:p w14:paraId="4093E534" w14:textId="75315265" w:rsidR="00F270F2" w:rsidRPr="00DD63CE" w:rsidRDefault="00F270F2" w:rsidP="004B7CF2">
            <w:pPr>
              <w:pStyle w:val="Body0"/>
              <w:jc w:val="center"/>
            </w:pPr>
            <w:r>
              <w:t>300.00</w:t>
            </w:r>
          </w:p>
        </w:tc>
      </w:tr>
      <w:tr w:rsidR="00F270F2" w:rsidRPr="00DD63CE" w14:paraId="1E73D933" w14:textId="53B30081" w:rsidTr="000869FF">
        <w:tc>
          <w:tcPr>
            <w:tcW w:w="704" w:type="dxa"/>
            <w:tcBorders>
              <w:top w:val="dotted" w:sz="4" w:space="0" w:color="auto"/>
              <w:bottom w:val="dotted" w:sz="4" w:space="0" w:color="auto"/>
            </w:tcBorders>
            <w:vAlign w:val="center"/>
          </w:tcPr>
          <w:p w14:paraId="4BF0BCD9" w14:textId="77777777" w:rsidR="00F270F2" w:rsidRPr="00DD63CE" w:rsidRDefault="00F270F2" w:rsidP="004B7CF2">
            <w:pPr>
              <w:pStyle w:val="Body0"/>
              <w:jc w:val="center"/>
            </w:pPr>
          </w:p>
        </w:tc>
        <w:tc>
          <w:tcPr>
            <w:tcW w:w="4961" w:type="dxa"/>
            <w:tcBorders>
              <w:top w:val="dotted" w:sz="4" w:space="0" w:color="auto"/>
              <w:bottom w:val="dotted" w:sz="4" w:space="0" w:color="auto"/>
            </w:tcBorders>
          </w:tcPr>
          <w:p w14:paraId="6D89AB45" w14:textId="39C6492A" w:rsidR="00F270F2" w:rsidRPr="00DD63CE" w:rsidRDefault="00151D45" w:rsidP="004B7CF2">
            <w:pPr>
              <w:pStyle w:val="Body0"/>
            </w:pPr>
            <w:r>
              <w:rPr>
                <w:lang w:eastAsia="en-ZA"/>
              </w:rPr>
              <w:t>Equipment without electronic components</w:t>
            </w:r>
          </w:p>
        </w:tc>
        <w:tc>
          <w:tcPr>
            <w:tcW w:w="1552" w:type="dxa"/>
            <w:tcBorders>
              <w:top w:val="dotted" w:sz="4" w:space="0" w:color="auto"/>
              <w:bottom w:val="dotted" w:sz="4" w:space="0" w:color="auto"/>
            </w:tcBorders>
            <w:vAlign w:val="center"/>
          </w:tcPr>
          <w:p w14:paraId="557C591F" w14:textId="1907B108" w:rsidR="00F270F2" w:rsidRPr="00DD63CE" w:rsidRDefault="00151D45" w:rsidP="004B7CF2">
            <w:pPr>
              <w:pStyle w:val="Body0"/>
              <w:jc w:val="center"/>
            </w:pPr>
            <w:r>
              <w:t>120.00</w:t>
            </w:r>
          </w:p>
        </w:tc>
        <w:tc>
          <w:tcPr>
            <w:tcW w:w="1683" w:type="dxa"/>
            <w:tcBorders>
              <w:top w:val="dotted" w:sz="4" w:space="0" w:color="auto"/>
              <w:bottom w:val="dotted" w:sz="4" w:space="0" w:color="auto"/>
            </w:tcBorders>
          </w:tcPr>
          <w:p w14:paraId="1527433C" w14:textId="7E59D053" w:rsidR="00F270F2" w:rsidRPr="00DD63CE" w:rsidRDefault="00151D45" w:rsidP="004B7CF2">
            <w:pPr>
              <w:pStyle w:val="Body0"/>
              <w:jc w:val="center"/>
            </w:pPr>
            <w:r>
              <w:t>300.00</w:t>
            </w:r>
          </w:p>
        </w:tc>
      </w:tr>
      <w:tr w:rsidR="00151D45" w:rsidRPr="00DD63CE" w14:paraId="260E6893" w14:textId="77777777" w:rsidTr="000869FF">
        <w:tc>
          <w:tcPr>
            <w:tcW w:w="704" w:type="dxa"/>
            <w:tcBorders>
              <w:top w:val="dotted" w:sz="4" w:space="0" w:color="auto"/>
            </w:tcBorders>
            <w:vAlign w:val="center"/>
          </w:tcPr>
          <w:p w14:paraId="1BCDE812" w14:textId="77777777" w:rsidR="00151D45" w:rsidRPr="00DD63CE" w:rsidRDefault="00151D45" w:rsidP="004B7CF2">
            <w:pPr>
              <w:pStyle w:val="Body0"/>
              <w:jc w:val="center"/>
            </w:pPr>
          </w:p>
        </w:tc>
        <w:tc>
          <w:tcPr>
            <w:tcW w:w="4961" w:type="dxa"/>
            <w:tcBorders>
              <w:top w:val="dotted" w:sz="4" w:space="0" w:color="auto"/>
            </w:tcBorders>
          </w:tcPr>
          <w:p w14:paraId="454CB090" w14:textId="428E5330" w:rsidR="00151D45" w:rsidRDefault="00151D45" w:rsidP="004B7CF2">
            <w:pPr>
              <w:pStyle w:val="Body0"/>
              <w:rPr>
                <w:lang w:eastAsia="en-ZA"/>
              </w:rPr>
            </w:pPr>
            <w:r>
              <w:rPr>
                <w:lang w:eastAsia="en-ZA"/>
              </w:rPr>
              <w:t>Equipment with electronic components</w:t>
            </w:r>
          </w:p>
        </w:tc>
        <w:tc>
          <w:tcPr>
            <w:tcW w:w="1552" w:type="dxa"/>
            <w:tcBorders>
              <w:top w:val="dotted" w:sz="4" w:space="0" w:color="auto"/>
            </w:tcBorders>
            <w:vAlign w:val="center"/>
          </w:tcPr>
          <w:p w14:paraId="2A1E5CBB" w14:textId="3AC6F7E8" w:rsidR="00151D45" w:rsidRPr="00DD63CE" w:rsidRDefault="00151D45" w:rsidP="004B7CF2">
            <w:pPr>
              <w:pStyle w:val="Body0"/>
              <w:jc w:val="center"/>
            </w:pPr>
            <w:r>
              <w:t>300.00</w:t>
            </w:r>
          </w:p>
        </w:tc>
        <w:tc>
          <w:tcPr>
            <w:tcW w:w="1683" w:type="dxa"/>
            <w:tcBorders>
              <w:top w:val="dotted" w:sz="4" w:space="0" w:color="auto"/>
            </w:tcBorders>
          </w:tcPr>
          <w:p w14:paraId="69D8324B" w14:textId="72AD0471" w:rsidR="00151D45" w:rsidRPr="00DD63CE" w:rsidRDefault="00151D45" w:rsidP="004B7CF2">
            <w:pPr>
              <w:pStyle w:val="Body0"/>
              <w:jc w:val="center"/>
            </w:pPr>
            <w:r>
              <w:t>900.00</w:t>
            </w:r>
          </w:p>
        </w:tc>
      </w:tr>
    </w:tbl>
    <w:p w14:paraId="5D603252" w14:textId="713B1877" w:rsidR="00310AC6" w:rsidRPr="00DD63CE" w:rsidRDefault="00310AC6">
      <w:pPr>
        <w:pStyle w:val="AnnexureHeading1"/>
        <w:numPr>
          <w:ilvl w:val="1"/>
          <w:numId w:val="10"/>
        </w:numPr>
      </w:pPr>
      <w:bookmarkStart w:id="47" w:name="_Toc197462318"/>
      <w:r w:rsidRPr="00DD63CE">
        <w:t xml:space="preserve">Example: </w:t>
      </w:r>
      <w:r w:rsidR="0037326F">
        <w:rPr>
          <w:b/>
        </w:rPr>
        <w:t>TAPC</w:t>
      </w:r>
      <w:r w:rsidRPr="00DD63CE">
        <w:t xml:space="preserve"> for THP</w:t>
      </w:r>
      <w:bookmarkEnd w:id="47"/>
    </w:p>
    <w:p w14:paraId="4E7767DA" w14:textId="18ED3BD0" w:rsidR="00310AC6" w:rsidRPr="00DD63CE" w:rsidRDefault="00310AC6" w:rsidP="00310AC6">
      <w:pPr>
        <w:pStyle w:val="Body1"/>
        <w:spacing w:before="0" w:beforeAutospacing="0" w:after="0" w:afterAutospacing="0" w:line="240" w:lineRule="auto"/>
        <w:contextualSpacing/>
      </w:pPr>
      <w:r w:rsidRPr="00DD63CE">
        <w:t>Initiation Fee</w:t>
      </w:r>
      <w:r w:rsidRPr="00DD63CE">
        <w:tab/>
      </w:r>
      <w:r w:rsidRPr="00DD63CE">
        <w:tab/>
        <w:t xml:space="preserve">USD </w:t>
      </w:r>
      <w:r w:rsidR="00151D45">
        <w:t xml:space="preserve">  </w:t>
      </w:r>
      <w:r w:rsidRPr="00DD63CE">
        <w:t>300.00</w:t>
      </w:r>
    </w:p>
    <w:p w14:paraId="55D7FDE5" w14:textId="3BBE518E" w:rsidR="00310AC6" w:rsidRPr="00DD63CE" w:rsidRDefault="00310AC6" w:rsidP="00310AC6">
      <w:pPr>
        <w:pStyle w:val="Body1"/>
        <w:spacing w:before="0" w:beforeAutospacing="0" w:after="0" w:afterAutospacing="0" w:line="240" w:lineRule="auto"/>
        <w:contextualSpacing/>
        <w:rPr>
          <w:u w:val="single"/>
        </w:rPr>
      </w:pPr>
      <w:r w:rsidRPr="00DD63CE">
        <w:rPr>
          <w:u w:val="single"/>
        </w:rPr>
        <w:t>THP Classification</w:t>
      </w:r>
      <w:r w:rsidRPr="00DD63CE">
        <w:rPr>
          <w:u w:val="single"/>
        </w:rPr>
        <w:tab/>
        <w:t>USD</w:t>
      </w:r>
      <w:r w:rsidR="00151D45">
        <w:rPr>
          <w:u w:val="single"/>
        </w:rPr>
        <w:t xml:space="preserve">  </w:t>
      </w:r>
      <w:r w:rsidRPr="00DD63CE">
        <w:rPr>
          <w:u w:val="single"/>
        </w:rPr>
        <w:t xml:space="preserve"> </w:t>
      </w:r>
      <w:r w:rsidR="00151D45">
        <w:rPr>
          <w:b/>
          <w:color w:val="FF0000"/>
          <w:u w:val="single"/>
        </w:rPr>
        <w:t>900</w:t>
      </w:r>
      <w:r w:rsidRPr="00DD63CE">
        <w:rPr>
          <w:u w:val="single"/>
        </w:rPr>
        <w:t>.00</w:t>
      </w:r>
    </w:p>
    <w:p w14:paraId="5A342304" w14:textId="6B88017B" w:rsidR="00310AC6" w:rsidRPr="00DD63CE" w:rsidRDefault="00310AC6" w:rsidP="00310AC6">
      <w:pPr>
        <w:pStyle w:val="Body1"/>
        <w:spacing w:before="0" w:beforeAutospacing="0" w:after="0" w:afterAutospacing="0" w:line="240" w:lineRule="auto"/>
        <w:contextualSpacing/>
      </w:pPr>
      <w:r w:rsidRPr="00DD63CE">
        <w:t>Total</w:t>
      </w:r>
      <w:r w:rsidRPr="00DD63CE">
        <w:tab/>
      </w:r>
      <w:r w:rsidRPr="00DD63CE">
        <w:tab/>
      </w:r>
      <w:r w:rsidRPr="00DD63CE">
        <w:tab/>
      </w:r>
      <w:r w:rsidRPr="00DD63CE">
        <w:tab/>
        <w:t xml:space="preserve">USD </w:t>
      </w:r>
      <w:r w:rsidR="00151D45">
        <w:rPr>
          <w:b/>
          <w:color w:val="FF0000"/>
        </w:rPr>
        <w:t>1200</w:t>
      </w:r>
      <w:r w:rsidRPr="00DD63CE">
        <w:t>.00</w:t>
      </w:r>
    </w:p>
    <w:p w14:paraId="1D302EB7" w14:textId="6763E7DD" w:rsidR="00310AC6" w:rsidRPr="00DD63CE" w:rsidRDefault="00310AC6">
      <w:pPr>
        <w:pStyle w:val="AnnexureHeading1"/>
        <w:numPr>
          <w:ilvl w:val="1"/>
          <w:numId w:val="10"/>
        </w:numPr>
      </w:pPr>
      <w:bookmarkStart w:id="48" w:name="_Toc197462319"/>
      <w:r w:rsidRPr="00DD63CE">
        <w:t xml:space="preserve">Example: </w:t>
      </w:r>
      <w:r w:rsidR="0037326F">
        <w:rPr>
          <w:b/>
        </w:rPr>
        <w:t>TAPC</w:t>
      </w:r>
      <w:r w:rsidRPr="00DD63CE">
        <w:t xml:space="preserve"> for THP and </w:t>
      </w:r>
      <w:bookmarkEnd w:id="48"/>
      <w:r w:rsidR="004D316D">
        <w:rPr>
          <w:lang w:eastAsia="en-ZA"/>
        </w:rPr>
        <w:t>Hybrid Tournament Management (HTM)</w:t>
      </w:r>
    </w:p>
    <w:p w14:paraId="5C7CE949" w14:textId="050223E5" w:rsidR="00310AC6" w:rsidRPr="00DD63CE" w:rsidRDefault="00310AC6" w:rsidP="00310AC6">
      <w:pPr>
        <w:pStyle w:val="Body1"/>
        <w:spacing w:before="0" w:beforeAutospacing="0" w:after="0" w:afterAutospacing="0" w:line="240" w:lineRule="auto"/>
        <w:contextualSpacing/>
      </w:pPr>
      <w:r w:rsidRPr="00DD63CE">
        <w:t>Initiation Fee</w:t>
      </w:r>
      <w:r w:rsidRPr="00DD63CE">
        <w:tab/>
      </w:r>
      <w:r w:rsidRPr="00DD63CE">
        <w:tab/>
        <w:t>USD</w:t>
      </w:r>
      <w:r w:rsidR="00151D45">
        <w:t xml:space="preserve">  </w:t>
      </w:r>
      <w:r w:rsidRPr="00DD63CE">
        <w:t xml:space="preserve"> 300.00</w:t>
      </w:r>
    </w:p>
    <w:p w14:paraId="3F0E884F" w14:textId="591B5676" w:rsidR="00310AC6" w:rsidRPr="00DD63CE" w:rsidRDefault="00310AC6" w:rsidP="00310AC6">
      <w:pPr>
        <w:pStyle w:val="Body1"/>
        <w:spacing w:before="0" w:beforeAutospacing="0" w:after="0" w:afterAutospacing="0" w:line="240" w:lineRule="auto"/>
        <w:contextualSpacing/>
      </w:pPr>
      <w:r w:rsidRPr="00DD63CE">
        <w:t>HTM Classification</w:t>
      </w:r>
      <w:r w:rsidRPr="00DD63CE">
        <w:tab/>
        <w:t xml:space="preserve">USD </w:t>
      </w:r>
      <w:r w:rsidR="00151D45">
        <w:t xml:space="preserve">  </w:t>
      </w:r>
      <w:r w:rsidR="00151D45">
        <w:rPr>
          <w:b/>
          <w:color w:val="FF0000"/>
        </w:rPr>
        <w:t>900</w:t>
      </w:r>
      <w:r w:rsidRPr="00DD63CE">
        <w:t>.00</w:t>
      </w:r>
    </w:p>
    <w:p w14:paraId="2B902308" w14:textId="31F970F6" w:rsidR="00310AC6" w:rsidRPr="00DD63CE" w:rsidRDefault="00310AC6" w:rsidP="00310AC6">
      <w:pPr>
        <w:pStyle w:val="Body1"/>
        <w:spacing w:before="0" w:beforeAutospacing="0" w:after="0" w:afterAutospacing="0" w:line="240" w:lineRule="auto"/>
        <w:contextualSpacing/>
        <w:rPr>
          <w:u w:val="single"/>
        </w:rPr>
      </w:pPr>
      <w:r w:rsidRPr="00DD63CE">
        <w:rPr>
          <w:u w:val="single"/>
        </w:rPr>
        <w:t>THP Classification</w:t>
      </w:r>
      <w:r w:rsidRPr="00DD63CE">
        <w:rPr>
          <w:u w:val="single"/>
        </w:rPr>
        <w:tab/>
        <w:t xml:space="preserve">USD </w:t>
      </w:r>
      <w:r w:rsidR="00151D45">
        <w:rPr>
          <w:u w:val="single"/>
        </w:rPr>
        <w:t xml:space="preserve">  </w:t>
      </w:r>
      <w:r w:rsidR="00151D45">
        <w:rPr>
          <w:b/>
          <w:color w:val="FF0000"/>
          <w:u w:val="single"/>
        </w:rPr>
        <w:t>900</w:t>
      </w:r>
      <w:r w:rsidRPr="00DD63CE">
        <w:rPr>
          <w:u w:val="single"/>
        </w:rPr>
        <w:t>.00</w:t>
      </w:r>
    </w:p>
    <w:p w14:paraId="539CA5B3" w14:textId="3683A8A4" w:rsidR="00310AC6" w:rsidRPr="00DD63CE" w:rsidRDefault="00310AC6" w:rsidP="00310AC6">
      <w:pPr>
        <w:pStyle w:val="Body1"/>
        <w:spacing w:before="0" w:beforeAutospacing="0" w:after="0" w:afterAutospacing="0" w:line="240" w:lineRule="auto"/>
        <w:contextualSpacing/>
      </w:pPr>
      <w:r w:rsidRPr="00DD63CE">
        <w:t>Total</w:t>
      </w:r>
      <w:r w:rsidRPr="00DD63CE">
        <w:tab/>
      </w:r>
      <w:r w:rsidRPr="00DD63CE">
        <w:tab/>
      </w:r>
      <w:r w:rsidRPr="00DD63CE">
        <w:tab/>
      </w:r>
      <w:r w:rsidRPr="00DD63CE">
        <w:tab/>
        <w:t xml:space="preserve">USD </w:t>
      </w:r>
      <w:r w:rsidR="00151D45">
        <w:rPr>
          <w:b/>
          <w:color w:val="FF0000"/>
        </w:rPr>
        <w:t>2100</w:t>
      </w:r>
      <w:r w:rsidRPr="00DD63CE">
        <w:t>.00</w:t>
      </w:r>
    </w:p>
    <w:p w14:paraId="07E0A35A" w14:textId="3F6DE81A" w:rsidR="00310AC6" w:rsidRPr="00DD63CE" w:rsidRDefault="00310AC6">
      <w:pPr>
        <w:pStyle w:val="AnnexureHeading1"/>
        <w:numPr>
          <w:ilvl w:val="1"/>
          <w:numId w:val="10"/>
        </w:numPr>
      </w:pPr>
      <w:bookmarkStart w:id="49" w:name="_Toc197462321"/>
      <w:r w:rsidRPr="00DD63CE">
        <w:t xml:space="preserve">Example: </w:t>
      </w:r>
      <w:r w:rsidR="009F45EB" w:rsidRPr="009F45EB">
        <w:rPr>
          <w:b/>
        </w:rPr>
        <w:t xml:space="preserve"> </w:t>
      </w:r>
      <w:r w:rsidR="0037326F">
        <w:rPr>
          <w:b/>
        </w:rPr>
        <w:t>TAPC</w:t>
      </w:r>
      <w:r w:rsidRPr="00DD63CE">
        <w:t xml:space="preserve"> for </w:t>
      </w:r>
      <w:r w:rsidR="009F45EB">
        <w:rPr>
          <w:b/>
        </w:rPr>
        <w:t>THP</w:t>
      </w:r>
      <w:r w:rsidRPr="00DD63CE">
        <w:t xml:space="preserve"> with preliminary testing</w:t>
      </w:r>
      <w:bookmarkEnd w:id="49"/>
    </w:p>
    <w:p w14:paraId="4FE757F6" w14:textId="65F1D3DA" w:rsidR="00310AC6" w:rsidRPr="00DD63CE" w:rsidRDefault="00310AC6" w:rsidP="00310AC6">
      <w:pPr>
        <w:pStyle w:val="Body1"/>
        <w:spacing w:before="0" w:beforeAutospacing="0" w:after="0" w:afterAutospacing="0" w:line="240" w:lineRule="auto"/>
        <w:contextualSpacing/>
      </w:pPr>
      <w:r w:rsidRPr="00DD63CE">
        <w:t>Initiation Fee</w:t>
      </w:r>
      <w:r w:rsidRPr="00DD63CE">
        <w:tab/>
      </w:r>
      <w:r w:rsidRPr="00DD63CE">
        <w:tab/>
        <w:t xml:space="preserve">USD </w:t>
      </w:r>
      <w:r w:rsidR="009F45EB">
        <w:t xml:space="preserve">  </w:t>
      </w:r>
      <w:r w:rsidRPr="00DD63CE">
        <w:t>300.00</w:t>
      </w:r>
    </w:p>
    <w:p w14:paraId="79264EE8" w14:textId="04AD6B33" w:rsidR="00310AC6" w:rsidRPr="00DD63CE" w:rsidRDefault="00310AC6" w:rsidP="00310AC6">
      <w:pPr>
        <w:pStyle w:val="Body1"/>
        <w:spacing w:before="0" w:beforeAutospacing="0" w:after="0" w:afterAutospacing="0" w:line="240" w:lineRule="auto"/>
        <w:contextualSpacing/>
      </w:pPr>
      <w:r w:rsidRPr="00DD63CE">
        <w:t>Preliminary testing</w:t>
      </w:r>
      <w:r w:rsidRPr="00DD63CE">
        <w:tab/>
        <w:t xml:space="preserve">USD </w:t>
      </w:r>
      <w:r w:rsidR="009F45EB">
        <w:t xml:space="preserve">  </w:t>
      </w:r>
      <w:r w:rsidR="009F45EB">
        <w:rPr>
          <w:b/>
          <w:color w:val="FF0000"/>
        </w:rPr>
        <w:t>300</w:t>
      </w:r>
      <w:r w:rsidRPr="00DD63CE">
        <w:t>.00</w:t>
      </w:r>
    </w:p>
    <w:p w14:paraId="4DAE129E" w14:textId="4B42D1C4" w:rsidR="00310AC6" w:rsidRPr="00DD63CE" w:rsidRDefault="009F45EB" w:rsidP="00310AC6">
      <w:pPr>
        <w:pStyle w:val="Body1"/>
        <w:spacing w:before="0" w:beforeAutospacing="0" w:after="0" w:afterAutospacing="0" w:line="240" w:lineRule="auto"/>
        <w:contextualSpacing/>
        <w:rPr>
          <w:u w:val="single"/>
        </w:rPr>
      </w:pPr>
      <w:r>
        <w:rPr>
          <w:b/>
          <w:u w:val="single"/>
        </w:rPr>
        <w:t>THP</w:t>
      </w:r>
      <w:r w:rsidRPr="00DD63CE">
        <w:rPr>
          <w:u w:val="single"/>
        </w:rPr>
        <w:t xml:space="preserve"> </w:t>
      </w:r>
      <w:r w:rsidR="00310AC6" w:rsidRPr="00DD63CE">
        <w:rPr>
          <w:u w:val="single"/>
        </w:rPr>
        <w:t>Classification</w:t>
      </w:r>
      <w:r w:rsidR="00310AC6" w:rsidRPr="00DD63CE">
        <w:rPr>
          <w:u w:val="single"/>
        </w:rPr>
        <w:tab/>
        <w:t xml:space="preserve">USD </w:t>
      </w:r>
      <w:r>
        <w:rPr>
          <w:u w:val="single"/>
        </w:rPr>
        <w:t xml:space="preserve">  900</w:t>
      </w:r>
      <w:r w:rsidR="00310AC6" w:rsidRPr="00DD63CE">
        <w:rPr>
          <w:u w:val="single"/>
        </w:rPr>
        <w:t>.00</w:t>
      </w:r>
    </w:p>
    <w:p w14:paraId="2A0D0673" w14:textId="585E0EE5" w:rsidR="00310AC6" w:rsidRPr="00DD63CE" w:rsidRDefault="00310AC6" w:rsidP="00310AC6">
      <w:pPr>
        <w:pStyle w:val="Body1"/>
        <w:spacing w:before="0" w:beforeAutospacing="0" w:after="0" w:afterAutospacing="0" w:line="240" w:lineRule="auto"/>
        <w:contextualSpacing/>
      </w:pPr>
      <w:r w:rsidRPr="00DD63CE">
        <w:t>Total</w:t>
      </w:r>
      <w:r w:rsidRPr="00DD63CE">
        <w:tab/>
      </w:r>
      <w:r w:rsidRPr="00DD63CE">
        <w:tab/>
      </w:r>
      <w:r w:rsidRPr="00DD63CE">
        <w:tab/>
      </w:r>
      <w:r w:rsidRPr="00DD63CE">
        <w:tab/>
        <w:t xml:space="preserve">USD </w:t>
      </w:r>
      <w:r w:rsidR="009F45EB">
        <w:t>1500</w:t>
      </w:r>
      <w:r w:rsidRPr="00DD63CE">
        <w:t>.00</w:t>
      </w:r>
    </w:p>
    <w:p w14:paraId="50BD3574" w14:textId="77777777" w:rsidR="00310AC6" w:rsidRPr="00DD63CE" w:rsidRDefault="00310AC6" w:rsidP="00310AC6">
      <w:pPr>
        <w:pStyle w:val="Body1"/>
        <w:spacing w:before="0" w:beforeAutospacing="0" w:after="0" w:afterAutospacing="0" w:line="240" w:lineRule="auto"/>
        <w:contextualSpacing/>
      </w:pPr>
    </w:p>
    <w:p w14:paraId="05B88E84" w14:textId="77777777" w:rsidR="00310AC6" w:rsidRPr="00DD63CE" w:rsidRDefault="00310AC6" w:rsidP="00310AC6">
      <w:pPr>
        <w:tabs>
          <w:tab w:val="clear" w:pos="567"/>
          <w:tab w:val="clear" w:pos="1134"/>
          <w:tab w:val="clear" w:pos="1701"/>
          <w:tab w:val="clear" w:pos="2268"/>
          <w:tab w:val="clear" w:pos="2835"/>
          <w:tab w:val="clear" w:pos="3402"/>
        </w:tabs>
        <w:jc w:val="left"/>
        <w:rPr>
          <w:sz w:val="24"/>
        </w:rPr>
      </w:pPr>
      <w:r w:rsidRPr="00DD63CE">
        <w:br w:type="page"/>
      </w:r>
    </w:p>
    <w:p w14:paraId="14401C99" w14:textId="607D623F" w:rsidR="00310AC6" w:rsidRDefault="00B053A2" w:rsidP="00D02B40">
      <w:pPr>
        <w:pStyle w:val="Annexure"/>
        <w:tabs>
          <w:tab w:val="clear" w:pos="567"/>
        </w:tabs>
      </w:pPr>
      <w:bookmarkStart w:id="50" w:name="_Ref212539344"/>
      <w:bookmarkStart w:id="51" w:name="_Toc213159600"/>
      <w:r>
        <w:lastRenderedPageBreak/>
        <w:t>[</w:t>
      </w:r>
      <w:r w:rsidR="00D02B40" w:rsidRPr="00B8678C">
        <w:t>TRF06</w:t>
      </w:r>
      <w:r w:rsidR="00D02B40">
        <w:t xml:space="preserve"> – Version </w:t>
      </w:r>
      <w:proofErr w:type="gramStart"/>
      <w:r w:rsidR="00D02B40">
        <w:t>2006</w:t>
      </w:r>
      <w:bookmarkEnd w:id="50"/>
      <w:r>
        <w:t>](</w:t>
      </w:r>
      <w:proofErr w:type="gramEnd"/>
      <w:r w:rsidRPr="00B053A2">
        <w:t xml:space="preserve"> https://tec.fide.com/spp-documents-archive/</w:t>
      </w:r>
      <w:r>
        <w:t>)</w:t>
      </w:r>
      <w:bookmarkEnd w:id="51"/>
    </w:p>
    <w:p w14:paraId="7B07E01B" w14:textId="29082642" w:rsidR="00D02B40" w:rsidRPr="00D02B40" w:rsidRDefault="00B053A2" w:rsidP="00D02B40">
      <w:pPr>
        <w:pStyle w:val="Annexure"/>
      </w:pPr>
      <w:bookmarkStart w:id="52" w:name="_Ref212539373"/>
      <w:bookmarkStart w:id="53" w:name="_Toc213159601"/>
      <w:r>
        <w:t>[</w:t>
      </w:r>
      <w:r w:rsidR="00D02B40" w:rsidRPr="00B8678C">
        <w:t>TRF16</w:t>
      </w:r>
      <w:r w:rsidR="00D02B40">
        <w:t xml:space="preserve"> – Version </w:t>
      </w:r>
      <w:proofErr w:type="gramStart"/>
      <w:r w:rsidR="00D02B40">
        <w:t>2016</w:t>
      </w:r>
      <w:bookmarkEnd w:id="52"/>
      <w:r>
        <w:t>](</w:t>
      </w:r>
      <w:proofErr w:type="gramEnd"/>
      <w:r w:rsidRPr="00B053A2">
        <w:t xml:space="preserve"> https://tec.fide.com/spp-documents-archive/</w:t>
      </w:r>
      <w:r>
        <w:t>)</w:t>
      </w:r>
      <w:bookmarkEnd w:id="53"/>
    </w:p>
    <w:bookmarkEnd w:id="45"/>
    <w:p w14:paraId="2DC2DA73" w14:textId="6C78AEE6" w:rsidR="00603A7F" w:rsidRPr="00DD63CE" w:rsidRDefault="00603A7F" w:rsidP="00B8678C">
      <w:pPr>
        <w:pStyle w:val="Body0"/>
      </w:pPr>
    </w:p>
    <w:sectPr w:rsidR="00603A7F" w:rsidRPr="00DD63CE" w:rsidSect="00975BEC">
      <w:headerReference w:type="default" r:id="rId9"/>
      <w:footerReference w:type="default" r:id="rId10"/>
      <w:headerReference w:type="first" r:id="rId11"/>
      <w:pgSz w:w="11907" w:h="16840" w:code="9"/>
      <w:pgMar w:top="1418" w:right="1134" w:bottom="1134" w:left="1134"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98C02" w14:textId="77777777" w:rsidR="00B31981" w:rsidRPr="00DD63CE" w:rsidRDefault="00B31981">
      <w:pPr>
        <w:spacing w:line="240" w:lineRule="auto"/>
      </w:pPr>
      <w:r w:rsidRPr="00DD63CE">
        <w:separator/>
      </w:r>
    </w:p>
  </w:endnote>
  <w:endnote w:type="continuationSeparator" w:id="0">
    <w:p w14:paraId="3AEC0A2C" w14:textId="77777777" w:rsidR="00B31981" w:rsidRPr="00DD63CE" w:rsidRDefault="00B31981">
      <w:pPr>
        <w:spacing w:line="240" w:lineRule="auto"/>
      </w:pPr>
      <w:r w:rsidRPr="00DD63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29728"/>
      <w:docPartObj>
        <w:docPartGallery w:val="Page Numbers (Bottom of Page)"/>
        <w:docPartUnique/>
      </w:docPartObj>
    </w:sdtPr>
    <w:sdtContent>
      <w:p w14:paraId="2725BA02" w14:textId="3BB0A5D7" w:rsidR="00A222A7" w:rsidRPr="00DD63CE" w:rsidRDefault="00A222A7">
        <w:pPr>
          <w:pStyle w:val="Footer"/>
          <w:jc w:val="center"/>
        </w:pPr>
        <w:r w:rsidRPr="00DD63CE">
          <w:fldChar w:fldCharType="begin"/>
        </w:r>
        <w:r w:rsidRPr="00DD63CE">
          <w:instrText xml:space="preserve"> PAGE   \* MERGEFORMAT </w:instrText>
        </w:r>
        <w:r w:rsidRPr="00DD63CE">
          <w:fldChar w:fldCharType="separate"/>
        </w:r>
        <w:r w:rsidRPr="00DD63CE">
          <w:t>2</w:t>
        </w:r>
        <w:r w:rsidRPr="00DD63CE">
          <w:fldChar w:fldCharType="end"/>
        </w:r>
      </w:p>
    </w:sdtContent>
  </w:sdt>
  <w:p w14:paraId="2DB00C3B" w14:textId="5C60E0E4" w:rsidR="005351F2" w:rsidRPr="00DD63CE" w:rsidRDefault="005351F2" w:rsidP="00A222A7">
    <w:pPr>
      <w:pStyle w:val="Footer"/>
    </w:pPr>
  </w:p>
  <w:p w14:paraId="616BDEB1" w14:textId="77777777" w:rsidR="00F563C0" w:rsidRPr="00DD63CE" w:rsidRDefault="00F563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2289" w14:textId="77777777" w:rsidR="00B31981" w:rsidRPr="00DD63CE" w:rsidRDefault="00B31981">
      <w:pPr>
        <w:spacing w:line="240" w:lineRule="auto"/>
      </w:pPr>
      <w:r w:rsidRPr="00DD63CE">
        <w:separator/>
      </w:r>
    </w:p>
  </w:footnote>
  <w:footnote w:type="continuationSeparator" w:id="0">
    <w:p w14:paraId="27E284B9" w14:textId="77777777" w:rsidR="00B31981" w:rsidRPr="00DD63CE" w:rsidRDefault="00B31981">
      <w:pPr>
        <w:spacing w:line="240" w:lineRule="auto"/>
      </w:pPr>
      <w:r w:rsidRPr="00DD63C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1E06" w14:textId="0B122EF8" w:rsidR="00C74674" w:rsidRPr="00DD63CE" w:rsidRDefault="00C74674" w:rsidP="00936474">
    <w:r w:rsidRPr="00DD63CE">
      <w:rPr>
        <w:noProof/>
      </w:rPr>
      <mc:AlternateContent>
        <mc:Choice Requires="wps">
          <w:drawing>
            <wp:anchor distT="0" distB="0" distL="114300" distR="114300" simplePos="0" relativeHeight="251664384" behindDoc="0" locked="0" layoutInCell="1" hidden="0" allowOverlap="1" wp14:anchorId="6723768C" wp14:editId="53A08C13">
              <wp:simplePos x="0" y="0"/>
              <wp:positionH relativeFrom="column">
                <wp:posOffset>1457325</wp:posOffset>
              </wp:positionH>
              <wp:positionV relativeFrom="paragraph">
                <wp:posOffset>-714374</wp:posOffset>
              </wp:positionV>
              <wp:extent cx="1943100" cy="73660"/>
              <wp:effectExtent l="0" t="0" r="0" b="0"/>
              <wp:wrapNone/>
              <wp:docPr id="67" name="Rectangle 67"/>
              <wp:cNvGraphicFramePr/>
              <a:graphic xmlns:a="http://schemas.openxmlformats.org/drawingml/2006/main">
                <a:graphicData uri="http://schemas.microsoft.com/office/word/2010/wordprocessingShape">
                  <wps:wsp>
                    <wps:cNvSpPr/>
                    <wps:spPr>
                      <a:xfrm>
                        <a:off x="4383975" y="3752695"/>
                        <a:ext cx="1924050" cy="54610"/>
                      </a:xfrm>
                      <a:prstGeom prst="rect">
                        <a:avLst/>
                      </a:prstGeom>
                      <a:solidFill>
                        <a:srgbClr val="19E2FF"/>
                      </a:solidFill>
                      <a:ln>
                        <a:noFill/>
                      </a:ln>
                    </wps:spPr>
                    <wps:txbx>
                      <w:txbxContent>
                        <w:p w14:paraId="25647EEF" w14:textId="77777777" w:rsidR="00C74674" w:rsidRPr="00DD63CE" w:rsidRDefault="00C74674" w:rsidP="00C7467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6723768C" id="Rectangle 67" o:spid="_x0000_s1026" style="position:absolute;left:0;text-align:left;margin-left:114.75pt;margin-top:-56.25pt;width:153pt;height:5.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" fillcolor="#19e2ff" stroked="f">
              <v:textbox inset="2.53958mm,2.53958mm,2.53958mm,2.53958mm">
                <w:txbxContent>
                  <w:p w14:paraId="25647EEF" w14:textId="77777777" w:rsidR="00C74674" w:rsidRPr="00DD63CE" w:rsidRDefault="00C74674" w:rsidP="00C74674">
                    <w:pPr>
                      <w:spacing w:line="240" w:lineRule="auto"/>
                      <w:textDirection w:val="btLr"/>
                    </w:pPr>
                  </w:p>
                </w:txbxContent>
              </v:textbox>
            </v:rect>
          </w:pict>
        </mc:Fallback>
      </mc:AlternateContent>
    </w:r>
    <w:r w:rsidRPr="00DD63CE">
      <w:rPr>
        <w:noProof/>
      </w:rPr>
      <mc:AlternateContent>
        <mc:Choice Requires="wps">
          <w:drawing>
            <wp:anchor distT="0" distB="0" distL="114300" distR="114300" simplePos="0" relativeHeight="251665408" behindDoc="0" locked="0" layoutInCell="1" hidden="0" allowOverlap="1" wp14:anchorId="342651EB" wp14:editId="3D216B07">
              <wp:simplePos x="0" y="0"/>
              <wp:positionH relativeFrom="column">
                <wp:posOffset>3400425</wp:posOffset>
              </wp:positionH>
              <wp:positionV relativeFrom="paragraph">
                <wp:posOffset>-714374</wp:posOffset>
              </wp:positionV>
              <wp:extent cx="3438525" cy="73659"/>
              <wp:effectExtent l="0" t="0" r="0" b="0"/>
              <wp:wrapNone/>
              <wp:docPr id="68" name="Rectangle 68"/>
              <wp:cNvGraphicFramePr/>
              <a:graphic xmlns:a="http://schemas.openxmlformats.org/drawingml/2006/main">
                <a:graphicData uri="http://schemas.microsoft.com/office/word/2010/wordprocessingShape">
                  <wps:wsp>
                    <wps:cNvSpPr/>
                    <wps:spPr>
                      <a:xfrm rot="10800000" flipH="1">
                        <a:off x="3636263" y="3752695"/>
                        <a:ext cx="3419475" cy="54610"/>
                      </a:xfrm>
                      <a:prstGeom prst="rect">
                        <a:avLst/>
                      </a:prstGeom>
                      <a:solidFill>
                        <a:srgbClr val="4EA89D"/>
                      </a:solidFill>
                      <a:ln>
                        <a:noFill/>
                      </a:ln>
                    </wps:spPr>
                    <wps:txbx>
                      <w:txbxContent>
                        <w:p w14:paraId="415F3990" w14:textId="77777777" w:rsidR="00C74674" w:rsidRPr="00DD63CE" w:rsidRDefault="00C74674" w:rsidP="00C7467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342651EB" id="Rectangle 68" o:spid="_x0000_s1027" style="position:absolute;left:0;text-align:left;margin-left:267.75pt;margin-top:-56.25pt;width:270.75pt;height:5.8pt;rotation:180;flip:x;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" fillcolor="#4ea89d" stroked="f">
              <v:textbox inset="2.53958mm,2.53958mm,2.53958mm,2.53958mm">
                <w:txbxContent>
                  <w:p w14:paraId="415F3990" w14:textId="77777777" w:rsidR="00C74674" w:rsidRPr="00DD63CE" w:rsidRDefault="00C74674" w:rsidP="00C74674">
                    <w:pPr>
                      <w:spacing w:line="240" w:lineRule="auto"/>
                      <w:textDirection w:val="btLr"/>
                    </w:pPr>
                  </w:p>
                </w:txbxContent>
              </v:textbox>
            </v:rect>
          </w:pict>
        </mc:Fallback>
      </mc:AlternateContent>
    </w:r>
    <w:r w:rsidRPr="00DD63CE">
      <w:rPr>
        <w:noProof/>
      </w:rPr>
      <mc:AlternateContent>
        <mc:Choice Requires="wps">
          <w:drawing>
            <wp:anchor distT="0" distB="0" distL="114300" distR="114300" simplePos="0" relativeHeight="251666432" behindDoc="0" locked="0" layoutInCell="1" hidden="0" allowOverlap="1" wp14:anchorId="4613D065" wp14:editId="012E9F44">
              <wp:simplePos x="0" y="0"/>
              <wp:positionH relativeFrom="column">
                <wp:posOffset>-942974</wp:posOffset>
              </wp:positionH>
              <wp:positionV relativeFrom="paragraph">
                <wp:posOffset>-714374</wp:posOffset>
              </wp:positionV>
              <wp:extent cx="1276350" cy="73660"/>
              <wp:effectExtent l="0" t="0" r="0" b="0"/>
              <wp:wrapNone/>
              <wp:docPr id="69" name="Rectangle 69"/>
              <wp:cNvGraphicFramePr/>
              <a:graphic xmlns:a="http://schemas.openxmlformats.org/drawingml/2006/main">
                <a:graphicData uri="http://schemas.microsoft.com/office/word/2010/wordprocessingShape">
                  <wps:wsp>
                    <wps:cNvSpPr/>
                    <wps:spPr>
                      <a:xfrm>
                        <a:off x="4717350" y="3752695"/>
                        <a:ext cx="1257300" cy="54610"/>
                      </a:xfrm>
                      <a:prstGeom prst="rect">
                        <a:avLst/>
                      </a:prstGeom>
                      <a:solidFill>
                        <a:srgbClr val="0F4C81"/>
                      </a:solidFill>
                      <a:ln>
                        <a:noFill/>
                      </a:ln>
                    </wps:spPr>
                    <wps:txbx>
                      <w:txbxContent>
                        <w:p w14:paraId="3ADB3FAD" w14:textId="77777777" w:rsidR="00C74674" w:rsidRPr="00DD63CE" w:rsidRDefault="00C74674" w:rsidP="00C7467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4613D065" id="Rectangle 69" o:spid="_x0000_s1028" style="position:absolute;left:0;text-align:left;margin-left:-74.25pt;margin-top:-56.25pt;width:100.5pt;height:5.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" fillcolor="#0f4c81" stroked="f">
              <v:textbox inset="2.53958mm,2.53958mm,2.53958mm,2.53958mm">
                <w:txbxContent>
                  <w:p w14:paraId="3ADB3FAD" w14:textId="77777777" w:rsidR="00C74674" w:rsidRPr="00DD63CE" w:rsidRDefault="00C74674" w:rsidP="00C74674">
                    <w:pPr>
                      <w:spacing w:line="240" w:lineRule="auto"/>
                      <w:textDirection w:val="btLr"/>
                    </w:pPr>
                  </w:p>
                </w:txbxContent>
              </v:textbox>
            </v:rect>
          </w:pict>
        </mc:Fallback>
      </mc:AlternateContent>
    </w:r>
    <w:r w:rsidRPr="00DD63CE">
      <w:rPr>
        <w:noProof/>
      </w:rPr>
      <mc:AlternateContent>
        <mc:Choice Requires="wps">
          <w:drawing>
            <wp:anchor distT="0" distB="0" distL="114300" distR="114300" simplePos="0" relativeHeight="251668480" behindDoc="0" locked="0" layoutInCell="1" hidden="0" allowOverlap="1" wp14:anchorId="74A0AEBE" wp14:editId="535CB452">
              <wp:simplePos x="0" y="0"/>
              <wp:positionH relativeFrom="column">
                <wp:posOffset>-895349</wp:posOffset>
              </wp:positionH>
              <wp:positionV relativeFrom="paragraph">
                <wp:posOffset>-714374</wp:posOffset>
              </wp:positionV>
              <wp:extent cx="1276350" cy="73660"/>
              <wp:effectExtent l="0" t="0" r="0" b="0"/>
              <wp:wrapNone/>
              <wp:docPr id="66" name="Rectangle 66"/>
              <wp:cNvGraphicFramePr/>
              <a:graphic xmlns:a="http://schemas.openxmlformats.org/drawingml/2006/main">
                <a:graphicData uri="http://schemas.microsoft.com/office/word/2010/wordprocessingShape">
                  <wps:wsp>
                    <wps:cNvSpPr/>
                    <wps:spPr>
                      <a:xfrm>
                        <a:off x="4717350" y="3752695"/>
                        <a:ext cx="1257300" cy="54610"/>
                      </a:xfrm>
                      <a:prstGeom prst="rect">
                        <a:avLst/>
                      </a:prstGeom>
                      <a:solidFill>
                        <a:srgbClr val="0F4C81"/>
                      </a:solidFill>
                      <a:ln>
                        <a:noFill/>
                      </a:ln>
                    </wps:spPr>
                    <wps:txbx>
                      <w:txbxContent>
                        <w:p w14:paraId="4E6B150F" w14:textId="77777777" w:rsidR="00C74674" w:rsidRPr="00DD63CE" w:rsidRDefault="00C74674" w:rsidP="00C7467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74A0AEBE" id="Rectangle 66" o:spid="_x0000_s1029" style="position:absolute;left:0;text-align:left;margin-left:-70.5pt;margin-top:-56.25pt;width:100.5pt;height:5.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" fillcolor="#0f4c81" stroked="f">
              <v:textbox inset="2.53958mm,2.53958mm,2.53958mm,2.53958mm">
                <w:txbxContent>
                  <w:p w14:paraId="4E6B150F" w14:textId="77777777" w:rsidR="00C74674" w:rsidRPr="00DD63CE" w:rsidRDefault="00C74674" w:rsidP="00C74674">
                    <w:pPr>
                      <w:spacing w:line="240" w:lineRule="auto"/>
                      <w:textDirection w:val="btLr"/>
                    </w:pPr>
                  </w:p>
                </w:txbxContent>
              </v:textbox>
            </v:rect>
          </w:pict>
        </mc:Fallback>
      </mc:AlternateContent>
    </w:r>
    <w:r w:rsidRPr="00DD63CE">
      <w:rPr>
        <w:noProof/>
      </w:rPr>
      <mc:AlternateContent>
        <mc:Choice Requires="wps">
          <w:drawing>
            <wp:anchor distT="0" distB="0" distL="114300" distR="114300" simplePos="0" relativeHeight="251669504" behindDoc="0" locked="0" layoutInCell="1" hidden="0" allowOverlap="1" wp14:anchorId="267E9890" wp14:editId="61AF9FEE">
              <wp:simplePos x="0" y="0"/>
              <wp:positionH relativeFrom="column">
                <wp:posOffset>381000</wp:posOffset>
              </wp:positionH>
              <wp:positionV relativeFrom="paragraph">
                <wp:posOffset>-714374</wp:posOffset>
              </wp:positionV>
              <wp:extent cx="1285875" cy="73660"/>
              <wp:effectExtent l="0" t="0" r="0" b="0"/>
              <wp:wrapNone/>
              <wp:docPr id="70" name="Rectangle 70"/>
              <wp:cNvGraphicFramePr/>
              <a:graphic xmlns:a="http://schemas.openxmlformats.org/drawingml/2006/main">
                <a:graphicData uri="http://schemas.microsoft.com/office/word/2010/wordprocessingShape">
                  <wps:wsp>
                    <wps:cNvSpPr/>
                    <wps:spPr>
                      <a:xfrm>
                        <a:off x="4712588" y="3752695"/>
                        <a:ext cx="1266825" cy="54610"/>
                      </a:xfrm>
                      <a:prstGeom prst="rect">
                        <a:avLst/>
                      </a:prstGeom>
                      <a:solidFill>
                        <a:srgbClr val="0B92E8"/>
                      </a:solidFill>
                      <a:ln>
                        <a:noFill/>
                      </a:ln>
                    </wps:spPr>
                    <wps:txbx>
                      <w:txbxContent>
                        <w:p w14:paraId="7723CE78" w14:textId="77777777" w:rsidR="00C74674" w:rsidRPr="00DD63CE" w:rsidRDefault="00C74674" w:rsidP="00C7467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267E9890" id="Rectangle 70" o:spid="_x0000_s1030" style="position:absolute;left:0;text-align:left;margin-left:30pt;margin-top:-56.25pt;width:101.25pt;height:5.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" fillcolor="#0b92e8" stroked="f">
              <v:textbox inset="2.53958mm,2.53958mm,2.53958mm,2.53958mm">
                <w:txbxContent>
                  <w:p w14:paraId="7723CE78" w14:textId="77777777" w:rsidR="00C74674" w:rsidRPr="00DD63CE" w:rsidRDefault="00C74674" w:rsidP="00C74674">
                    <w:pPr>
                      <w:spacing w:line="240" w:lineRule="auto"/>
                      <w:textDirection w:val="btLr"/>
                    </w:pPr>
                  </w:p>
                </w:txbxContent>
              </v:textbox>
            </v:rect>
          </w:pict>
        </mc:Fallback>
      </mc:AlternateContent>
    </w:r>
  </w:p>
  <w:p w14:paraId="0CF8A5DD" w14:textId="77777777" w:rsidR="00F563C0" w:rsidRPr="00DD63CE" w:rsidRDefault="00F563C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0899" w14:textId="77777777" w:rsidR="006744FB" w:rsidRPr="00DD63CE" w:rsidRDefault="006744FB" w:rsidP="00E15FB8"/>
  <w:p w14:paraId="717D1FD7" w14:textId="33331930" w:rsidR="00C74674" w:rsidRPr="00DD63CE" w:rsidRDefault="003E344F" w:rsidP="00E15FB8">
    <w:r w:rsidRPr="00DD63CE">
      <w:rPr>
        <w:noProof/>
      </w:rPr>
      <w:drawing>
        <wp:inline distT="0" distB="0" distL="0" distR="0" wp14:anchorId="1A2332B8" wp14:editId="5EB3BBAC">
          <wp:extent cx="6120130" cy="1403350"/>
          <wp:effectExtent l="0" t="0" r="0" b="6350"/>
          <wp:docPr id="2148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48322" name="Picture 1431348322"/>
                  <pic:cNvPicPr/>
                </pic:nvPicPr>
                <pic:blipFill>
                  <a:blip r:embed="rId1">
                    <a:extLst>
                      <a:ext uri="{28A0092B-C50C-407E-A947-70E740481C1C}">
                        <a14:useLocalDpi xmlns:a14="http://schemas.microsoft.com/office/drawing/2010/main" val="0"/>
                      </a:ext>
                    </a:extLst>
                  </a:blip>
                  <a:stretch>
                    <a:fillRect/>
                  </a:stretch>
                </pic:blipFill>
                <pic:spPr>
                  <a:xfrm>
                    <a:off x="0" y="0"/>
                    <a:ext cx="6120130" cy="1403350"/>
                  </a:xfrm>
                  <a:prstGeom prst="rect">
                    <a:avLst/>
                  </a:prstGeom>
                </pic:spPr>
              </pic:pic>
            </a:graphicData>
          </a:graphic>
        </wp:inline>
      </w:drawing>
    </w:r>
    <w:r w:rsidR="00C74674" w:rsidRPr="00DD63CE">
      <w:rPr>
        <w:noProof/>
      </w:rPr>
      <mc:AlternateContent>
        <mc:Choice Requires="wps">
          <w:drawing>
            <wp:anchor distT="0" distB="0" distL="114300" distR="114300" simplePos="0" relativeHeight="251662336" behindDoc="0" locked="0" layoutInCell="1" hidden="0" allowOverlap="1" wp14:anchorId="2CD0F189" wp14:editId="2C96A1EF">
              <wp:simplePos x="0" y="0"/>
              <wp:positionH relativeFrom="column">
                <wp:posOffset>418465</wp:posOffset>
              </wp:positionH>
              <wp:positionV relativeFrom="paragraph">
                <wp:posOffset>-724535</wp:posOffset>
              </wp:positionV>
              <wp:extent cx="1285875" cy="73660"/>
              <wp:effectExtent l="0" t="0" r="0" b="0"/>
              <wp:wrapNone/>
              <wp:docPr id="4" name="Rectangle 4"/>
              <wp:cNvGraphicFramePr/>
              <a:graphic xmlns:a="http://schemas.openxmlformats.org/drawingml/2006/main">
                <a:graphicData uri="http://schemas.microsoft.com/office/word/2010/wordprocessingShape">
                  <wps:wsp>
                    <wps:cNvSpPr/>
                    <wps:spPr>
                      <a:xfrm>
                        <a:off x="0" y="0"/>
                        <a:ext cx="1285875" cy="73660"/>
                      </a:xfrm>
                      <a:prstGeom prst="rect">
                        <a:avLst/>
                      </a:prstGeom>
                      <a:solidFill>
                        <a:srgbClr val="0B92E8"/>
                      </a:solidFill>
                      <a:ln>
                        <a:noFill/>
                      </a:ln>
                    </wps:spPr>
                    <wps:txbx>
                      <w:txbxContent>
                        <w:p w14:paraId="382F6FE5" w14:textId="77777777" w:rsidR="00C74674" w:rsidRPr="00DD63CE" w:rsidRDefault="00C74674" w:rsidP="00C7467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2CD0F189" id="Rectangle 4" o:spid="_x0000_s1031" style="position:absolute;left:0;text-align:left;margin-left:32.95pt;margin-top:-57.05pt;width:101.25pt;height:5.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" fillcolor="#0b92e8" stroked="f">
              <v:textbox inset="2.53958mm,2.53958mm,2.53958mm,2.53958mm">
                <w:txbxContent>
                  <w:p w14:paraId="382F6FE5" w14:textId="77777777" w:rsidR="00C74674" w:rsidRPr="00DD63CE" w:rsidRDefault="00C74674" w:rsidP="00C74674">
                    <w:pPr>
                      <w:spacing w:line="240" w:lineRule="auto"/>
                      <w:textDirection w:val="btLr"/>
                    </w:pPr>
                  </w:p>
                </w:txbxContent>
              </v:textbox>
            </v:rect>
          </w:pict>
        </mc:Fallback>
      </mc:AlternateContent>
    </w:r>
    <w:r w:rsidR="00C74674" w:rsidRPr="00DD63CE">
      <w:rPr>
        <w:noProof/>
      </w:rPr>
      <mc:AlternateContent>
        <mc:Choice Requires="wps">
          <w:drawing>
            <wp:anchor distT="0" distB="0" distL="114300" distR="114300" simplePos="0" relativeHeight="251661312" behindDoc="0" locked="0" layoutInCell="1" hidden="0" allowOverlap="1" wp14:anchorId="2757B9E1" wp14:editId="6B82A53B">
              <wp:simplePos x="0" y="0"/>
              <wp:positionH relativeFrom="column">
                <wp:posOffset>-857250</wp:posOffset>
              </wp:positionH>
              <wp:positionV relativeFrom="paragraph">
                <wp:posOffset>-724535</wp:posOffset>
              </wp:positionV>
              <wp:extent cx="1276350" cy="73660"/>
              <wp:effectExtent l="0" t="0" r="0" b="0"/>
              <wp:wrapNone/>
              <wp:docPr id="3" name="Rectangle 3"/>
              <wp:cNvGraphicFramePr/>
              <a:graphic xmlns:a="http://schemas.openxmlformats.org/drawingml/2006/main">
                <a:graphicData uri="http://schemas.microsoft.com/office/word/2010/wordprocessingShape">
                  <wps:wsp>
                    <wps:cNvSpPr/>
                    <wps:spPr>
                      <a:xfrm>
                        <a:off x="0" y="0"/>
                        <a:ext cx="1276350" cy="73660"/>
                      </a:xfrm>
                      <a:prstGeom prst="rect">
                        <a:avLst/>
                      </a:prstGeom>
                      <a:solidFill>
                        <a:srgbClr val="0F4C81"/>
                      </a:solidFill>
                      <a:ln>
                        <a:noFill/>
                      </a:ln>
                    </wps:spPr>
                    <wps:txbx>
                      <w:txbxContent>
                        <w:p w14:paraId="6E7BEDCF" w14:textId="77777777" w:rsidR="00C74674" w:rsidRPr="00DD63CE" w:rsidRDefault="00C74674" w:rsidP="00C7467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2757B9E1" id="Rectangle 3" o:spid="_x0000_s1032" style="position:absolute;left:0;text-align:left;margin-left:-67.5pt;margin-top:-57.05pt;width:100.5pt;height:5.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" fillcolor="#0f4c81" stroked="f">
              <v:textbox inset="2.53958mm,2.53958mm,2.53958mm,2.53958mm">
                <w:txbxContent>
                  <w:p w14:paraId="6E7BEDCF" w14:textId="77777777" w:rsidR="00C74674" w:rsidRPr="00DD63CE" w:rsidRDefault="00C74674" w:rsidP="00C74674">
                    <w:pPr>
                      <w:spacing w:line="240" w:lineRule="auto"/>
                      <w:textDirection w:val="btLr"/>
                    </w:pPr>
                  </w:p>
                </w:txbxContent>
              </v:textbox>
            </v:rect>
          </w:pict>
        </mc:Fallback>
      </mc:AlternateContent>
    </w:r>
    <w:r w:rsidR="00C74674" w:rsidRPr="00DD63CE">
      <w:rPr>
        <w:noProof/>
      </w:rPr>
      <mc:AlternateContent>
        <mc:Choice Requires="wps">
          <w:drawing>
            <wp:anchor distT="0" distB="0" distL="114300" distR="114300" simplePos="0" relativeHeight="251660288" behindDoc="0" locked="0" layoutInCell="1" hidden="0" allowOverlap="1" wp14:anchorId="0E09C6FE" wp14:editId="2823A9CF">
              <wp:simplePos x="0" y="0"/>
              <wp:positionH relativeFrom="column">
                <wp:posOffset>3437890</wp:posOffset>
              </wp:positionH>
              <wp:positionV relativeFrom="paragraph">
                <wp:posOffset>-724535</wp:posOffset>
              </wp:positionV>
              <wp:extent cx="3438525" cy="73025"/>
              <wp:effectExtent l="0" t="0" r="0" b="0"/>
              <wp:wrapNone/>
              <wp:docPr id="2" name="Rectangle 2"/>
              <wp:cNvGraphicFramePr/>
              <a:graphic xmlns:a="http://schemas.openxmlformats.org/drawingml/2006/main">
                <a:graphicData uri="http://schemas.microsoft.com/office/word/2010/wordprocessingShape">
                  <wps:wsp>
                    <wps:cNvSpPr/>
                    <wps:spPr>
                      <a:xfrm rot="10800000" flipH="1">
                        <a:off x="0" y="0"/>
                        <a:ext cx="3438525" cy="73025"/>
                      </a:xfrm>
                      <a:prstGeom prst="rect">
                        <a:avLst/>
                      </a:prstGeom>
                      <a:solidFill>
                        <a:srgbClr val="4EA89D"/>
                      </a:solidFill>
                      <a:ln>
                        <a:noFill/>
                      </a:ln>
                    </wps:spPr>
                    <wps:txbx>
                      <w:txbxContent>
                        <w:p w14:paraId="113E1CB1" w14:textId="77777777" w:rsidR="00C74674" w:rsidRPr="00DD63CE" w:rsidRDefault="00C74674" w:rsidP="00C7467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0E09C6FE" id="Rectangle 2" o:spid="_x0000_s1033" style="position:absolute;left:0;text-align:left;margin-left:270.7pt;margin-top:-57.05pt;width:270.75pt;height:5.75pt;rotation:180;flip:x;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" fillcolor="#4ea89d" stroked="f">
              <v:textbox inset="2.53958mm,2.53958mm,2.53958mm,2.53958mm">
                <w:txbxContent>
                  <w:p w14:paraId="113E1CB1" w14:textId="77777777" w:rsidR="00C74674" w:rsidRPr="00DD63CE" w:rsidRDefault="00C74674" w:rsidP="00C74674">
                    <w:pPr>
                      <w:spacing w:line="240" w:lineRule="auto"/>
                      <w:textDirection w:val="btLr"/>
                    </w:pPr>
                  </w:p>
                </w:txbxContent>
              </v:textbox>
            </v:rect>
          </w:pict>
        </mc:Fallback>
      </mc:AlternateContent>
    </w:r>
    <w:r w:rsidR="00C74674" w:rsidRPr="00DD63CE">
      <w:rPr>
        <w:noProof/>
      </w:rPr>
      <mc:AlternateContent>
        <mc:Choice Requires="wps">
          <w:drawing>
            <wp:anchor distT="0" distB="0" distL="114300" distR="114300" simplePos="0" relativeHeight="251659264" behindDoc="0" locked="0" layoutInCell="1" hidden="0" allowOverlap="1" wp14:anchorId="7B363221" wp14:editId="692E0436">
              <wp:simplePos x="0" y="0"/>
              <wp:positionH relativeFrom="column">
                <wp:posOffset>1494790</wp:posOffset>
              </wp:positionH>
              <wp:positionV relativeFrom="paragraph">
                <wp:posOffset>-724535</wp:posOffset>
              </wp:positionV>
              <wp:extent cx="1943100" cy="73660"/>
              <wp:effectExtent l="0" t="0" r="0" b="0"/>
              <wp:wrapNone/>
              <wp:docPr id="1" name="Rectangle 1"/>
              <wp:cNvGraphicFramePr/>
              <a:graphic xmlns:a="http://schemas.openxmlformats.org/drawingml/2006/main">
                <a:graphicData uri="http://schemas.microsoft.com/office/word/2010/wordprocessingShape">
                  <wps:wsp>
                    <wps:cNvSpPr/>
                    <wps:spPr>
                      <a:xfrm>
                        <a:off x="0" y="0"/>
                        <a:ext cx="1943100" cy="73660"/>
                      </a:xfrm>
                      <a:prstGeom prst="rect">
                        <a:avLst/>
                      </a:prstGeom>
                      <a:solidFill>
                        <a:srgbClr val="19E2FF"/>
                      </a:solidFill>
                      <a:ln>
                        <a:noFill/>
                      </a:ln>
                    </wps:spPr>
                    <wps:txbx>
                      <w:txbxContent>
                        <w:p w14:paraId="12E5F9C1" w14:textId="77777777" w:rsidR="00C74674" w:rsidRPr="00DD63CE" w:rsidRDefault="00C74674" w:rsidP="00C7467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7B363221" id="Rectangle 1" o:spid="_x0000_s1034" style="position:absolute;left:0;text-align:left;margin-left:117.7pt;margin-top:-57.05pt;width:153pt;height: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" fillcolor="#19e2ff" stroked="f">
              <v:textbox inset="2.53958mm,2.53958mm,2.53958mm,2.53958mm">
                <w:txbxContent>
                  <w:p w14:paraId="12E5F9C1" w14:textId="77777777" w:rsidR="00C74674" w:rsidRPr="00DD63CE" w:rsidRDefault="00C74674" w:rsidP="00C74674">
                    <w:pPr>
                      <w:spacing w:line="240" w:lineRule="auto"/>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094D02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47F63B0A"/>
    <w:lvl w:ilvl="0">
      <w:start w:val="1"/>
      <w:numFmt w:val="lowerLetter"/>
      <w:pStyle w:val="ListNumber2"/>
      <w:lvlText w:val="%1)"/>
      <w:lvlJc w:val="left"/>
      <w:pPr>
        <w:ind w:left="927" w:hanging="360"/>
      </w:pPr>
    </w:lvl>
  </w:abstractNum>
  <w:abstractNum w:abstractNumId="2" w15:restartNumberingAfterBreak="0">
    <w:nsid w:val="FFFFFF83"/>
    <w:multiLevelType w:val="singleLevel"/>
    <w:tmpl w:val="9EF0F294"/>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5C06E520"/>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47E0AEE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23B4FDC"/>
    <w:multiLevelType w:val="multilevel"/>
    <w:tmpl w:val="46466FE4"/>
    <w:lvl w:ilvl="0">
      <w:start w:val="1"/>
      <w:numFmt w:val="decimal"/>
      <w:pStyle w:val="HBLevel1"/>
      <w:isLgl/>
      <w:lvlText w:val="%1."/>
      <w:lvlJc w:val="left"/>
      <w:pPr>
        <w:tabs>
          <w:tab w:val="num" w:pos="567"/>
        </w:tabs>
        <w:ind w:left="567" w:hanging="567"/>
      </w:pPr>
      <w:rPr>
        <w:rFonts w:ascii="Calibri" w:hAnsi="Calibri" w:hint="default"/>
        <w:b w:val="0"/>
        <w:i w:val="0"/>
        <w:sz w:val="24"/>
        <w:szCs w:val="24"/>
        <w:u w:val="none"/>
      </w:rPr>
    </w:lvl>
    <w:lvl w:ilvl="1">
      <w:start w:val="1"/>
      <w:numFmt w:val="decimal"/>
      <w:pStyle w:val="HBLevel2"/>
      <w:lvlText w:val="%1.%2"/>
      <w:lvlJc w:val="left"/>
      <w:pPr>
        <w:tabs>
          <w:tab w:val="num" w:pos="1134"/>
        </w:tabs>
        <w:ind w:left="1134" w:hanging="567"/>
      </w:pPr>
      <w:rPr>
        <w:rFonts w:hint="default"/>
        <w:b w:val="0"/>
        <w:i w:val="0"/>
        <w:sz w:val="22"/>
        <w:szCs w:val="20"/>
        <w:u w:val="none"/>
      </w:rPr>
    </w:lvl>
    <w:lvl w:ilvl="2">
      <w:start w:val="1"/>
      <w:numFmt w:val="decimal"/>
      <w:pStyle w:val="HBLevel3"/>
      <w:lvlText w:val="%1.%2.%3"/>
      <w:lvlJc w:val="left"/>
      <w:pPr>
        <w:tabs>
          <w:tab w:val="num" w:pos="1985"/>
        </w:tabs>
        <w:ind w:left="1985" w:hanging="851"/>
      </w:pPr>
      <w:rPr>
        <w:rFonts w:hint="default"/>
        <w:b w:val="0"/>
        <w:i w:val="0"/>
        <w:sz w:val="22"/>
        <w:szCs w:val="20"/>
      </w:rPr>
    </w:lvl>
    <w:lvl w:ilvl="3">
      <w:start w:val="1"/>
      <w:numFmt w:val="decimal"/>
      <w:lvlText w:val="%4."/>
      <w:lvlJc w:val="left"/>
      <w:pPr>
        <w:tabs>
          <w:tab w:val="num" w:pos="1701"/>
        </w:tabs>
        <w:ind w:left="1701" w:hanging="567"/>
      </w:pPr>
      <w:rPr>
        <w:rFonts w:hint="default"/>
        <w:sz w:val="18"/>
        <w:u w:val="none"/>
      </w:rPr>
    </w:lvl>
    <w:lvl w:ilvl="4">
      <w:start w:val="1"/>
      <w:numFmt w:val="lowerLetter"/>
      <w:lvlText w:val="%5."/>
      <w:lvlJc w:val="left"/>
      <w:pPr>
        <w:tabs>
          <w:tab w:val="num" w:pos="2268"/>
        </w:tabs>
        <w:ind w:left="2268" w:hanging="567"/>
      </w:pPr>
      <w:rPr>
        <w:rFonts w:hint="default"/>
        <w:b w:val="0"/>
        <w:i w:val="0"/>
        <w:smallCaps w:val="0"/>
        <w:strike w:val="0"/>
        <w:color w:val="000000"/>
        <w:u w:val="none"/>
        <w:vertAlign w:val="baseline"/>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2CD2B86"/>
    <w:multiLevelType w:val="hybridMultilevel"/>
    <w:tmpl w:val="AE7ECE5A"/>
    <w:lvl w:ilvl="0" w:tplc="EFAC574E">
      <w:start w:val="1"/>
      <w:numFmt w:val="bullet"/>
      <w:lvlText w:val=""/>
      <w:lvlJc w:val="left"/>
      <w:pPr>
        <w:tabs>
          <w:tab w:val="num" w:pos="1260"/>
        </w:tabs>
        <w:ind w:left="1260" w:hanging="720"/>
      </w:pPr>
      <w:rPr>
        <w:rFonts w:ascii="Symbol" w:hAnsi="Symbol" w:hint="default"/>
      </w:rPr>
    </w:lvl>
    <w:lvl w:ilvl="1" w:tplc="04090003">
      <w:start w:val="1"/>
      <w:numFmt w:val="bullet"/>
      <w:lvlText w:val="o"/>
      <w:lvlJc w:val="left"/>
      <w:pPr>
        <w:tabs>
          <w:tab w:val="num" w:pos="180"/>
        </w:tabs>
        <w:ind w:left="180" w:hanging="360"/>
      </w:pPr>
      <w:rPr>
        <w:rFonts w:ascii="Courier New" w:hAnsi="Courier New" w:cs="Courier New" w:hint="default"/>
      </w:rPr>
    </w:lvl>
    <w:lvl w:ilvl="2" w:tplc="04090005">
      <w:start w:val="1"/>
      <w:numFmt w:val="bullet"/>
      <w:lvlText w:val=""/>
      <w:lvlJc w:val="left"/>
      <w:pPr>
        <w:tabs>
          <w:tab w:val="num" w:pos="900"/>
        </w:tabs>
        <w:ind w:left="900" w:hanging="360"/>
      </w:pPr>
      <w:rPr>
        <w:rFonts w:ascii="Wingdings" w:hAnsi="Wingdings" w:hint="default"/>
      </w:rPr>
    </w:lvl>
    <w:lvl w:ilvl="3" w:tplc="04090001">
      <w:start w:val="1"/>
      <w:numFmt w:val="bullet"/>
      <w:lvlText w:val=""/>
      <w:lvlJc w:val="left"/>
      <w:pPr>
        <w:tabs>
          <w:tab w:val="num" w:pos="1620"/>
        </w:tabs>
        <w:ind w:left="1620" w:hanging="360"/>
      </w:pPr>
      <w:rPr>
        <w:rFonts w:ascii="Symbol" w:hAnsi="Symbol" w:hint="default"/>
      </w:rPr>
    </w:lvl>
    <w:lvl w:ilvl="4" w:tplc="04090003">
      <w:start w:val="1"/>
      <w:numFmt w:val="bullet"/>
      <w:lvlText w:val="o"/>
      <w:lvlJc w:val="left"/>
      <w:pPr>
        <w:tabs>
          <w:tab w:val="num" w:pos="2340"/>
        </w:tabs>
        <w:ind w:left="2340" w:hanging="360"/>
      </w:pPr>
      <w:rPr>
        <w:rFonts w:ascii="Courier New" w:hAnsi="Courier New" w:cs="Courier New" w:hint="default"/>
      </w:rPr>
    </w:lvl>
    <w:lvl w:ilvl="5" w:tplc="04090005">
      <w:start w:val="1"/>
      <w:numFmt w:val="bullet"/>
      <w:lvlText w:val=""/>
      <w:lvlJc w:val="left"/>
      <w:pPr>
        <w:tabs>
          <w:tab w:val="num" w:pos="3060"/>
        </w:tabs>
        <w:ind w:left="3060" w:hanging="360"/>
      </w:pPr>
      <w:rPr>
        <w:rFonts w:ascii="Wingdings" w:hAnsi="Wingdings" w:hint="default"/>
      </w:rPr>
    </w:lvl>
    <w:lvl w:ilvl="6" w:tplc="04090001">
      <w:start w:val="1"/>
      <w:numFmt w:val="bullet"/>
      <w:lvlText w:val=""/>
      <w:lvlJc w:val="left"/>
      <w:pPr>
        <w:tabs>
          <w:tab w:val="num" w:pos="3780"/>
        </w:tabs>
        <w:ind w:left="3780" w:hanging="360"/>
      </w:pPr>
      <w:rPr>
        <w:rFonts w:ascii="Symbol" w:hAnsi="Symbol" w:hint="default"/>
      </w:rPr>
    </w:lvl>
    <w:lvl w:ilvl="7" w:tplc="04090003" w:tentative="1">
      <w:start w:val="1"/>
      <w:numFmt w:val="bullet"/>
      <w:lvlText w:val="o"/>
      <w:lvlJc w:val="left"/>
      <w:pPr>
        <w:tabs>
          <w:tab w:val="num" w:pos="4500"/>
        </w:tabs>
        <w:ind w:left="4500" w:hanging="360"/>
      </w:pPr>
      <w:rPr>
        <w:rFonts w:ascii="Courier New" w:hAnsi="Courier New" w:cs="Courier New" w:hint="default"/>
      </w:rPr>
    </w:lvl>
    <w:lvl w:ilvl="8" w:tplc="04090005" w:tentative="1">
      <w:start w:val="1"/>
      <w:numFmt w:val="bullet"/>
      <w:lvlText w:val=""/>
      <w:lvlJc w:val="left"/>
      <w:pPr>
        <w:tabs>
          <w:tab w:val="num" w:pos="5220"/>
        </w:tabs>
        <w:ind w:left="5220" w:hanging="360"/>
      </w:pPr>
      <w:rPr>
        <w:rFonts w:ascii="Wingdings" w:hAnsi="Wingdings" w:hint="default"/>
      </w:rPr>
    </w:lvl>
  </w:abstractNum>
  <w:abstractNum w:abstractNumId="7" w15:restartNumberingAfterBreak="0">
    <w:nsid w:val="1EAC67CE"/>
    <w:multiLevelType w:val="hybridMultilevel"/>
    <w:tmpl w:val="1F8CBCEC"/>
    <w:lvl w:ilvl="0" w:tplc="2174DF54">
      <w:numFmt w:val="bullet"/>
      <w:lvlText w:val="•"/>
      <w:lvlJc w:val="left"/>
      <w:pPr>
        <w:ind w:left="3405" w:hanging="570"/>
      </w:pPr>
      <w:rPr>
        <w:rFonts w:ascii="Cambria" w:eastAsia="Times New Roman" w:hAnsi="Cambria" w:cs="Calibri"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8" w15:restartNumberingAfterBreak="0">
    <w:nsid w:val="33977423"/>
    <w:multiLevelType w:val="multilevel"/>
    <w:tmpl w:val="638A28CC"/>
    <w:lvl w:ilvl="0">
      <w:start w:val="1"/>
      <w:numFmt w:val="upperLetter"/>
      <w:lvlText w:val="Annexure %1."/>
      <w:lvlJc w:val="left"/>
      <w:pPr>
        <w:tabs>
          <w:tab w:val="num" w:pos="567"/>
        </w:tabs>
        <w:ind w:left="567" w:hanging="567"/>
      </w:pPr>
      <w:rPr>
        <w:rFonts w:hint="default"/>
      </w:rPr>
    </w:lvl>
    <w:lvl w:ilvl="1">
      <w:start w:val="1"/>
      <w:numFmt w:val="decimal"/>
      <w:lvlText w:val="%1%2."/>
      <w:lvlJc w:val="left"/>
      <w:pPr>
        <w:ind w:left="567" w:hanging="567"/>
      </w:pPr>
      <w:rPr>
        <w:rFonts w:hint="default"/>
      </w:rPr>
    </w:lvl>
    <w:lvl w:ilvl="2">
      <w:start w:val="1"/>
      <w:numFmt w:val="lowerLetter"/>
      <w:lvlRestart w:val="1"/>
      <w:lvlText w:val="%3)"/>
      <w:lvlJc w:val="left"/>
      <w:pPr>
        <w:ind w:left="1134" w:hanging="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A3244B5"/>
    <w:multiLevelType w:val="multilevel"/>
    <w:tmpl w:val="D7F090A0"/>
    <w:lvl w:ilvl="0">
      <w:start w:val="1"/>
      <w:numFmt w:val="upperLetter"/>
      <w:pStyle w:val="Annexure"/>
      <w:suff w:val="nothing"/>
      <w:lvlText w:val="Annexure %1 -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9DA7790"/>
    <w:multiLevelType w:val="hybridMultilevel"/>
    <w:tmpl w:val="67E06CD6"/>
    <w:lvl w:ilvl="0" w:tplc="ED3A89CA">
      <w:start w:val="1"/>
      <w:numFmt w:val="decimal"/>
      <w:pStyle w:val="List"/>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5EE41F1F"/>
    <w:multiLevelType w:val="multilevel"/>
    <w:tmpl w:val="BFE8A588"/>
    <w:lvl w:ilvl="0">
      <w:start w:val="1"/>
      <w:numFmt w:val="decimal"/>
      <w:pStyle w:val="Heading1"/>
      <w:lvlText w:val="CHAPTER %1"/>
      <w:lvlJc w:val="left"/>
      <w:pPr>
        <w:ind w:left="567" w:hanging="567"/>
      </w:pPr>
      <w:rPr>
        <w:rFonts w:ascii="Cambria" w:hAnsi="Cambria" w:hint="default"/>
        <w:b/>
        <w:i w:val="0"/>
        <w:caps/>
        <w:sz w:val="36"/>
        <w:szCs w:val="24"/>
        <w:u w:val="none"/>
      </w:rPr>
    </w:lvl>
    <w:lvl w:ilvl="1">
      <w:start w:val="1"/>
      <w:numFmt w:val="decimal"/>
      <w:pStyle w:val="Heading2"/>
      <w:lvlText w:val="%1.%2"/>
      <w:lvlJc w:val="left"/>
      <w:pPr>
        <w:tabs>
          <w:tab w:val="num" w:pos="1135"/>
        </w:tabs>
        <w:ind w:left="567" w:hanging="567"/>
      </w:pPr>
      <w:rPr>
        <w:rFonts w:hint="default"/>
        <w:b w:val="0"/>
        <w:i w:val="0"/>
        <w:sz w:val="28"/>
        <w:szCs w:val="20"/>
        <w:u w:val="none"/>
      </w:rPr>
    </w:lvl>
    <w:lvl w:ilvl="2">
      <w:start w:val="1"/>
      <w:numFmt w:val="decimal"/>
      <w:pStyle w:val="Heading3"/>
      <w:lvlText w:val="%1.%2.%3."/>
      <w:lvlJc w:val="left"/>
      <w:pPr>
        <w:tabs>
          <w:tab w:val="num" w:pos="1134"/>
        </w:tabs>
        <w:ind w:left="1134" w:hanging="567"/>
      </w:pPr>
      <w:rPr>
        <w:rFonts w:hint="default"/>
        <w:b w:val="0"/>
        <w:i w:val="0"/>
        <w:sz w:val="22"/>
        <w:szCs w:val="20"/>
      </w:rPr>
    </w:lvl>
    <w:lvl w:ilvl="3">
      <w:start w:val="1"/>
      <w:numFmt w:val="decimal"/>
      <w:pStyle w:val="Heading4"/>
      <w:lvlText w:val="%4."/>
      <w:lvlJc w:val="left"/>
      <w:pPr>
        <w:tabs>
          <w:tab w:val="num" w:pos="1701"/>
        </w:tabs>
        <w:ind w:left="1701" w:hanging="567"/>
      </w:pPr>
      <w:rPr>
        <w:rFonts w:hint="default"/>
        <w:sz w:val="20"/>
        <w:u w:val="none"/>
      </w:rPr>
    </w:lvl>
    <w:lvl w:ilvl="4">
      <w:start w:val="1"/>
      <w:numFmt w:val="lowerLetter"/>
      <w:pStyle w:val="Heading5"/>
      <w:lvlText w:val="%5."/>
      <w:lvlJc w:val="left"/>
      <w:pPr>
        <w:tabs>
          <w:tab w:val="num" w:pos="2268"/>
        </w:tabs>
        <w:ind w:left="2268" w:hanging="567"/>
      </w:pPr>
      <w:rPr>
        <w:rFonts w:hint="default"/>
        <w:b w:val="0"/>
        <w:i w:val="0"/>
        <w:smallCaps w:val="0"/>
        <w:strike w:val="0"/>
        <w:color w:val="000000"/>
        <w:u w:val="none"/>
        <w:vertAlign w:val="baseline"/>
      </w:rPr>
    </w:lvl>
    <w:lvl w:ilvl="5">
      <w:start w:val="1"/>
      <w:numFmt w:val="lowerRoman"/>
      <w:pStyle w:val="Heading6"/>
      <w:lvlText w:val="(%6)"/>
      <w:lvlJc w:val="left"/>
      <w:pPr>
        <w:tabs>
          <w:tab w:val="num" w:pos="2835"/>
        </w:tabs>
        <w:ind w:left="2835" w:hanging="567"/>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25148895">
    <w:abstractNumId w:val="11"/>
  </w:num>
  <w:num w:numId="2" w16cid:durableId="1463233148">
    <w:abstractNumId w:val="4"/>
  </w:num>
  <w:num w:numId="3" w16cid:durableId="161893090">
    <w:abstractNumId w:val="3"/>
  </w:num>
  <w:num w:numId="4" w16cid:durableId="399131748">
    <w:abstractNumId w:val="1"/>
  </w:num>
  <w:num w:numId="5" w16cid:durableId="1002467617">
    <w:abstractNumId w:val="0"/>
  </w:num>
  <w:num w:numId="6" w16cid:durableId="71246101">
    <w:abstractNumId w:val="2"/>
  </w:num>
  <w:num w:numId="7" w16cid:durableId="1035277294">
    <w:abstractNumId w:val="10"/>
  </w:num>
  <w:num w:numId="8" w16cid:durableId="1113866967">
    <w:abstractNumId w:val="5"/>
  </w:num>
  <w:num w:numId="9" w16cid:durableId="2121141919">
    <w:abstractNumId w:val="3"/>
    <w:lvlOverride w:ilvl="0">
      <w:startOverride w:val="1"/>
    </w:lvlOverride>
  </w:num>
  <w:num w:numId="10" w16cid:durableId="729350254">
    <w:abstractNumId w:val="8"/>
  </w:num>
  <w:num w:numId="11" w16cid:durableId="651760201">
    <w:abstractNumId w:val="9"/>
  </w:num>
  <w:num w:numId="12" w16cid:durableId="1762749980">
    <w:abstractNumId w:val="6"/>
  </w:num>
  <w:num w:numId="13" w16cid:durableId="8646283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16"/>
    <w:rsid w:val="00000183"/>
    <w:rsid w:val="0000127D"/>
    <w:rsid w:val="00003ABF"/>
    <w:rsid w:val="00003AFA"/>
    <w:rsid w:val="00016CC1"/>
    <w:rsid w:val="00017A51"/>
    <w:rsid w:val="00020134"/>
    <w:rsid w:val="00023E44"/>
    <w:rsid w:val="00024ADA"/>
    <w:rsid w:val="0002772B"/>
    <w:rsid w:val="000323E6"/>
    <w:rsid w:val="00032A71"/>
    <w:rsid w:val="000336D9"/>
    <w:rsid w:val="000404CD"/>
    <w:rsid w:val="00040559"/>
    <w:rsid w:val="00042DAE"/>
    <w:rsid w:val="00043A3B"/>
    <w:rsid w:val="00045797"/>
    <w:rsid w:val="00045C0C"/>
    <w:rsid w:val="00052D53"/>
    <w:rsid w:val="00054D17"/>
    <w:rsid w:val="00056B5A"/>
    <w:rsid w:val="00057226"/>
    <w:rsid w:val="000628EA"/>
    <w:rsid w:val="0006691C"/>
    <w:rsid w:val="00080065"/>
    <w:rsid w:val="000811C1"/>
    <w:rsid w:val="000869FF"/>
    <w:rsid w:val="00086B53"/>
    <w:rsid w:val="00092B99"/>
    <w:rsid w:val="000A0E80"/>
    <w:rsid w:val="000A7B37"/>
    <w:rsid w:val="000B3F51"/>
    <w:rsid w:val="000C372E"/>
    <w:rsid w:val="000C5ABC"/>
    <w:rsid w:val="000C7AAB"/>
    <w:rsid w:val="000D51EC"/>
    <w:rsid w:val="000F25B3"/>
    <w:rsid w:val="000F55D8"/>
    <w:rsid w:val="00114457"/>
    <w:rsid w:val="001169DF"/>
    <w:rsid w:val="001212C3"/>
    <w:rsid w:val="00123AD1"/>
    <w:rsid w:val="00124659"/>
    <w:rsid w:val="0012546E"/>
    <w:rsid w:val="00127D39"/>
    <w:rsid w:val="00131C3D"/>
    <w:rsid w:val="00132E68"/>
    <w:rsid w:val="001401E7"/>
    <w:rsid w:val="00147719"/>
    <w:rsid w:val="00151D45"/>
    <w:rsid w:val="001544B6"/>
    <w:rsid w:val="001578D6"/>
    <w:rsid w:val="00162ECE"/>
    <w:rsid w:val="0016388C"/>
    <w:rsid w:val="00170880"/>
    <w:rsid w:val="0018747F"/>
    <w:rsid w:val="00191880"/>
    <w:rsid w:val="00193805"/>
    <w:rsid w:val="001962BE"/>
    <w:rsid w:val="001A1B6D"/>
    <w:rsid w:val="001B0F45"/>
    <w:rsid w:val="001B5213"/>
    <w:rsid w:val="001C3228"/>
    <w:rsid w:val="001C5C71"/>
    <w:rsid w:val="001D1942"/>
    <w:rsid w:val="001D5620"/>
    <w:rsid w:val="001E3746"/>
    <w:rsid w:val="001E698C"/>
    <w:rsid w:val="002139E6"/>
    <w:rsid w:val="0021784C"/>
    <w:rsid w:val="00222707"/>
    <w:rsid w:val="0023184C"/>
    <w:rsid w:val="0023536C"/>
    <w:rsid w:val="0024172F"/>
    <w:rsid w:val="00242411"/>
    <w:rsid w:val="00242835"/>
    <w:rsid w:val="00245104"/>
    <w:rsid w:val="0024588E"/>
    <w:rsid w:val="0026267A"/>
    <w:rsid w:val="00276283"/>
    <w:rsid w:val="002876F5"/>
    <w:rsid w:val="002914DA"/>
    <w:rsid w:val="002A6D28"/>
    <w:rsid w:val="002B0028"/>
    <w:rsid w:val="002B33F0"/>
    <w:rsid w:val="002B3651"/>
    <w:rsid w:val="002B6440"/>
    <w:rsid w:val="002C6A8E"/>
    <w:rsid w:val="002D3F4C"/>
    <w:rsid w:val="002E284C"/>
    <w:rsid w:val="002E6B61"/>
    <w:rsid w:val="00310AC6"/>
    <w:rsid w:val="003238EC"/>
    <w:rsid w:val="00324704"/>
    <w:rsid w:val="00345A52"/>
    <w:rsid w:val="00351554"/>
    <w:rsid w:val="00352C71"/>
    <w:rsid w:val="00360DA3"/>
    <w:rsid w:val="0037326F"/>
    <w:rsid w:val="0037341B"/>
    <w:rsid w:val="00373C8A"/>
    <w:rsid w:val="003802B1"/>
    <w:rsid w:val="003822D0"/>
    <w:rsid w:val="00392950"/>
    <w:rsid w:val="003955F4"/>
    <w:rsid w:val="003974D8"/>
    <w:rsid w:val="003A2B4F"/>
    <w:rsid w:val="003A6FBA"/>
    <w:rsid w:val="003B0DDE"/>
    <w:rsid w:val="003B1410"/>
    <w:rsid w:val="003B15EA"/>
    <w:rsid w:val="003B6860"/>
    <w:rsid w:val="003B7993"/>
    <w:rsid w:val="003C161F"/>
    <w:rsid w:val="003C3131"/>
    <w:rsid w:val="003C668F"/>
    <w:rsid w:val="003D0431"/>
    <w:rsid w:val="003D3B18"/>
    <w:rsid w:val="003D65B8"/>
    <w:rsid w:val="003E344F"/>
    <w:rsid w:val="003E3C1C"/>
    <w:rsid w:val="003E535A"/>
    <w:rsid w:val="003F3C96"/>
    <w:rsid w:val="00417518"/>
    <w:rsid w:val="00426D4A"/>
    <w:rsid w:val="0043019D"/>
    <w:rsid w:val="004442AD"/>
    <w:rsid w:val="00450D66"/>
    <w:rsid w:val="0045541C"/>
    <w:rsid w:val="00456F97"/>
    <w:rsid w:val="00457263"/>
    <w:rsid w:val="00461BFF"/>
    <w:rsid w:val="00465767"/>
    <w:rsid w:val="00481E6E"/>
    <w:rsid w:val="004918D1"/>
    <w:rsid w:val="004B7CF2"/>
    <w:rsid w:val="004C29F7"/>
    <w:rsid w:val="004C3D47"/>
    <w:rsid w:val="004C44A7"/>
    <w:rsid w:val="004C53E3"/>
    <w:rsid w:val="004D119F"/>
    <w:rsid w:val="004D316D"/>
    <w:rsid w:val="004D4FEF"/>
    <w:rsid w:val="004D6BB7"/>
    <w:rsid w:val="004E1108"/>
    <w:rsid w:val="004F05E5"/>
    <w:rsid w:val="005134FB"/>
    <w:rsid w:val="00513B41"/>
    <w:rsid w:val="005240F5"/>
    <w:rsid w:val="00526A01"/>
    <w:rsid w:val="005351F2"/>
    <w:rsid w:val="0054009A"/>
    <w:rsid w:val="00540D81"/>
    <w:rsid w:val="00542FBA"/>
    <w:rsid w:val="005462B2"/>
    <w:rsid w:val="00547172"/>
    <w:rsid w:val="00550E08"/>
    <w:rsid w:val="00552D85"/>
    <w:rsid w:val="00553BC7"/>
    <w:rsid w:val="005623F9"/>
    <w:rsid w:val="005668A8"/>
    <w:rsid w:val="0057360A"/>
    <w:rsid w:val="005752B1"/>
    <w:rsid w:val="00577792"/>
    <w:rsid w:val="00581368"/>
    <w:rsid w:val="00584EE4"/>
    <w:rsid w:val="00585000"/>
    <w:rsid w:val="0058586D"/>
    <w:rsid w:val="00593807"/>
    <w:rsid w:val="00597FF0"/>
    <w:rsid w:val="005B3A65"/>
    <w:rsid w:val="005B428E"/>
    <w:rsid w:val="005B44F9"/>
    <w:rsid w:val="005B79CA"/>
    <w:rsid w:val="005C1823"/>
    <w:rsid w:val="005C195D"/>
    <w:rsid w:val="005E378F"/>
    <w:rsid w:val="005F558D"/>
    <w:rsid w:val="00603A7F"/>
    <w:rsid w:val="00610A8F"/>
    <w:rsid w:val="00621AD5"/>
    <w:rsid w:val="00622EC9"/>
    <w:rsid w:val="006343E7"/>
    <w:rsid w:val="006347D9"/>
    <w:rsid w:val="00641B68"/>
    <w:rsid w:val="0064419D"/>
    <w:rsid w:val="00645F56"/>
    <w:rsid w:val="00650DA1"/>
    <w:rsid w:val="00656019"/>
    <w:rsid w:val="006576C1"/>
    <w:rsid w:val="00657A99"/>
    <w:rsid w:val="00662EA9"/>
    <w:rsid w:val="00665839"/>
    <w:rsid w:val="006679DA"/>
    <w:rsid w:val="00670154"/>
    <w:rsid w:val="006713FA"/>
    <w:rsid w:val="00672307"/>
    <w:rsid w:val="006744FB"/>
    <w:rsid w:val="0067612D"/>
    <w:rsid w:val="006832DE"/>
    <w:rsid w:val="00683C4C"/>
    <w:rsid w:val="006957BE"/>
    <w:rsid w:val="006A066E"/>
    <w:rsid w:val="006A2D3A"/>
    <w:rsid w:val="006A5E53"/>
    <w:rsid w:val="006A65AA"/>
    <w:rsid w:val="006A7374"/>
    <w:rsid w:val="006B3D8B"/>
    <w:rsid w:val="006B41D8"/>
    <w:rsid w:val="006B4A27"/>
    <w:rsid w:val="006D0116"/>
    <w:rsid w:val="006D1E10"/>
    <w:rsid w:val="006D6964"/>
    <w:rsid w:val="006E014D"/>
    <w:rsid w:val="006F4E50"/>
    <w:rsid w:val="006F6995"/>
    <w:rsid w:val="007021BD"/>
    <w:rsid w:val="00706ED0"/>
    <w:rsid w:val="00717252"/>
    <w:rsid w:val="007201BF"/>
    <w:rsid w:val="0072441D"/>
    <w:rsid w:val="00734F26"/>
    <w:rsid w:val="00736F15"/>
    <w:rsid w:val="00745B6D"/>
    <w:rsid w:val="0074638B"/>
    <w:rsid w:val="00754C62"/>
    <w:rsid w:val="00757E4B"/>
    <w:rsid w:val="0076207A"/>
    <w:rsid w:val="007707AE"/>
    <w:rsid w:val="00772CE1"/>
    <w:rsid w:val="00782BBD"/>
    <w:rsid w:val="00785FFE"/>
    <w:rsid w:val="007968DB"/>
    <w:rsid w:val="007A0FA0"/>
    <w:rsid w:val="007A1113"/>
    <w:rsid w:val="007A2036"/>
    <w:rsid w:val="007B4A98"/>
    <w:rsid w:val="007B5EC6"/>
    <w:rsid w:val="007C31CB"/>
    <w:rsid w:val="007C3949"/>
    <w:rsid w:val="007C3ABD"/>
    <w:rsid w:val="007D16EE"/>
    <w:rsid w:val="007D44D3"/>
    <w:rsid w:val="007D6F5F"/>
    <w:rsid w:val="007E02F0"/>
    <w:rsid w:val="007E1DAC"/>
    <w:rsid w:val="007E53F8"/>
    <w:rsid w:val="007F214B"/>
    <w:rsid w:val="0080642D"/>
    <w:rsid w:val="00807F9A"/>
    <w:rsid w:val="00811780"/>
    <w:rsid w:val="00823797"/>
    <w:rsid w:val="00824232"/>
    <w:rsid w:val="00827B27"/>
    <w:rsid w:val="0083319F"/>
    <w:rsid w:val="0084251D"/>
    <w:rsid w:val="00846CA6"/>
    <w:rsid w:val="00852848"/>
    <w:rsid w:val="00857200"/>
    <w:rsid w:val="00871512"/>
    <w:rsid w:val="008763FA"/>
    <w:rsid w:val="0088177F"/>
    <w:rsid w:val="00883A3B"/>
    <w:rsid w:val="00894EDE"/>
    <w:rsid w:val="00895865"/>
    <w:rsid w:val="00897F6F"/>
    <w:rsid w:val="008A760A"/>
    <w:rsid w:val="008C0115"/>
    <w:rsid w:val="008D3F6B"/>
    <w:rsid w:val="008D4CD9"/>
    <w:rsid w:val="008D5CD1"/>
    <w:rsid w:val="008D7959"/>
    <w:rsid w:val="008E2A6E"/>
    <w:rsid w:val="008E41C9"/>
    <w:rsid w:val="008E6766"/>
    <w:rsid w:val="008E67AE"/>
    <w:rsid w:val="008F6394"/>
    <w:rsid w:val="00903A6F"/>
    <w:rsid w:val="00904BAB"/>
    <w:rsid w:val="0091431E"/>
    <w:rsid w:val="009149E5"/>
    <w:rsid w:val="00936474"/>
    <w:rsid w:val="009451CE"/>
    <w:rsid w:val="00952DFA"/>
    <w:rsid w:val="00967F97"/>
    <w:rsid w:val="00970CB9"/>
    <w:rsid w:val="00974D90"/>
    <w:rsid w:val="00975BEC"/>
    <w:rsid w:val="00977D7A"/>
    <w:rsid w:val="00980A6F"/>
    <w:rsid w:val="00983499"/>
    <w:rsid w:val="009954EE"/>
    <w:rsid w:val="00996C2B"/>
    <w:rsid w:val="009A14DA"/>
    <w:rsid w:val="009A1B15"/>
    <w:rsid w:val="009A36C3"/>
    <w:rsid w:val="009A59D7"/>
    <w:rsid w:val="009A5ECE"/>
    <w:rsid w:val="009B076B"/>
    <w:rsid w:val="009B5392"/>
    <w:rsid w:val="009B6553"/>
    <w:rsid w:val="009B7FD1"/>
    <w:rsid w:val="009C43C9"/>
    <w:rsid w:val="009D2A45"/>
    <w:rsid w:val="009D3995"/>
    <w:rsid w:val="009E271F"/>
    <w:rsid w:val="009E339A"/>
    <w:rsid w:val="009F22E8"/>
    <w:rsid w:val="009F45EB"/>
    <w:rsid w:val="009F677B"/>
    <w:rsid w:val="009F76F9"/>
    <w:rsid w:val="00A00C46"/>
    <w:rsid w:val="00A066EB"/>
    <w:rsid w:val="00A073D7"/>
    <w:rsid w:val="00A10523"/>
    <w:rsid w:val="00A14985"/>
    <w:rsid w:val="00A222A7"/>
    <w:rsid w:val="00A22BDA"/>
    <w:rsid w:val="00A25123"/>
    <w:rsid w:val="00A2762D"/>
    <w:rsid w:val="00A34D1B"/>
    <w:rsid w:val="00A35F0C"/>
    <w:rsid w:val="00A54B7E"/>
    <w:rsid w:val="00A563F4"/>
    <w:rsid w:val="00A5661A"/>
    <w:rsid w:val="00A6437D"/>
    <w:rsid w:val="00A6683A"/>
    <w:rsid w:val="00A77954"/>
    <w:rsid w:val="00A858DC"/>
    <w:rsid w:val="00A85BBF"/>
    <w:rsid w:val="00A8701D"/>
    <w:rsid w:val="00A9622F"/>
    <w:rsid w:val="00AB06A9"/>
    <w:rsid w:val="00AB23CA"/>
    <w:rsid w:val="00AB4390"/>
    <w:rsid w:val="00AC1D2C"/>
    <w:rsid w:val="00AC52D1"/>
    <w:rsid w:val="00AC7381"/>
    <w:rsid w:val="00AD3A01"/>
    <w:rsid w:val="00AE1975"/>
    <w:rsid w:val="00AE21E2"/>
    <w:rsid w:val="00AE2C82"/>
    <w:rsid w:val="00AE3990"/>
    <w:rsid w:val="00AE6121"/>
    <w:rsid w:val="00AF3895"/>
    <w:rsid w:val="00B02124"/>
    <w:rsid w:val="00B03500"/>
    <w:rsid w:val="00B053A2"/>
    <w:rsid w:val="00B07B0F"/>
    <w:rsid w:val="00B1281B"/>
    <w:rsid w:val="00B13099"/>
    <w:rsid w:val="00B14C04"/>
    <w:rsid w:val="00B152B4"/>
    <w:rsid w:val="00B273B7"/>
    <w:rsid w:val="00B31981"/>
    <w:rsid w:val="00B503C4"/>
    <w:rsid w:val="00B5079A"/>
    <w:rsid w:val="00B632A0"/>
    <w:rsid w:val="00B65459"/>
    <w:rsid w:val="00B6618B"/>
    <w:rsid w:val="00B72994"/>
    <w:rsid w:val="00B7363C"/>
    <w:rsid w:val="00B802E0"/>
    <w:rsid w:val="00B8678C"/>
    <w:rsid w:val="00B92373"/>
    <w:rsid w:val="00BA15AE"/>
    <w:rsid w:val="00BB179F"/>
    <w:rsid w:val="00BB269C"/>
    <w:rsid w:val="00BB3F35"/>
    <w:rsid w:val="00BB5128"/>
    <w:rsid w:val="00BB6376"/>
    <w:rsid w:val="00BC65F8"/>
    <w:rsid w:val="00BC7D33"/>
    <w:rsid w:val="00BD42D9"/>
    <w:rsid w:val="00BD7AFC"/>
    <w:rsid w:val="00BF283D"/>
    <w:rsid w:val="00BF44F5"/>
    <w:rsid w:val="00C00920"/>
    <w:rsid w:val="00C01203"/>
    <w:rsid w:val="00C06713"/>
    <w:rsid w:val="00C07B32"/>
    <w:rsid w:val="00C12449"/>
    <w:rsid w:val="00C179FA"/>
    <w:rsid w:val="00C22A49"/>
    <w:rsid w:val="00C27D7A"/>
    <w:rsid w:val="00C375F5"/>
    <w:rsid w:val="00C46D92"/>
    <w:rsid w:val="00C534DF"/>
    <w:rsid w:val="00C53F5A"/>
    <w:rsid w:val="00C55D9F"/>
    <w:rsid w:val="00C577AB"/>
    <w:rsid w:val="00C6460F"/>
    <w:rsid w:val="00C700B9"/>
    <w:rsid w:val="00C71F3C"/>
    <w:rsid w:val="00C74674"/>
    <w:rsid w:val="00C80F74"/>
    <w:rsid w:val="00C92230"/>
    <w:rsid w:val="00C956BC"/>
    <w:rsid w:val="00C9592B"/>
    <w:rsid w:val="00CA0942"/>
    <w:rsid w:val="00CA230B"/>
    <w:rsid w:val="00CA26B8"/>
    <w:rsid w:val="00CA2CB6"/>
    <w:rsid w:val="00CA7FB7"/>
    <w:rsid w:val="00CB098D"/>
    <w:rsid w:val="00CB19BC"/>
    <w:rsid w:val="00CB1EC2"/>
    <w:rsid w:val="00CC5291"/>
    <w:rsid w:val="00CD189B"/>
    <w:rsid w:val="00CD4D17"/>
    <w:rsid w:val="00CD7F2E"/>
    <w:rsid w:val="00CE0C37"/>
    <w:rsid w:val="00CF17D5"/>
    <w:rsid w:val="00CF1840"/>
    <w:rsid w:val="00CF5CCF"/>
    <w:rsid w:val="00CF6A50"/>
    <w:rsid w:val="00CF6FFD"/>
    <w:rsid w:val="00D02B40"/>
    <w:rsid w:val="00D060C1"/>
    <w:rsid w:val="00D06737"/>
    <w:rsid w:val="00D164A2"/>
    <w:rsid w:val="00D201B7"/>
    <w:rsid w:val="00D20782"/>
    <w:rsid w:val="00D25AAF"/>
    <w:rsid w:val="00D32024"/>
    <w:rsid w:val="00D335FB"/>
    <w:rsid w:val="00D3595B"/>
    <w:rsid w:val="00D40E51"/>
    <w:rsid w:val="00D42C04"/>
    <w:rsid w:val="00D473EA"/>
    <w:rsid w:val="00D52ECA"/>
    <w:rsid w:val="00D52F10"/>
    <w:rsid w:val="00D5665A"/>
    <w:rsid w:val="00D5735B"/>
    <w:rsid w:val="00D60F4E"/>
    <w:rsid w:val="00D65057"/>
    <w:rsid w:val="00D700C7"/>
    <w:rsid w:val="00D76A77"/>
    <w:rsid w:val="00D80BDF"/>
    <w:rsid w:val="00D80E9C"/>
    <w:rsid w:val="00DA5D58"/>
    <w:rsid w:val="00DB577E"/>
    <w:rsid w:val="00DC0A50"/>
    <w:rsid w:val="00DC61C9"/>
    <w:rsid w:val="00DD09CE"/>
    <w:rsid w:val="00DD5C42"/>
    <w:rsid w:val="00DD63CE"/>
    <w:rsid w:val="00DE3E30"/>
    <w:rsid w:val="00DE7F7A"/>
    <w:rsid w:val="00DF318C"/>
    <w:rsid w:val="00E037D9"/>
    <w:rsid w:val="00E056D9"/>
    <w:rsid w:val="00E141AE"/>
    <w:rsid w:val="00E15FB8"/>
    <w:rsid w:val="00E20F71"/>
    <w:rsid w:val="00E227FC"/>
    <w:rsid w:val="00E2626F"/>
    <w:rsid w:val="00E30418"/>
    <w:rsid w:val="00E35F9A"/>
    <w:rsid w:val="00E366C1"/>
    <w:rsid w:val="00E367ED"/>
    <w:rsid w:val="00E372C3"/>
    <w:rsid w:val="00E44B9D"/>
    <w:rsid w:val="00E51040"/>
    <w:rsid w:val="00E528E1"/>
    <w:rsid w:val="00E62E3B"/>
    <w:rsid w:val="00E72C16"/>
    <w:rsid w:val="00E75C41"/>
    <w:rsid w:val="00E7618B"/>
    <w:rsid w:val="00E77424"/>
    <w:rsid w:val="00E77AB1"/>
    <w:rsid w:val="00E81287"/>
    <w:rsid w:val="00E853A8"/>
    <w:rsid w:val="00E901E1"/>
    <w:rsid w:val="00E958E9"/>
    <w:rsid w:val="00EA2ADE"/>
    <w:rsid w:val="00EB2ACD"/>
    <w:rsid w:val="00EB58DA"/>
    <w:rsid w:val="00EB5C06"/>
    <w:rsid w:val="00ED46C0"/>
    <w:rsid w:val="00ED5D0A"/>
    <w:rsid w:val="00EE187A"/>
    <w:rsid w:val="00EE4320"/>
    <w:rsid w:val="00EF2343"/>
    <w:rsid w:val="00EF3FD6"/>
    <w:rsid w:val="00EF4D0F"/>
    <w:rsid w:val="00EF4E7C"/>
    <w:rsid w:val="00EF6998"/>
    <w:rsid w:val="00F055CD"/>
    <w:rsid w:val="00F07294"/>
    <w:rsid w:val="00F07389"/>
    <w:rsid w:val="00F12D64"/>
    <w:rsid w:val="00F17253"/>
    <w:rsid w:val="00F20251"/>
    <w:rsid w:val="00F270F2"/>
    <w:rsid w:val="00F306B5"/>
    <w:rsid w:val="00F37650"/>
    <w:rsid w:val="00F40EBE"/>
    <w:rsid w:val="00F42E6E"/>
    <w:rsid w:val="00F46863"/>
    <w:rsid w:val="00F47F16"/>
    <w:rsid w:val="00F51A29"/>
    <w:rsid w:val="00F5476B"/>
    <w:rsid w:val="00F55AC5"/>
    <w:rsid w:val="00F563C0"/>
    <w:rsid w:val="00F65E50"/>
    <w:rsid w:val="00F73C6E"/>
    <w:rsid w:val="00F7784A"/>
    <w:rsid w:val="00FA01A6"/>
    <w:rsid w:val="00FA7E85"/>
    <w:rsid w:val="00FB1F24"/>
    <w:rsid w:val="00FB76EA"/>
    <w:rsid w:val="00FC2197"/>
    <w:rsid w:val="00FC3459"/>
    <w:rsid w:val="00FC3E8A"/>
    <w:rsid w:val="00FC558A"/>
    <w:rsid w:val="00FD1113"/>
    <w:rsid w:val="00FE2C0A"/>
    <w:rsid w:val="00FF32DF"/>
    <w:rsid w:val="00FF5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5A6B2"/>
  <w15:docId w15:val="{9EB64DF5-7F55-481E-9533-DEDF046F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US" w:bidi="ar-SA"/>
      </w:rPr>
    </w:rPrDefault>
    <w:pPrDefault>
      <w:pPr>
        <w:widowControl w:val="0"/>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E20F71"/>
    <w:pPr>
      <w:tabs>
        <w:tab w:val="left" w:pos="567"/>
        <w:tab w:val="left" w:pos="1134"/>
        <w:tab w:val="left" w:pos="1701"/>
        <w:tab w:val="left" w:pos="2268"/>
        <w:tab w:val="left" w:pos="2835"/>
        <w:tab w:val="left" w:pos="3402"/>
      </w:tabs>
      <w:jc w:val="both"/>
    </w:pPr>
    <w:rPr>
      <w:rFonts w:ascii="Cambria" w:eastAsia="Times New Roman" w:hAnsi="Cambria"/>
      <w:sz w:val="22"/>
    </w:rPr>
  </w:style>
  <w:style w:type="paragraph" w:styleId="Heading1">
    <w:name w:val="heading 1"/>
    <w:basedOn w:val="Normal"/>
    <w:next w:val="Heading2"/>
    <w:link w:val="Heading1Char"/>
    <w:qFormat/>
    <w:rsid w:val="004B7CF2"/>
    <w:pPr>
      <w:keepNext/>
      <w:keepLines/>
      <w:pageBreakBefore/>
      <w:numPr>
        <w:numId w:val="1"/>
      </w:numPr>
      <w:spacing w:before="100" w:beforeAutospacing="1" w:after="240" w:line="240" w:lineRule="auto"/>
      <w:outlineLvl w:val="0"/>
    </w:pPr>
    <w:rPr>
      <w:b/>
      <w:smallCaps/>
      <w:color w:val="334166"/>
      <w:sz w:val="36"/>
      <w:szCs w:val="36"/>
    </w:rPr>
  </w:style>
  <w:style w:type="paragraph" w:styleId="Heading2">
    <w:name w:val="heading 2"/>
    <w:basedOn w:val="Normal"/>
    <w:link w:val="Heading2Char"/>
    <w:unhideWhenUsed/>
    <w:qFormat/>
    <w:rsid w:val="004B7CF2"/>
    <w:pPr>
      <w:keepLines/>
      <w:numPr>
        <w:ilvl w:val="1"/>
        <w:numId w:val="1"/>
      </w:numPr>
      <w:tabs>
        <w:tab w:val="clear" w:pos="567"/>
        <w:tab w:val="clear" w:pos="1135"/>
      </w:tabs>
      <w:spacing w:before="240" w:after="120" w:line="240" w:lineRule="auto"/>
      <w:contextualSpacing/>
      <w:jc w:val="left"/>
      <w:outlineLvl w:val="1"/>
    </w:pPr>
    <w:rPr>
      <w:b/>
      <w:color w:val="334166"/>
      <w:sz w:val="28"/>
      <w:szCs w:val="28"/>
    </w:rPr>
  </w:style>
  <w:style w:type="paragraph" w:styleId="Heading3">
    <w:name w:val="heading 3"/>
    <w:basedOn w:val="Normal"/>
    <w:link w:val="Heading3Char"/>
    <w:unhideWhenUsed/>
    <w:qFormat/>
    <w:rsid w:val="004B7CF2"/>
    <w:pPr>
      <w:keepLines/>
      <w:numPr>
        <w:ilvl w:val="2"/>
        <w:numId w:val="1"/>
      </w:numPr>
      <w:tabs>
        <w:tab w:val="clear" w:pos="567"/>
        <w:tab w:val="clear" w:pos="1134"/>
        <w:tab w:val="left" w:pos="851"/>
      </w:tabs>
      <w:spacing w:before="100" w:beforeAutospacing="1" w:after="100" w:afterAutospacing="1"/>
      <w:contextualSpacing/>
      <w:jc w:val="left"/>
      <w:outlineLvl w:val="2"/>
    </w:pPr>
    <w:rPr>
      <w:sz w:val="24"/>
    </w:rPr>
  </w:style>
  <w:style w:type="paragraph" w:styleId="Heading4">
    <w:name w:val="heading 4"/>
    <w:basedOn w:val="Normal"/>
    <w:link w:val="Heading4Char"/>
    <w:unhideWhenUsed/>
    <w:qFormat/>
    <w:rsid w:val="004B7CF2"/>
    <w:pPr>
      <w:keepLines/>
      <w:numPr>
        <w:ilvl w:val="3"/>
        <w:numId w:val="1"/>
      </w:numPr>
      <w:tabs>
        <w:tab w:val="clear" w:pos="567"/>
        <w:tab w:val="clear" w:pos="1134"/>
        <w:tab w:val="clear" w:pos="1701"/>
        <w:tab w:val="clear" w:pos="2268"/>
        <w:tab w:val="clear" w:pos="2835"/>
        <w:tab w:val="clear" w:pos="3402"/>
      </w:tabs>
      <w:spacing w:before="100" w:beforeAutospacing="1" w:after="100" w:afterAutospacing="1" w:line="288" w:lineRule="auto"/>
      <w:outlineLvl w:val="3"/>
    </w:pPr>
    <w:rPr>
      <w:sz w:val="24"/>
      <w:szCs w:val="72"/>
    </w:rPr>
  </w:style>
  <w:style w:type="paragraph" w:styleId="Heading5">
    <w:name w:val="heading 5"/>
    <w:basedOn w:val="Body0"/>
    <w:link w:val="Heading5Char"/>
    <w:unhideWhenUsed/>
    <w:qFormat/>
    <w:rsid w:val="00A858DC"/>
    <w:pPr>
      <w:keepLines/>
      <w:numPr>
        <w:ilvl w:val="4"/>
        <w:numId w:val="1"/>
      </w:numPr>
      <w:tabs>
        <w:tab w:val="clear" w:pos="567"/>
        <w:tab w:val="clear" w:pos="1134"/>
        <w:tab w:val="clear" w:pos="1701"/>
        <w:tab w:val="clear" w:pos="2268"/>
        <w:tab w:val="clear" w:pos="2835"/>
        <w:tab w:val="clear" w:pos="3402"/>
        <w:tab w:val="left" w:pos="1418"/>
      </w:tabs>
      <w:outlineLvl w:val="4"/>
    </w:pPr>
    <w:rPr>
      <w:szCs w:val="22"/>
    </w:rPr>
  </w:style>
  <w:style w:type="paragraph" w:styleId="Heading6">
    <w:name w:val="heading 6"/>
    <w:basedOn w:val="Normal"/>
    <w:unhideWhenUsed/>
    <w:qFormat/>
    <w:rsid w:val="00B14C04"/>
    <w:pPr>
      <w:keepLines/>
      <w:numPr>
        <w:ilvl w:val="5"/>
        <w:numId w:val="1"/>
      </w:numPr>
      <w:tabs>
        <w:tab w:val="clear" w:pos="2835"/>
      </w:tabs>
      <w:spacing w:before="100" w:beforeAutospacing="1" w:after="100" w:afterAutospacing="1"/>
      <w:outlineLvl w:val="5"/>
    </w:pPr>
    <w:rPr>
      <w:szCs w:val="20"/>
    </w:rPr>
  </w:style>
  <w:style w:type="paragraph" w:styleId="Heading7">
    <w:name w:val="heading 7"/>
    <w:basedOn w:val="Normal"/>
    <w:next w:val="Normal"/>
    <w:link w:val="Heading7Char"/>
    <w:unhideWhenUsed/>
    <w:qFormat/>
    <w:rsid w:val="004B7CF2"/>
    <w:pPr>
      <w:keepNext/>
      <w:keepLines/>
      <w:numPr>
        <w:ilvl w:val="6"/>
        <w:numId w:val="1"/>
      </w:numPr>
      <w:spacing w:before="40"/>
      <w:outlineLvl w:val="6"/>
    </w:pPr>
    <w:rPr>
      <w:rFonts w:ascii="Calibri" w:eastAsia="Calibri" w:hAnsi="Calibri" w:cs="Times New Roman"/>
      <w:i/>
      <w:iCs/>
      <w:color w:val="243F60"/>
    </w:rPr>
  </w:style>
  <w:style w:type="paragraph" w:styleId="Heading8">
    <w:name w:val="heading 8"/>
    <w:basedOn w:val="Normal"/>
    <w:next w:val="Normal"/>
    <w:link w:val="Heading8Char"/>
    <w:unhideWhenUsed/>
    <w:qFormat/>
    <w:rsid w:val="004B7CF2"/>
    <w:pPr>
      <w:keepNext/>
      <w:keepLines/>
      <w:numPr>
        <w:ilvl w:val="7"/>
        <w:numId w:val="1"/>
      </w:numPr>
      <w:spacing w:before="40"/>
      <w:outlineLvl w:val="7"/>
    </w:pPr>
    <w:rPr>
      <w:rFonts w:ascii="Calibri" w:eastAsia="Calibri" w:hAnsi="Calibri" w:cs="Times New Roman"/>
      <w:color w:val="272727"/>
      <w:sz w:val="21"/>
      <w:szCs w:val="21"/>
    </w:rPr>
  </w:style>
  <w:style w:type="paragraph" w:styleId="Heading9">
    <w:name w:val="heading 9"/>
    <w:basedOn w:val="Normal"/>
    <w:next w:val="Normal"/>
    <w:link w:val="Heading9Char"/>
    <w:unhideWhenUsed/>
    <w:qFormat/>
    <w:rsid w:val="004B7CF2"/>
    <w:pPr>
      <w:keepNext/>
      <w:keepLines/>
      <w:numPr>
        <w:ilvl w:val="8"/>
        <w:numId w:val="1"/>
      </w:numPr>
      <w:spacing w:before="40"/>
      <w:outlineLvl w:val="8"/>
    </w:pPr>
    <w:rPr>
      <w:rFonts w:ascii="Calibri" w:eastAsia="Calibri" w:hAnsi="Calibri"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4B7CF2"/>
    <w:pPr>
      <w:keepNext/>
      <w:keepLines/>
      <w:spacing w:before="480" w:after="120"/>
      <w:jc w:val="center"/>
    </w:pPr>
    <w:rPr>
      <w:b/>
      <w:color w:val="334166"/>
      <w:sz w:val="72"/>
      <w:szCs w:val="72"/>
    </w:rPr>
  </w:style>
  <w:style w:type="paragraph" w:styleId="Subtitle">
    <w:name w:val="Subtitle"/>
    <w:basedOn w:val="Normal"/>
    <w:next w:val="Normal"/>
    <w:qFormat/>
    <w:rsid w:val="004B7CF2"/>
    <w:pPr>
      <w:keepNext/>
      <w:keepLines/>
      <w:spacing w:before="360" w:after="80"/>
      <w:jc w:val="center"/>
    </w:pPr>
    <w:rPr>
      <w:rFonts w:cs="Georgia"/>
      <w:color w:val="334166"/>
      <w:sz w:val="48"/>
      <w:szCs w:val="48"/>
    </w:rPr>
  </w:style>
  <w:style w:type="paragraph" w:styleId="CommentText">
    <w:name w:val="annotation text"/>
    <w:basedOn w:val="Normal"/>
    <w:link w:val="CommentTextChar"/>
    <w:rsid w:val="006A7374"/>
    <w:pPr>
      <w:spacing w:line="240" w:lineRule="auto"/>
    </w:pPr>
    <w:rPr>
      <w:rFonts w:eastAsia="Calibri"/>
      <w:sz w:val="20"/>
      <w:szCs w:val="20"/>
    </w:rPr>
  </w:style>
  <w:style w:type="character" w:customStyle="1" w:styleId="CommentTextChar">
    <w:name w:val="Comment Text Char"/>
    <w:basedOn w:val="DefaultParagraphFont"/>
    <w:link w:val="CommentText"/>
    <w:qFormat/>
    <w:rPr>
      <w:rFonts w:ascii="Cambria" w:hAnsi="Cambria"/>
      <w:sz w:val="20"/>
      <w:szCs w:val="20"/>
    </w:rPr>
  </w:style>
  <w:style w:type="character" w:styleId="CommentReference">
    <w:name w:val="annotation reference"/>
    <w:basedOn w:val="DefaultParagraphFont"/>
    <w:rsid w:val="006A7374"/>
    <w:rPr>
      <w:sz w:val="16"/>
      <w:szCs w:val="16"/>
    </w:rPr>
  </w:style>
  <w:style w:type="paragraph" w:customStyle="1" w:styleId="Body0">
    <w:name w:val="Body 0"/>
    <w:basedOn w:val="Normal"/>
    <w:qFormat/>
    <w:rsid w:val="00D060C1"/>
    <w:pPr>
      <w:spacing w:before="100" w:beforeAutospacing="1" w:after="100" w:afterAutospacing="1" w:line="288" w:lineRule="auto"/>
    </w:pPr>
    <w:rPr>
      <w:sz w:val="24"/>
    </w:rPr>
  </w:style>
  <w:style w:type="paragraph" w:customStyle="1" w:styleId="Body1">
    <w:name w:val="Body 1"/>
    <w:basedOn w:val="Body0"/>
    <w:qFormat/>
    <w:rsid w:val="004B7CF2"/>
    <w:pPr>
      <w:ind w:left="567"/>
    </w:pPr>
  </w:style>
  <w:style w:type="paragraph" w:customStyle="1" w:styleId="Body2">
    <w:name w:val="Body 2"/>
    <w:basedOn w:val="Normal"/>
    <w:qFormat/>
    <w:rsid w:val="004B7CF2"/>
    <w:pPr>
      <w:spacing w:before="100" w:beforeAutospacing="1" w:after="100" w:afterAutospacing="1"/>
      <w:ind w:left="1134"/>
    </w:pPr>
  </w:style>
  <w:style w:type="paragraph" w:styleId="NormalWeb">
    <w:name w:val="Normal (Web)"/>
    <w:basedOn w:val="Normal"/>
    <w:unhideWhenUsed/>
    <w:rsid w:val="004B7CF2"/>
    <w:pPr>
      <w:widowControl/>
      <w:spacing w:before="100" w:beforeAutospacing="1" w:after="100" w:afterAutospacing="1" w:line="240" w:lineRule="auto"/>
    </w:pPr>
    <w:rPr>
      <w:rFonts w:ascii="Times New Roman" w:eastAsia="Calibri" w:hAnsi="Times New Roman" w:cs="Times New Roman"/>
      <w:lang w:val="pl-PL" w:eastAsia="pl-PL"/>
    </w:rPr>
  </w:style>
  <w:style w:type="character" w:styleId="Hyperlink">
    <w:name w:val="Hyperlink"/>
    <w:basedOn w:val="DefaultParagraphFont"/>
    <w:uiPriority w:val="99"/>
    <w:unhideWhenUsed/>
    <w:rsid w:val="004B7CF2"/>
    <w:rPr>
      <w:rFonts w:ascii="Calibri" w:hAnsi="Calibri" w:cs="Times New Roman"/>
      <w:color w:val="0000FF"/>
      <w:sz w:val="18"/>
      <w:u w:val="single"/>
    </w:rPr>
  </w:style>
  <w:style w:type="character" w:customStyle="1" w:styleId="UnresolvedMention1">
    <w:name w:val="Unresolved Mention1"/>
    <w:basedOn w:val="DefaultParagraphFont"/>
    <w:semiHidden/>
    <w:unhideWhenUsed/>
    <w:rsid w:val="004B7CF2"/>
    <w:rPr>
      <w:rFonts w:cs="Times New Roman"/>
      <w:color w:val="605E5C"/>
      <w:shd w:val="clear" w:color="auto" w:fill="E1DFDD"/>
    </w:rPr>
  </w:style>
  <w:style w:type="paragraph" w:styleId="TOC4">
    <w:name w:val="toc 4"/>
    <w:basedOn w:val="Normal"/>
    <w:next w:val="Normal"/>
    <w:autoRedefine/>
    <w:unhideWhenUsed/>
    <w:rsid w:val="004B7CF2"/>
    <w:pPr>
      <w:tabs>
        <w:tab w:val="clear" w:pos="567"/>
        <w:tab w:val="clear" w:pos="1134"/>
        <w:tab w:val="clear" w:pos="1701"/>
        <w:tab w:val="clear" w:pos="2268"/>
        <w:tab w:val="clear" w:pos="2835"/>
        <w:tab w:val="clear" w:pos="3402"/>
      </w:tabs>
      <w:ind w:left="660"/>
      <w:jc w:val="left"/>
    </w:pPr>
    <w:rPr>
      <w:sz w:val="18"/>
      <w:szCs w:val="18"/>
    </w:rPr>
  </w:style>
  <w:style w:type="paragraph" w:styleId="TOC1">
    <w:name w:val="toc 1"/>
    <w:basedOn w:val="Normal"/>
    <w:next w:val="Normal"/>
    <w:autoRedefine/>
    <w:uiPriority w:val="39"/>
    <w:unhideWhenUsed/>
    <w:rsid w:val="004B7CF2"/>
    <w:pPr>
      <w:tabs>
        <w:tab w:val="clear" w:pos="567"/>
        <w:tab w:val="clear" w:pos="1134"/>
        <w:tab w:val="clear" w:pos="1701"/>
        <w:tab w:val="clear" w:pos="2268"/>
        <w:tab w:val="clear" w:pos="2835"/>
        <w:tab w:val="clear" w:pos="3402"/>
        <w:tab w:val="left" w:pos="1320"/>
        <w:tab w:val="right" w:leader="dot" w:pos="9628"/>
      </w:tabs>
      <w:spacing w:before="120" w:after="120"/>
      <w:jc w:val="left"/>
    </w:pPr>
    <w:rPr>
      <w:b/>
      <w:bCs/>
      <w:caps/>
      <w:sz w:val="20"/>
      <w:szCs w:val="20"/>
    </w:rPr>
  </w:style>
  <w:style w:type="paragraph" w:styleId="TOC3">
    <w:name w:val="toc 3"/>
    <w:basedOn w:val="Normal"/>
    <w:next w:val="Normal"/>
    <w:autoRedefine/>
    <w:unhideWhenUsed/>
    <w:rsid w:val="004B7CF2"/>
    <w:pPr>
      <w:tabs>
        <w:tab w:val="clear" w:pos="567"/>
        <w:tab w:val="clear" w:pos="1134"/>
        <w:tab w:val="clear" w:pos="1701"/>
        <w:tab w:val="clear" w:pos="2268"/>
        <w:tab w:val="clear" w:pos="2835"/>
        <w:tab w:val="clear" w:pos="3402"/>
      </w:tabs>
      <w:ind w:left="440"/>
      <w:jc w:val="left"/>
    </w:pPr>
    <w:rPr>
      <w:i/>
      <w:iCs/>
      <w:sz w:val="20"/>
      <w:szCs w:val="20"/>
    </w:rPr>
  </w:style>
  <w:style w:type="paragraph" w:styleId="TOC2">
    <w:name w:val="toc 2"/>
    <w:basedOn w:val="Normal"/>
    <w:next w:val="Normal"/>
    <w:autoRedefine/>
    <w:uiPriority w:val="39"/>
    <w:unhideWhenUsed/>
    <w:rsid w:val="004B7CF2"/>
    <w:pPr>
      <w:tabs>
        <w:tab w:val="clear" w:pos="567"/>
        <w:tab w:val="clear" w:pos="1134"/>
        <w:tab w:val="clear" w:pos="1701"/>
        <w:tab w:val="clear" w:pos="2268"/>
        <w:tab w:val="clear" w:pos="2835"/>
        <w:tab w:val="clear" w:pos="3402"/>
      </w:tabs>
      <w:ind w:left="220"/>
      <w:jc w:val="left"/>
    </w:pPr>
    <w:rPr>
      <w:smallCaps/>
      <w:sz w:val="20"/>
      <w:szCs w:val="20"/>
    </w:rPr>
  </w:style>
  <w:style w:type="paragraph" w:styleId="TOCHeading">
    <w:name w:val="TOC Heading"/>
    <w:basedOn w:val="Heading1"/>
    <w:next w:val="Normal"/>
    <w:unhideWhenUsed/>
    <w:qFormat/>
    <w:rsid w:val="004B7CF2"/>
    <w:pPr>
      <w:widowControl/>
      <w:spacing w:before="240" w:after="0" w:line="259" w:lineRule="auto"/>
      <w:outlineLvl w:val="9"/>
    </w:pPr>
    <w:rPr>
      <w:rFonts w:ascii="Calibri" w:eastAsia="Calibri" w:hAnsi="Calibri" w:cs="Times New Roman"/>
      <w:b w:val="0"/>
      <w:smallCaps w:val="0"/>
      <w:color w:val="365F91"/>
      <w:sz w:val="32"/>
      <w:szCs w:val="32"/>
    </w:rPr>
  </w:style>
  <w:style w:type="paragraph" w:styleId="Header">
    <w:name w:val="header"/>
    <w:basedOn w:val="Normal"/>
    <w:link w:val="HeaderChar"/>
    <w:unhideWhenUsed/>
    <w:rsid w:val="004B7CF2"/>
    <w:pPr>
      <w:tabs>
        <w:tab w:val="center" w:pos="4680"/>
        <w:tab w:val="right" w:pos="9360"/>
      </w:tabs>
      <w:spacing w:line="240" w:lineRule="auto"/>
    </w:pPr>
  </w:style>
  <w:style w:type="character" w:customStyle="1" w:styleId="HeaderChar">
    <w:name w:val="Header Char"/>
    <w:basedOn w:val="DefaultParagraphFont"/>
    <w:link w:val="Header"/>
    <w:rsid w:val="00907AF4"/>
    <w:rPr>
      <w:rFonts w:ascii="Cambria" w:eastAsia="Times New Roman" w:hAnsi="Cambria"/>
      <w:sz w:val="22"/>
    </w:rPr>
  </w:style>
  <w:style w:type="table" w:customStyle="1" w:styleId="GridTable5Dark-Accent51">
    <w:name w:val="Grid Table 5 Dark - Accent 51"/>
    <w:basedOn w:val="TableNormal"/>
    <w:rsid w:val="00675BB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11">
    <w:name w:val="Grid Table 5 Dark - Accent 11"/>
    <w:basedOn w:val="TableNormal"/>
    <w:rsid w:val="00675BB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4-Accent11">
    <w:name w:val="List Table 4 - Accent 11"/>
    <w:basedOn w:val="TableNormal"/>
    <w:rsid w:val="00675BB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1Char">
    <w:name w:val="Heading 1 Char"/>
    <w:basedOn w:val="DefaultParagraphFont"/>
    <w:link w:val="Heading1"/>
    <w:rsid w:val="00904BAB"/>
    <w:rPr>
      <w:rFonts w:ascii="Cambria" w:eastAsia="Times New Roman" w:hAnsi="Cambria"/>
      <w:b/>
      <w:smallCaps/>
      <w:color w:val="334166"/>
      <w:sz w:val="36"/>
      <w:szCs w:val="36"/>
    </w:rPr>
  </w:style>
  <w:style w:type="character" w:customStyle="1" w:styleId="Heading2Char">
    <w:name w:val="Heading 2 Char"/>
    <w:basedOn w:val="DefaultParagraphFont"/>
    <w:link w:val="Heading2"/>
    <w:rsid w:val="005B428E"/>
    <w:rPr>
      <w:rFonts w:ascii="Cambria" w:eastAsia="Times New Roman" w:hAnsi="Cambria"/>
      <w:b/>
      <w:color w:val="334166"/>
      <w:sz w:val="28"/>
      <w:szCs w:val="28"/>
    </w:rPr>
  </w:style>
  <w:style w:type="table" w:customStyle="1" w:styleId="7">
    <w:name w:val="7"/>
    <w:basedOn w:val="TableNormal"/>
    <w:pPr>
      <w:spacing w:line="240" w:lineRule="auto"/>
    </w:p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table" w:customStyle="1" w:styleId="GridTable6Colorful-Accent11">
    <w:name w:val="Grid Table 6 Colorful - Accent 11"/>
    <w:basedOn w:val="TableNormal"/>
    <w:rsid w:val="009B076B"/>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Revision">
    <w:name w:val="Revision"/>
    <w:hidden/>
    <w:semiHidden/>
    <w:rsid w:val="004B7CF2"/>
    <w:pPr>
      <w:widowControl/>
      <w:spacing w:line="240" w:lineRule="auto"/>
    </w:pPr>
    <w:rPr>
      <w:rFonts w:ascii="Cambria" w:eastAsia="Times New Roman" w:hAnsi="Cambria"/>
    </w:rPr>
  </w:style>
  <w:style w:type="paragraph" w:styleId="BalloonText">
    <w:name w:val="Balloon Text"/>
    <w:basedOn w:val="Normal"/>
    <w:link w:val="BalloonTextChar"/>
    <w:semiHidden/>
    <w:unhideWhenUsed/>
    <w:rsid w:val="004B7CF2"/>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164A2"/>
    <w:rPr>
      <w:rFonts w:ascii="Tahoma" w:eastAsia="Times New Roman" w:hAnsi="Tahoma" w:cs="Tahoma"/>
      <w:sz w:val="16"/>
      <w:szCs w:val="16"/>
    </w:rPr>
  </w:style>
  <w:style w:type="character" w:customStyle="1" w:styleId="Heading7Char">
    <w:name w:val="Heading 7 Char"/>
    <w:basedOn w:val="DefaultParagraphFont"/>
    <w:link w:val="Heading7"/>
    <w:rsid w:val="00E056D9"/>
    <w:rPr>
      <w:rFonts w:cs="Times New Roman"/>
      <w:i/>
      <w:iCs/>
      <w:color w:val="243F60"/>
      <w:sz w:val="22"/>
    </w:rPr>
  </w:style>
  <w:style w:type="character" w:customStyle="1" w:styleId="Heading8Char">
    <w:name w:val="Heading 8 Char"/>
    <w:basedOn w:val="DefaultParagraphFont"/>
    <w:link w:val="Heading8"/>
    <w:rsid w:val="00E056D9"/>
    <w:rPr>
      <w:rFonts w:cs="Times New Roman"/>
      <w:color w:val="272727"/>
      <w:sz w:val="21"/>
      <w:szCs w:val="21"/>
    </w:rPr>
  </w:style>
  <w:style w:type="character" w:customStyle="1" w:styleId="Heading9Char">
    <w:name w:val="Heading 9 Char"/>
    <w:basedOn w:val="DefaultParagraphFont"/>
    <w:link w:val="Heading9"/>
    <w:rsid w:val="00E056D9"/>
    <w:rPr>
      <w:rFonts w:cs="Times New Roman"/>
      <w:i/>
      <w:iCs/>
      <w:color w:val="272727"/>
      <w:sz w:val="21"/>
      <w:szCs w:val="21"/>
    </w:rPr>
  </w:style>
  <w:style w:type="paragraph" w:styleId="TOC5">
    <w:name w:val="toc 5"/>
    <w:basedOn w:val="Normal"/>
    <w:next w:val="Normal"/>
    <w:autoRedefine/>
    <w:unhideWhenUsed/>
    <w:rsid w:val="004B7CF2"/>
    <w:pPr>
      <w:tabs>
        <w:tab w:val="clear" w:pos="567"/>
        <w:tab w:val="clear" w:pos="1134"/>
        <w:tab w:val="clear" w:pos="1701"/>
        <w:tab w:val="clear" w:pos="2268"/>
        <w:tab w:val="clear" w:pos="2835"/>
        <w:tab w:val="clear" w:pos="3402"/>
      </w:tabs>
      <w:ind w:left="880"/>
      <w:jc w:val="left"/>
    </w:pPr>
    <w:rPr>
      <w:sz w:val="18"/>
      <w:szCs w:val="18"/>
    </w:rPr>
  </w:style>
  <w:style w:type="paragraph" w:styleId="TOC6">
    <w:name w:val="toc 6"/>
    <w:basedOn w:val="Normal"/>
    <w:next w:val="Normal"/>
    <w:autoRedefine/>
    <w:unhideWhenUsed/>
    <w:rsid w:val="004B7CF2"/>
    <w:pPr>
      <w:tabs>
        <w:tab w:val="clear" w:pos="567"/>
        <w:tab w:val="clear" w:pos="1134"/>
        <w:tab w:val="clear" w:pos="1701"/>
        <w:tab w:val="clear" w:pos="2268"/>
        <w:tab w:val="clear" w:pos="2835"/>
        <w:tab w:val="clear" w:pos="3402"/>
      </w:tabs>
      <w:ind w:left="1100"/>
      <w:jc w:val="left"/>
    </w:pPr>
    <w:rPr>
      <w:sz w:val="18"/>
      <w:szCs w:val="18"/>
    </w:rPr>
  </w:style>
  <w:style w:type="paragraph" w:styleId="TOC9">
    <w:name w:val="toc 9"/>
    <w:basedOn w:val="Normal"/>
    <w:next w:val="Normal"/>
    <w:autoRedefine/>
    <w:unhideWhenUsed/>
    <w:rsid w:val="004B7CF2"/>
    <w:pPr>
      <w:tabs>
        <w:tab w:val="clear" w:pos="567"/>
        <w:tab w:val="clear" w:pos="1134"/>
        <w:tab w:val="clear" w:pos="1701"/>
        <w:tab w:val="clear" w:pos="2268"/>
        <w:tab w:val="clear" w:pos="2835"/>
        <w:tab w:val="clear" w:pos="3402"/>
      </w:tabs>
      <w:ind w:left="1760"/>
      <w:jc w:val="left"/>
    </w:pPr>
    <w:rPr>
      <w:sz w:val="18"/>
      <w:szCs w:val="18"/>
    </w:rPr>
  </w:style>
  <w:style w:type="paragraph" w:styleId="Footer">
    <w:name w:val="footer"/>
    <w:basedOn w:val="Normal"/>
    <w:link w:val="FooterChar"/>
    <w:unhideWhenUsed/>
    <w:rsid w:val="004B7CF2"/>
    <w:pPr>
      <w:tabs>
        <w:tab w:val="clear" w:pos="567"/>
        <w:tab w:val="clear" w:pos="1134"/>
        <w:tab w:val="clear" w:pos="1701"/>
        <w:tab w:val="clear" w:pos="2268"/>
        <w:tab w:val="clear" w:pos="2835"/>
        <w:tab w:val="clear" w:pos="3402"/>
        <w:tab w:val="center" w:pos="4513"/>
        <w:tab w:val="right" w:pos="9026"/>
      </w:tabs>
      <w:spacing w:line="240" w:lineRule="auto"/>
    </w:pPr>
  </w:style>
  <w:style w:type="character" w:customStyle="1" w:styleId="FooterChar">
    <w:name w:val="Footer Char"/>
    <w:basedOn w:val="DefaultParagraphFont"/>
    <w:link w:val="Footer"/>
    <w:rsid w:val="003E344F"/>
    <w:rPr>
      <w:rFonts w:ascii="Cambria" w:eastAsia="Times New Roman" w:hAnsi="Cambria"/>
      <w:sz w:val="22"/>
    </w:rPr>
  </w:style>
  <w:style w:type="paragraph" w:styleId="TOC7">
    <w:name w:val="toc 7"/>
    <w:basedOn w:val="Normal"/>
    <w:next w:val="Normal"/>
    <w:autoRedefine/>
    <w:unhideWhenUsed/>
    <w:rsid w:val="004B7CF2"/>
    <w:pPr>
      <w:tabs>
        <w:tab w:val="clear" w:pos="567"/>
        <w:tab w:val="clear" w:pos="1134"/>
        <w:tab w:val="clear" w:pos="1701"/>
        <w:tab w:val="clear" w:pos="2268"/>
        <w:tab w:val="clear" w:pos="2835"/>
        <w:tab w:val="clear" w:pos="3402"/>
      </w:tabs>
      <w:ind w:left="1320"/>
      <w:jc w:val="left"/>
    </w:pPr>
    <w:rPr>
      <w:sz w:val="18"/>
      <w:szCs w:val="18"/>
    </w:rPr>
  </w:style>
  <w:style w:type="paragraph" w:styleId="TOC8">
    <w:name w:val="toc 8"/>
    <w:basedOn w:val="Normal"/>
    <w:next w:val="Normal"/>
    <w:autoRedefine/>
    <w:unhideWhenUsed/>
    <w:rsid w:val="004B7CF2"/>
    <w:pPr>
      <w:tabs>
        <w:tab w:val="clear" w:pos="567"/>
        <w:tab w:val="clear" w:pos="1134"/>
        <w:tab w:val="clear" w:pos="1701"/>
        <w:tab w:val="clear" w:pos="2268"/>
        <w:tab w:val="clear" w:pos="2835"/>
        <w:tab w:val="clear" w:pos="3402"/>
      </w:tabs>
      <w:ind w:left="1540"/>
      <w:jc w:val="left"/>
    </w:pPr>
    <w:rPr>
      <w:sz w:val="18"/>
      <w:szCs w:val="18"/>
    </w:rPr>
  </w:style>
  <w:style w:type="paragraph" w:styleId="List">
    <w:name w:val="List"/>
    <w:basedOn w:val="Normal"/>
    <w:unhideWhenUsed/>
    <w:rsid w:val="004B7CF2"/>
    <w:pPr>
      <w:numPr>
        <w:numId w:val="7"/>
      </w:numPr>
      <w:contextualSpacing/>
    </w:pPr>
  </w:style>
  <w:style w:type="paragraph" w:styleId="List2">
    <w:name w:val="List 2"/>
    <w:basedOn w:val="Normal"/>
    <w:unhideWhenUsed/>
    <w:rsid w:val="004B7CF2"/>
    <w:pPr>
      <w:ind w:left="566" w:hanging="283"/>
      <w:contextualSpacing/>
    </w:pPr>
  </w:style>
  <w:style w:type="paragraph" w:styleId="ListBullet">
    <w:name w:val="List Bullet"/>
    <w:basedOn w:val="Normal"/>
    <w:unhideWhenUsed/>
    <w:rsid w:val="004B7CF2"/>
    <w:pPr>
      <w:numPr>
        <w:numId w:val="2"/>
      </w:numPr>
      <w:contextualSpacing/>
    </w:pPr>
  </w:style>
  <w:style w:type="paragraph" w:styleId="ListNumber">
    <w:name w:val="List Number"/>
    <w:basedOn w:val="Normal"/>
    <w:unhideWhenUsed/>
    <w:rsid w:val="004B7CF2"/>
    <w:pPr>
      <w:numPr>
        <w:numId w:val="3"/>
      </w:numPr>
      <w:spacing w:before="100" w:beforeAutospacing="1" w:after="120" w:line="288" w:lineRule="auto"/>
      <w:ind w:left="567" w:hanging="567"/>
    </w:pPr>
  </w:style>
  <w:style w:type="paragraph" w:customStyle="1" w:styleId="Annexure">
    <w:name w:val="Annexure"/>
    <w:basedOn w:val="Body0"/>
    <w:next w:val="Body0"/>
    <w:qFormat/>
    <w:rsid w:val="007968DB"/>
    <w:pPr>
      <w:numPr>
        <w:numId w:val="11"/>
      </w:numPr>
      <w:tabs>
        <w:tab w:val="num" w:pos="567"/>
      </w:tabs>
      <w:jc w:val="left"/>
    </w:pPr>
    <w:rPr>
      <w:b/>
      <w:color w:val="334166"/>
      <w:sz w:val="28"/>
    </w:rPr>
  </w:style>
  <w:style w:type="character" w:styleId="FollowedHyperlink">
    <w:name w:val="FollowedHyperlink"/>
    <w:basedOn w:val="DefaultParagraphFont"/>
    <w:semiHidden/>
    <w:unhideWhenUsed/>
    <w:rsid w:val="004B7CF2"/>
    <w:rPr>
      <w:rFonts w:cs="Times New Roman"/>
      <w:color w:val="800080"/>
      <w:u w:val="single"/>
    </w:rPr>
  </w:style>
  <w:style w:type="paragraph" w:styleId="ListNumber2">
    <w:name w:val="List Number 2"/>
    <w:basedOn w:val="Body0"/>
    <w:unhideWhenUsed/>
    <w:rsid w:val="004B7CF2"/>
    <w:pPr>
      <w:numPr>
        <w:numId w:val="4"/>
      </w:numPr>
      <w:tabs>
        <w:tab w:val="clear" w:pos="567"/>
      </w:tabs>
      <w:spacing w:line="240" w:lineRule="auto"/>
      <w:ind w:left="1134" w:hanging="567"/>
      <w:contextualSpacing/>
    </w:pPr>
  </w:style>
  <w:style w:type="paragraph" w:styleId="ListNumber3">
    <w:name w:val="List Number 3"/>
    <w:basedOn w:val="Normal"/>
    <w:unhideWhenUsed/>
    <w:rsid w:val="004B7CF2"/>
    <w:pPr>
      <w:numPr>
        <w:numId w:val="5"/>
      </w:numPr>
      <w:contextualSpacing/>
    </w:pPr>
  </w:style>
  <w:style w:type="paragraph" w:styleId="List3">
    <w:name w:val="List 3"/>
    <w:basedOn w:val="Normal"/>
    <w:unhideWhenUsed/>
    <w:rsid w:val="004B7CF2"/>
    <w:pPr>
      <w:ind w:left="849" w:hanging="283"/>
      <w:contextualSpacing/>
    </w:pPr>
  </w:style>
  <w:style w:type="paragraph" w:styleId="ListBullet2">
    <w:name w:val="List Bullet 2"/>
    <w:basedOn w:val="Normal"/>
    <w:unhideWhenUsed/>
    <w:rsid w:val="004B7CF2"/>
    <w:pPr>
      <w:numPr>
        <w:numId w:val="6"/>
      </w:numPr>
      <w:contextualSpacing/>
    </w:pPr>
  </w:style>
  <w:style w:type="character" w:customStyle="1" w:styleId="Heading3Char">
    <w:name w:val="Heading 3 Char"/>
    <w:basedOn w:val="DefaultParagraphFont"/>
    <w:link w:val="Heading3"/>
    <w:rsid w:val="00C07B32"/>
    <w:rPr>
      <w:rFonts w:ascii="Cambria" w:eastAsia="Times New Roman" w:hAnsi="Cambria"/>
    </w:rPr>
  </w:style>
  <w:style w:type="character" w:styleId="UnresolvedMention">
    <w:name w:val="Unresolved Mention"/>
    <w:basedOn w:val="DefaultParagraphFont"/>
    <w:semiHidden/>
    <w:unhideWhenUsed/>
    <w:rsid w:val="004B7CF2"/>
    <w:rPr>
      <w:rFonts w:cs="Times New Roman"/>
      <w:color w:val="605E5C"/>
      <w:shd w:val="clear" w:color="auto" w:fill="E1DFDD"/>
    </w:rPr>
  </w:style>
  <w:style w:type="paragraph" w:styleId="CommentSubject">
    <w:name w:val="annotation subject"/>
    <w:basedOn w:val="CommentText"/>
    <w:next w:val="CommentText"/>
    <w:link w:val="CommentSubjectChar"/>
    <w:semiHidden/>
    <w:unhideWhenUsed/>
    <w:rsid w:val="004B7CF2"/>
    <w:rPr>
      <w:rFonts w:eastAsia="Times New Roman"/>
      <w:b/>
      <w:bCs/>
    </w:rPr>
  </w:style>
  <w:style w:type="character" w:customStyle="1" w:styleId="CommentSubjectChar">
    <w:name w:val="Comment Subject Char"/>
    <w:basedOn w:val="CommentTextChar"/>
    <w:link w:val="CommentSubject"/>
    <w:semiHidden/>
    <w:rsid w:val="00EE4320"/>
    <w:rPr>
      <w:rFonts w:ascii="Cambria" w:eastAsia="Times New Roman" w:hAnsi="Cambria"/>
      <w:b/>
      <w:bCs/>
      <w:sz w:val="20"/>
      <w:szCs w:val="20"/>
    </w:rPr>
  </w:style>
  <w:style w:type="table" w:styleId="TableGrid">
    <w:name w:val="Table Grid"/>
    <w:basedOn w:val="TableNormal"/>
    <w:rsid w:val="00EE432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F40EBE"/>
    <w:rPr>
      <w:rFonts w:ascii="Cambria" w:eastAsia="Times New Roman" w:hAnsi="Cambria"/>
      <w:szCs w:val="72"/>
    </w:rPr>
  </w:style>
  <w:style w:type="character" w:customStyle="1" w:styleId="HBLevel2Char">
    <w:name w:val="HB_Level2 Char"/>
    <w:basedOn w:val="DefaultParagraphFont"/>
    <w:link w:val="HBLevel2"/>
    <w:rsid w:val="003B6860"/>
    <w:rPr>
      <w:rFonts w:eastAsia="NSimSun" w:cs="Times New Roman"/>
      <w:color w:val="000000"/>
      <w:kern w:val="3"/>
      <w:szCs w:val="22"/>
      <w:lang w:eastAsia="zh-CN" w:bidi="hi-IN"/>
    </w:rPr>
  </w:style>
  <w:style w:type="character" w:styleId="Strong">
    <w:name w:val="Strong"/>
    <w:basedOn w:val="DefaultParagraphFont"/>
    <w:qFormat/>
    <w:rsid w:val="00AF3895"/>
    <w:rPr>
      <w:b/>
      <w:bCs/>
    </w:rPr>
  </w:style>
  <w:style w:type="character" w:customStyle="1" w:styleId="Heading5Char">
    <w:name w:val="Heading 5 Char"/>
    <w:basedOn w:val="DefaultParagraphFont"/>
    <w:link w:val="Heading5"/>
    <w:rsid w:val="00A858DC"/>
    <w:rPr>
      <w:rFonts w:ascii="Cambria" w:eastAsia="Times New Roman" w:hAnsi="Cambria"/>
      <w:szCs w:val="22"/>
    </w:rPr>
  </w:style>
  <w:style w:type="paragraph" w:customStyle="1" w:styleId="HBLevel1">
    <w:name w:val="HB_Level1"/>
    <w:link w:val="HBLevel1Char"/>
    <w:rsid w:val="004B7CF2"/>
    <w:pPr>
      <w:widowControl/>
      <w:numPr>
        <w:numId w:val="8"/>
      </w:numPr>
      <w:suppressAutoHyphens/>
      <w:autoSpaceDN w:val="0"/>
      <w:spacing w:before="142" w:after="142" w:line="240" w:lineRule="auto"/>
      <w:jc w:val="both"/>
      <w:textAlignment w:val="baseline"/>
      <w:outlineLvl w:val="0"/>
    </w:pPr>
    <w:rPr>
      <w:rFonts w:eastAsia="NSimSun" w:cs="Times New Roman"/>
      <w:color w:val="000000"/>
      <w:kern w:val="3"/>
      <w:szCs w:val="22"/>
      <w:lang w:eastAsia="zh-CN" w:bidi="hi-IN"/>
    </w:rPr>
  </w:style>
  <w:style w:type="paragraph" w:customStyle="1" w:styleId="HBLevel2">
    <w:name w:val="HB_Level2"/>
    <w:next w:val="Normal"/>
    <w:link w:val="HBLevel2Char"/>
    <w:rsid w:val="004B7CF2"/>
    <w:pPr>
      <w:widowControl/>
      <w:numPr>
        <w:ilvl w:val="1"/>
        <w:numId w:val="8"/>
      </w:numPr>
      <w:suppressAutoHyphens/>
      <w:autoSpaceDN w:val="0"/>
      <w:spacing w:before="142" w:after="142" w:line="240" w:lineRule="auto"/>
      <w:jc w:val="both"/>
      <w:textAlignment w:val="baseline"/>
    </w:pPr>
    <w:rPr>
      <w:rFonts w:eastAsia="NSimSun" w:cs="Times New Roman"/>
      <w:color w:val="000000"/>
      <w:kern w:val="3"/>
      <w:szCs w:val="22"/>
      <w:lang w:eastAsia="zh-CN" w:bidi="hi-IN"/>
    </w:rPr>
  </w:style>
  <w:style w:type="paragraph" w:customStyle="1" w:styleId="HBLevel3">
    <w:name w:val="HB_Level3"/>
    <w:basedOn w:val="Normal"/>
    <w:qFormat/>
    <w:rsid w:val="004B7CF2"/>
    <w:pPr>
      <w:widowControl/>
      <w:numPr>
        <w:ilvl w:val="2"/>
        <w:numId w:val="8"/>
      </w:numPr>
      <w:tabs>
        <w:tab w:val="clear" w:pos="567"/>
        <w:tab w:val="clear" w:pos="1134"/>
        <w:tab w:val="clear" w:pos="1701"/>
        <w:tab w:val="clear" w:pos="2268"/>
        <w:tab w:val="clear" w:pos="2835"/>
        <w:tab w:val="clear" w:pos="3402"/>
      </w:tabs>
      <w:suppressAutoHyphens/>
      <w:autoSpaceDN w:val="0"/>
      <w:spacing w:before="120" w:after="120" w:line="240" w:lineRule="auto"/>
      <w:textAlignment w:val="baseline"/>
    </w:pPr>
    <w:rPr>
      <w:rFonts w:ascii="Calibri" w:eastAsia="NSimSun" w:hAnsi="Calibri" w:cs="Times New Roman"/>
      <w:color w:val="000000"/>
      <w:kern w:val="3"/>
      <w:sz w:val="24"/>
      <w:szCs w:val="22"/>
      <w:lang w:eastAsia="zh-CN" w:bidi="hi-IN"/>
    </w:rPr>
  </w:style>
  <w:style w:type="character" w:customStyle="1" w:styleId="HBLevel1Char">
    <w:name w:val="HB_Level1 Char"/>
    <w:basedOn w:val="DefaultParagraphFont"/>
    <w:link w:val="HBLevel1"/>
    <w:rsid w:val="00D3595B"/>
    <w:rPr>
      <w:rFonts w:eastAsia="NSimSun" w:cs="Times New Roman"/>
      <w:color w:val="000000"/>
      <w:kern w:val="3"/>
      <w:szCs w:val="22"/>
      <w:lang w:eastAsia="zh-CN" w:bidi="hi-IN"/>
    </w:rPr>
  </w:style>
  <w:style w:type="paragraph" w:customStyle="1" w:styleId="AnnexureHeading1">
    <w:name w:val="Annexure Heading 1"/>
    <w:basedOn w:val="Body0"/>
    <w:qFormat/>
    <w:rsid w:val="004B7CF2"/>
    <w:pPr>
      <w:tabs>
        <w:tab w:val="clear" w:pos="567"/>
      </w:tabs>
      <w:spacing w:line="240" w:lineRule="auto"/>
    </w:pPr>
  </w:style>
  <w:style w:type="paragraph" w:customStyle="1" w:styleId="Body3">
    <w:name w:val="Body 3"/>
    <w:basedOn w:val="Body0"/>
    <w:qFormat/>
    <w:rsid w:val="004B7CF2"/>
    <w:pPr>
      <w:ind w:left="1701"/>
    </w:pPr>
  </w:style>
  <w:style w:type="paragraph" w:customStyle="1" w:styleId="Body4">
    <w:name w:val="Body 4"/>
    <w:basedOn w:val="Body3"/>
    <w:qFormat/>
    <w:rsid w:val="00461BFF"/>
    <w:pPr>
      <w:ind w:left="2268"/>
    </w:pPr>
  </w:style>
  <w:style w:type="table" w:customStyle="1" w:styleId="TableGrid1">
    <w:name w:val="Table Grid1"/>
    <w:basedOn w:val="TableNormal"/>
    <w:next w:val="TableGrid"/>
    <w:rsid w:val="00F55AC5"/>
    <w:pPr>
      <w:widowControl/>
      <w:spacing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ureHeading2">
    <w:name w:val="Annexure Heading 2"/>
    <w:basedOn w:val="AnnexureHeading1"/>
    <w:qFormat/>
    <w:rsid w:val="004B7CF2"/>
    <w:pPr>
      <w:tabs>
        <w:tab w:val="num" w:pos="1985"/>
      </w:tabs>
      <w:spacing w:line="288" w:lineRule="auto"/>
      <w:ind w:left="1134" w:hanging="567"/>
    </w:pPr>
  </w:style>
  <w:style w:type="paragraph" w:customStyle="1" w:styleId="HBLevel2nonumber">
    <w:name w:val="HB_Level2_no_number"/>
    <w:basedOn w:val="Normal"/>
    <w:uiPriority w:val="99"/>
    <w:rsid w:val="005B428E"/>
    <w:pPr>
      <w:widowControl/>
      <w:tabs>
        <w:tab w:val="clear" w:pos="567"/>
        <w:tab w:val="clear" w:pos="1134"/>
        <w:tab w:val="clear" w:pos="1701"/>
        <w:tab w:val="clear" w:pos="2268"/>
        <w:tab w:val="clear" w:pos="2835"/>
        <w:tab w:val="clear" w:pos="3402"/>
      </w:tabs>
      <w:suppressAutoHyphens/>
      <w:autoSpaceDN w:val="0"/>
      <w:spacing w:line="240" w:lineRule="auto"/>
      <w:ind w:left="567"/>
      <w:jc w:val="left"/>
      <w:textAlignment w:val="baseline"/>
    </w:pPr>
    <w:rPr>
      <w:rFonts w:ascii="Calibri" w:eastAsia="NSimSun" w:hAnsi="Calibri" w:cstheme="minorBidi"/>
      <w:color w:val="000000"/>
      <w:kern w:val="3"/>
      <w:sz w:val="24"/>
      <w:szCs w:val="22"/>
      <w:lang w:eastAsia="zh-CN"/>
    </w:rPr>
  </w:style>
  <w:style w:type="paragraph" w:customStyle="1" w:styleId="Body5">
    <w:name w:val="Body 5"/>
    <w:basedOn w:val="Body4"/>
    <w:qFormat/>
    <w:rsid w:val="00B14C04"/>
    <w:pPr>
      <w:ind w:left="2835"/>
    </w:pPr>
  </w:style>
  <w:style w:type="table" w:customStyle="1" w:styleId="TableGrid2">
    <w:name w:val="Table Grid2"/>
    <w:basedOn w:val="TableNormal"/>
    <w:next w:val="TableGrid"/>
    <w:rsid w:val="00D06737"/>
    <w:pPr>
      <w:widowControl/>
      <w:spacing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sChild>
        <w:div w:id="36">
          <w:marLeft w:val="0"/>
          <w:marRight w:val="0"/>
          <w:marTop w:val="0"/>
          <w:marBottom w:val="0"/>
          <w:divBdr>
            <w:top w:val="none" w:sz="0" w:space="0" w:color="auto"/>
            <w:left w:val="none" w:sz="0" w:space="0" w:color="auto"/>
            <w:bottom w:val="none" w:sz="0" w:space="0" w:color="auto"/>
            <w:right w:val="none" w:sz="0" w:space="0" w:color="auto"/>
          </w:divBdr>
        </w:div>
      </w:divsChild>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157695790">
      <w:bodyDiv w:val="1"/>
      <w:marLeft w:val="0"/>
      <w:marRight w:val="0"/>
      <w:marTop w:val="0"/>
      <w:marBottom w:val="0"/>
      <w:divBdr>
        <w:top w:val="none" w:sz="0" w:space="0" w:color="auto"/>
        <w:left w:val="none" w:sz="0" w:space="0" w:color="auto"/>
        <w:bottom w:val="none" w:sz="0" w:space="0" w:color="auto"/>
        <w:right w:val="none" w:sz="0" w:space="0" w:color="auto"/>
      </w:divBdr>
    </w:div>
    <w:div w:id="173495646">
      <w:bodyDiv w:val="1"/>
      <w:marLeft w:val="0"/>
      <w:marRight w:val="0"/>
      <w:marTop w:val="0"/>
      <w:marBottom w:val="0"/>
      <w:divBdr>
        <w:top w:val="none" w:sz="0" w:space="0" w:color="auto"/>
        <w:left w:val="none" w:sz="0" w:space="0" w:color="auto"/>
        <w:bottom w:val="none" w:sz="0" w:space="0" w:color="auto"/>
        <w:right w:val="none" w:sz="0" w:space="0" w:color="auto"/>
      </w:divBdr>
    </w:div>
    <w:div w:id="314919415">
      <w:bodyDiv w:val="1"/>
      <w:marLeft w:val="0"/>
      <w:marRight w:val="0"/>
      <w:marTop w:val="0"/>
      <w:marBottom w:val="0"/>
      <w:divBdr>
        <w:top w:val="none" w:sz="0" w:space="0" w:color="auto"/>
        <w:left w:val="none" w:sz="0" w:space="0" w:color="auto"/>
        <w:bottom w:val="none" w:sz="0" w:space="0" w:color="auto"/>
        <w:right w:val="none" w:sz="0" w:space="0" w:color="auto"/>
      </w:divBdr>
    </w:div>
    <w:div w:id="329525171">
      <w:bodyDiv w:val="1"/>
      <w:marLeft w:val="0"/>
      <w:marRight w:val="0"/>
      <w:marTop w:val="0"/>
      <w:marBottom w:val="0"/>
      <w:divBdr>
        <w:top w:val="none" w:sz="0" w:space="0" w:color="auto"/>
        <w:left w:val="none" w:sz="0" w:space="0" w:color="auto"/>
        <w:bottom w:val="none" w:sz="0" w:space="0" w:color="auto"/>
        <w:right w:val="none" w:sz="0" w:space="0" w:color="auto"/>
      </w:divBdr>
    </w:div>
    <w:div w:id="374308336">
      <w:bodyDiv w:val="1"/>
      <w:marLeft w:val="0"/>
      <w:marRight w:val="0"/>
      <w:marTop w:val="0"/>
      <w:marBottom w:val="0"/>
      <w:divBdr>
        <w:top w:val="none" w:sz="0" w:space="0" w:color="auto"/>
        <w:left w:val="none" w:sz="0" w:space="0" w:color="auto"/>
        <w:bottom w:val="none" w:sz="0" w:space="0" w:color="auto"/>
        <w:right w:val="none" w:sz="0" w:space="0" w:color="auto"/>
      </w:divBdr>
      <w:divsChild>
        <w:div w:id="148834312">
          <w:marLeft w:val="0"/>
          <w:marRight w:val="0"/>
          <w:marTop w:val="0"/>
          <w:marBottom w:val="0"/>
          <w:divBdr>
            <w:top w:val="none" w:sz="0" w:space="0" w:color="auto"/>
            <w:left w:val="none" w:sz="0" w:space="0" w:color="auto"/>
            <w:bottom w:val="none" w:sz="0" w:space="0" w:color="auto"/>
            <w:right w:val="none" w:sz="0" w:space="0" w:color="auto"/>
          </w:divBdr>
        </w:div>
        <w:div w:id="874004143">
          <w:marLeft w:val="0"/>
          <w:marRight w:val="0"/>
          <w:marTop w:val="0"/>
          <w:marBottom w:val="0"/>
          <w:divBdr>
            <w:top w:val="none" w:sz="0" w:space="0" w:color="auto"/>
            <w:left w:val="none" w:sz="0" w:space="0" w:color="auto"/>
            <w:bottom w:val="none" w:sz="0" w:space="0" w:color="auto"/>
            <w:right w:val="none" w:sz="0" w:space="0" w:color="auto"/>
          </w:divBdr>
        </w:div>
        <w:div w:id="1490949165">
          <w:marLeft w:val="0"/>
          <w:marRight w:val="0"/>
          <w:marTop w:val="0"/>
          <w:marBottom w:val="0"/>
          <w:divBdr>
            <w:top w:val="none" w:sz="0" w:space="0" w:color="auto"/>
            <w:left w:val="none" w:sz="0" w:space="0" w:color="auto"/>
            <w:bottom w:val="none" w:sz="0" w:space="0" w:color="auto"/>
            <w:right w:val="none" w:sz="0" w:space="0" w:color="auto"/>
          </w:divBdr>
        </w:div>
      </w:divsChild>
    </w:div>
    <w:div w:id="379407023">
      <w:bodyDiv w:val="1"/>
      <w:marLeft w:val="0"/>
      <w:marRight w:val="0"/>
      <w:marTop w:val="0"/>
      <w:marBottom w:val="0"/>
      <w:divBdr>
        <w:top w:val="none" w:sz="0" w:space="0" w:color="auto"/>
        <w:left w:val="none" w:sz="0" w:space="0" w:color="auto"/>
        <w:bottom w:val="none" w:sz="0" w:space="0" w:color="auto"/>
        <w:right w:val="none" w:sz="0" w:space="0" w:color="auto"/>
      </w:divBdr>
    </w:div>
    <w:div w:id="389497584">
      <w:bodyDiv w:val="1"/>
      <w:marLeft w:val="0"/>
      <w:marRight w:val="0"/>
      <w:marTop w:val="0"/>
      <w:marBottom w:val="0"/>
      <w:divBdr>
        <w:top w:val="none" w:sz="0" w:space="0" w:color="auto"/>
        <w:left w:val="none" w:sz="0" w:space="0" w:color="auto"/>
        <w:bottom w:val="none" w:sz="0" w:space="0" w:color="auto"/>
        <w:right w:val="none" w:sz="0" w:space="0" w:color="auto"/>
      </w:divBdr>
    </w:div>
    <w:div w:id="395208967">
      <w:bodyDiv w:val="1"/>
      <w:marLeft w:val="0"/>
      <w:marRight w:val="0"/>
      <w:marTop w:val="0"/>
      <w:marBottom w:val="0"/>
      <w:divBdr>
        <w:top w:val="none" w:sz="0" w:space="0" w:color="auto"/>
        <w:left w:val="none" w:sz="0" w:space="0" w:color="auto"/>
        <w:bottom w:val="none" w:sz="0" w:space="0" w:color="auto"/>
        <w:right w:val="none" w:sz="0" w:space="0" w:color="auto"/>
      </w:divBdr>
    </w:div>
    <w:div w:id="433021387">
      <w:bodyDiv w:val="1"/>
      <w:marLeft w:val="0"/>
      <w:marRight w:val="0"/>
      <w:marTop w:val="0"/>
      <w:marBottom w:val="0"/>
      <w:divBdr>
        <w:top w:val="none" w:sz="0" w:space="0" w:color="auto"/>
        <w:left w:val="none" w:sz="0" w:space="0" w:color="auto"/>
        <w:bottom w:val="none" w:sz="0" w:space="0" w:color="auto"/>
        <w:right w:val="none" w:sz="0" w:space="0" w:color="auto"/>
      </w:divBdr>
    </w:div>
    <w:div w:id="582760086">
      <w:bodyDiv w:val="1"/>
      <w:marLeft w:val="0"/>
      <w:marRight w:val="0"/>
      <w:marTop w:val="0"/>
      <w:marBottom w:val="0"/>
      <w:divBdr>
        <w:top w:val="none" w:sz="0" w:space="0" w:color="auto"/>
        <w:left w:val="none" w:sz="0" w:space="0" w:color="auto"/>
        <w:bottom w:val="none" w:sz="0" w:space="0" w:color="auto"/>
        <w:right w:val="none" w:sz="0" w:space="0" w:color="auto"/>
      </w:divBdr>
    </w:div>
    <w:div w:id="588587272">
      <w:bodyDiv w:val="1"/>
      <w:marLeft w:val="0"/>
      <w:marRight w:val="0"/>
      <w:marTop w:val="0"/>
      <w:marBottom w:val="0"/>
      <w:divBdr>
        <w:top w:val="none" w:sz="0" w:space="0" w:color="auto"/>
        <w:left w:val="none" w:sz="0" w:space="0" w:color="auto"/>
        <w:bottom w:val="none" w:sz="0" w:space="0" w:color="auto"/>
        <w:right w:val="none" w:sz="0" w:space="0" w:color="auto"/>
      </w:divBdr>
    </w:div>
    <w:div w:id="812647395">
      <w:bodyDiv w:val="1"/>
      <w:marLeft w:val="0"/>
      <w:marRight w:val="0"/>
      <w:marTop w:val="0"/>
      <w:marBottom w:val="0"/>
      <w:divBdr>
        <w:top w:val="none" w:sz="0" w:space="0" w:color="auto"/>
        <w:left w:val="none" w:sz="0" w:space="0" w:color="auto"/>
        <w:bottom w:val="none" w:sz="0" w:space="0" w:color="auto"/>
        <w:right w:val="none" w:sz="0" w:space="0" w:color="auto"/>
      </w:divBdr>
    </w:div>
    <w:div w:id="1024744556">
      <w:bodyDiv w:val="1"/>
      <w:marLeft w:val="0"/>
      <w:marRight w:val="0"/>
      <w:marTop w:val="0"/>
      <w:marBottom w:val="0"/>
      <w:divBdr>
        <w:top w:val="none" w:sz="0" w:space="0" w:color="auto"/>
        <w:left w:val="none" w:sz="0" w:space="0" w:color="auto"/>
        <w:bottom w:val="none" w:sz="0" w:space="0" w:color="auto"/>
        <w:right w:val="none" w:sz="0" w:space="0" w:color="auto"/>
      </w:divBdr>
    </w:div>
    <w:div w:id="1056664462">
      <w:bodyDiv w:val="1"/>
      <w:marLeft w:val="0"/>
      <w:marRight w:val="0"/>
      <w:marTop w:val="0"/>
      <w:marBottom w:val="0"/>
      <w:divBdr>
        <w:top w:val="none" w:sz="0" w:space="0" w:color="auto"/>
        <w:left w:val="none" w:sz="0" w:space="0" w:color="auto"/>
        <w:bottom w:val="none" w:sz="0" w:space="0" w:color="auto"/>
        <w:right w:val="none" w:sz="0" w:space="0" w:color="auto"/>
      </w:divBdr>
    </w:div>
    <w:div w:id="1059671812">
      <w:bodyDiv w:val="1"/>
      <w:marLeft w:val="0"/>
      <w:marRight w:val="0"/>
      <w:marTop w:val="0"/>
      <w:marBottom w:val="0"/>
      <w:divBdr>
        <w:top w:val="none" w:sz="0" w:space="0" w:color="auto"/>
        <w:left w:val="none" w:sz="0" w:space="0" w:color="auto"/>
        <w:bottom w:val="none" w:sz="0" w:space="0" w:color="auto"/>
        <w:right w:val="none" w:sz="0" w:space="0" w:color="auto"/>
      </w:divBdr>
    </w:div>
    <w:div w:id="1095514116">
      <w:bodyDiv w:val="1"/>
      <w:marLeft w:val="0"/>
      <w:marRight w:val="0"/>
      <w:marTop w:val="0"/>
      <w:marBottom w:val="0"/>
      <w:divBdr>
        <w:top w:val="none" w:sz="0" w:space="0" w:color="auto"/>
        <w:left w:val="none" w:sz="0" w:space="0" w:color="auto"/>
        <w:bottom w:val="none" w:sz="0" w:space="0" w:color="auto"/>
        <w:right w:val="none" w:sz="0" w:space="0" w:color="auto"/>
      </w:divBdr>
    </w:div>
    <w:div w:id="1191993203">
      <w:bodyDiv w:val="1"/>
      <w:marLeft w:val="0"/>
      <w:marRight w:val="0"/>
      <w:marTop w:val="0"/>
      <w:marBottom w:val="0"/>
      <w:divBdr>
        <w:top w:val="none" w:sz="0" w:space="0" w:color="auto"/>
        <w:left w:val="none" w:sz="0" w:space="0" w:color="auto"/>
        <w:bottom w:val="none" w:sz="0" w:space="0" w:color="auto"/>
        <w:right w:val="none" w:sz="0" w:space="0" w:color="auto"/>
      </w:divBdr>
      <w:divsChild>
        <w:div w:id="2078546437">
          <w:marLeft w:val="0"/>
          <w:marRight w:val="0"/>
          <w:marTop w:val="0"/>
          <w:marBottom w:val="0"/>
          <w:divBdr>
            <w:top w:val="none" w:sz="0" w:space="0" w:color="auto"/>
            <w:left w:val="none" w:sz="0" w:space="0" w:color="auto"/>
            <w:bottom w:val="none" w:sz="0" w:space="0" w:color="auto"/>
            <w:right w:val="none" w:sz="0" w:space="0" w:color="auto"/>
          </w:divBdr>
        </w:div>
      </w:divsChild>
    </w:div>
    <w:div w:id="1220634201">
      <w:bodyDiv w:val="1"/>
      <w:marLeft w:val="0"/>
      <w:marRight w:val="0"/>
      <w:marTop w:val="0"/>
      <w:marBottom w:val="0"/>
      <w:divBdr>
        <w:top w:val="none" w:sz="0" w:space="0" w:color="auto"/>
        <w:left w:val="none" w:sz="0" w:space="0" w:color="auto"/>
        <w:bottom w:val="none" w:sz="0" w:space="0" w:color="auto"/>
        <w:right w:val="none" w:sz="0" w:space="0" w:color="auto"/>
      </w:divBdr>
    </w:div>
    <w:div w:id="1263609305">
      <w:bodyDiv w:val="1"/>
      <w:marLeft w:val="0"/>
      <w:marRight w:val="0"/>
      <w:marTop w:val="0"/>
      <w:marBottom w:val="0"/>
      <w:divBdr>
        <w:top w:val="none" w:sz="0" w:space="0" w:color="auto"/>
        <w:left w:val="none" w:sz="0" w:space="0" w:color="auto"/>
        <w:bottom w:val="none" w:sz="0" w:space="0" w:color="auto"/>
        <w:right w:val="none" w:sz="0" w:space="0" w:color="auto"/>
      </w:divBdr>
    </w:div>
    <w:div w:id="1264722591">
      <w:bodyDiv w:val="1"/>
      <w:marLeft w:val="0"/>
      <w:marRight w:val="0"/>
      <w:marTop w:val="0"/>
      <w:marBottom w:val="0"/>
      <w:divBdr>
        <w:top w:val="none" w:sz="0" w:space="0" w:color="auto"/>
        <w:left w:val="none" w:sz="0" w:space="0" w:color="auto"/>
        <w:bottom w:val="none" w:sz="0" w:space="0" w:color="auto"/>
        <w:right w:val="none" w:sz="0" w:space="0" w:color="auto"/>
      </w:divBdr>
    </w:div>
    <w:div w:id="1314332461">
      <w:bodyDiv w:val="1"/>
      <w:marLeft w:val="0"/>
      <w:marRight w:val="0"/>
      <w:marTop w:val="0"/>
      <w:marBottom w:val="0"/>
      <w:divBdr>
        <w:top w:val="none" w:sz="0" w:space="0" w:color="auto"/>
        <w:left w:val="none" w:sz="0" w:space="0" w:color="auto"/>
        <w:bottom w:val="none" w:sz="0" w:space="0" w:color="auto"/>
        <w:right w:val="none" w:sz="0" w:space="0" w:color="auto"/>
      </w:divBdr>
    </w:div>
    <w:div w:id="1367219394">
      <w:bodyDiv w:val="1"/>
      <w:marLeft w:val="0"/>
      <w:marRight w:val="0"/>
      <w:marTop w:val="0"/>
      <w:marBottom w:val="0"/>
      <w:divBdr>
        <w:top w:val="none" w:sz="0" w:space="0" w:color="auto"/>
        <w:left w:val="none" w:sz="0" w:space="0" w:color="auto"/>
        <w:bottom w:val="none" w:sz="0" w:space="0" w:color="auto"/>
        <w:right w:val="none" w:sz="0" w:space="0" w:color="auto"/>
      </w:divBdr>
    </w:div>
    <w:div w:id="1440489455">
      <w:bodyDiv w:val="1"/>
      <w:marLeft w:val="0"/>
      <w:marRight w:val="0"/>
      <w:marTop w:val="0"/>
      <w:marBottom w:val="0"/>
      <w:divBdr>
        <w:top w:val="none" w:sz="0" w:space="0" w:color="auto"/>
        <w:left w:val="none" w:sz="0" w:space="0" w:color="auto"/>
        <w:bottom w:val="none" w:sz="0" w:space="0" w:color="auto"/>
        <w:right w:val="none" w:sz="0" w:space="0" w:color="auto"/>
      </w:divBdr>
    </w:div>
    <w:div w:id="1502549669">
      <w:bodyDiv w:val="1"/>
      <w:marLeft w:val="0"/>
      <w:marRight w:val="0"/>
      <w:marTop w:val="0"/>
      <w:marBottom w:val="0"/>
      <w:divBdr>
        <w:top w:val="none" w:sz="0" w:space="0" w:color="auto"/>
        <w:left w:val="none" w:sz="0" w:space="0" w:color="auto"/>
        <w:bottom w:val="none" w:sz="0" w:space="0" w:color="auto"/>
        <w:right w:val="none" w:sz="0" w:space="0" w:color="auto"/>
      </w:divBdr>
    </w:div>
    <w:div w:id="1566060960">
      <w:bodyDiv w:val="1"/>
      <w:marLeft w:val="0"/>
      <w:marRight w:val="0"/>
      <w:marTop w:val="0"/>
      <w:marBottom w:val="0"/>
      <w:divBdr>
        <w:top w:val="none" w:sz="0" w:space="0" w:color="auto"/>
        <w:left w:val="none" w:sz="0" w:space="0" w:color="auto"/>
        <w:bottom w:val="none" w:sz="0" w:space="0" w:color="auto"/>
        <w:right w:val="none" w:sz="0" w:space="0" w:color="auto"/>
      </w:divBdr>
    </w:div>
    <w:div w:id="1586112118">
      <w:bodyDiv w:val="1"/>
      <w:marLeft w:val="0"/>
      <w:marRight w:val="0"/>
      <w:marTop w:val="0"/>
      <w:marBottom w:val="0"/>
      <w:divBdr>
        <w:top w:val="none" w:sz="0" w:space="0" w:color="auto"/>
        <w:left w:val="none" w:sz="0" w:space="0" w:color="auto"/>
        <w:bottom w:val="none" w:sz="0" w:space="0" w:color="auto"/>
        <w:right w:val="none" w:sz="0" w:space="0" w:color="auto"/>
      </w:divBdr>
    </w:div>
    <w:div w:id="1587810765">
      <w:bodyDiv w:val="1"/>
      <w:marLeft w:val="0"/>
      <w:marRight w:val="0"/>
      <w:marTop w:val="0"/>
      <w:marBottom w:val="0"/>
      <w:divBdr>
        <w:top w:val="none" w:sz="0" w:space="0" w:color="auto"/>
        <w:left w:val="none" w:sz="0" w:space="0" w:color="auto"/>
        <w:bottom w:val="none" w:sz="0" w:space="0" w:color="auto"/>
        <w:right w:val="none" w:sz="0" w:space="0" w:color="auto"/>
      </w:divBdr>
    </w:div>
    <w:div w:id="1594127612">
      <w:bodyDiv w:val="1"/>
      <w:marLeft w:val="0"/>
      <w:marRight w:val="0"/>
      <w:marTop w:val="0"/>
      <w:marBottom w:val="0"/>
      <w:divBdr>
        <w:top w:val="none" w:sz="0" w:space="0" w:color="auto"/>
        <w:left w:val="none" w:sz="0" w:space="0" w:color="auto"/>
        <w:bottom w:val="none" w:sz="0" w:space="0" w:color="auto"/>
        <w:right w:val="none" w:sz="0" w:space="0" w:color="auto"/>
      </w:divBdr>
    </w:div>
    <w:div w:id="1666279674">
      <w:bodyDiv w:val="1"/>
      <w:marLeft w:val="0"/>
      <w:marRight w:val="0"/>
      <w:marTop w:val="0"/>
      <w:marBottom w:val="0"/>
      <w:divBdr>
        <w:top w:val="none" w:sz="0" w:space="0" w:color="auto"/>
        <w:left w:val="none" w:sz="0" w:space="0" w:color="auto"/>
        <w:bottom w:val="none" w:sz="0" w:space="0" w:color="auto"/>
        <w:right w:val="none" w:sz="0" w:space="0" w:color="auto"/>
      </w:divBdr>
    </w:div>
    <w:div w:id="1680572305">
      <w:bodyDiv w:val="1"/>
      <w:marLeft w:val="0"/>
      <w:marRight w:val="0"/>
      <w:marTop w:val="0"/>
      <w:marBottom w:val="0"/>
      <w:divBdr>
        <w:top w:val="none" w:sz="0" w:space="0" w:color="auto"/>
        <w:left w:val="none" w:sz="0" w:space="0" w:color="auto"/>
        <w:bottom w:val="none" w:sz="0" w:space="0" w:color="auto"/>
        <w:right w:val="none" w:sz="0" w:space="0" w:color="auto"/>
      </w:divBdr>
    </w:div>
    <w:div w:id="1941254399">
      <w:bodyDiv w:val="1"/>
      <w:marLeft w:val="0"/>
      <w:marRight w:val="0"/>
      <w:marTop w:val="0"/>
      <w:marBottom w:val="0"/>
      <w:divBdr>
        <w:top w:val="none" w:sz="0" w:space="0" w:color="auto"/>
        <w:left w:val="none" w:sz="0" w:space="0" w:color="auto"/>
        <w:bottom w:val="none" w:sz="0" w:space="0" w:color="auto"/>
        <w:right w:val="none" w:sz="0" w:space="0" w:color="auto"/>
      </w:divBdr>
    </w:div>
    <w:div w:id="1964187880">
      <w:bodyDiv w:val="1"/>
      <w:marLeft w:val="0"/>
      <w:marRight w:val="0"/>
      <w:marTop w:val="0"/>
      <w:marBottom w:val="0"/>
      <w:divBdr>
        <w:top w:val="none" w:sz="0" w:space="0" w:color="auto"/>
        <w:left w:val="none" w:sz="0" w:space="0" w:color="auto"/>
        <w:bottom w:val="none" w:sz="0" w:space="0" w:color="auto"/>
        <w:right w:val="none" w:sz="0" w:space="0" w:color="auto"/>
      </w:divBdr>
    </w:div>
    <w:div w:id="2002544522">
      <w:bodyDiv w:val="1"/>
      <w:marLeft w:val="0"/>
      <w:marRight w:val="0"/>
      <w:marTop w:val="0"/>
      <w:marBottom w:val="0"/>
      <w:divBdr>
        <w:top w:val="none" w:sz="0" w:space="0" w:color="auto"/>
        <w:left w:val="none" w:sz="0" w:space="0" w:color="auto"/>
        <w:bottom w:val="none" w:sz="0" w:space="0" w:color="auto"/>
        <w:right w:val="none" w:sz="0" w:space="0" w:color="auto"/>
      </w:divBdr>
    </w:div>
    <w:div w:id="2025011147">
      <w:bodyDiv w:val="1"/>
      <w:marLeft w:val="0"/>
      <w:marRight w:val="0"/>
      <w:marTop w:val="0"/>
      <w:marBottom w:val="0"/>
      <w:divBdr>
        <w:top w:val="none" w:sz="0" w:space="0" w:color="auto"/>
        <w:left w:val="none" w:sz="0" w:space="0" w:color="auto"/>
        <w:bottom w:val="none" w:sz="0" w:space="0" w:color="auto"/>
        <w:right w:val="none" w:sz="0" w:space="0" w:color="auto"/>
      </w:divBdr>
    </w:div>
    <w:div w:id="2092268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Shared%20drives\Entities\FIDE%20Tec\Stationary\Report%2001HD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Qgj/sC3FVKbKxe5RXj+lynb7Zfw==">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</go:docsCustomData>
</go:gDocsCustomXmlDataStorage>
</file>

<file path=customXml/itemProps1.xml><?xml version="1.0" encoding="utf-8"?>
<ds:datastoreItem xmlns:ds="http://schemas.openxmlformats.org/officeDocument/2006/customXml" ds:itemID="{8B301DB2-2FB8-49C2-B9FF-4B9BCC0A75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Report 01HDT.dotx</Template>
  <TotalTime>92</TotalTime>
  <Pages>28</Pages>
  <Words>7315</Words>
  <Characters>38665</Characters>
  <Application>Microsoft Office Word</Application>
  <DocSecurity>0</DocSecurity>
  <Lines>906</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du Toit</dc:creator>
  <cp:keywords/>
  <dc:description/>
  <cp:lastModifiedBy>Hendrik du Toit</cp:lastModifiedBy>
  <cp:revision>9</cp:revision>
  <cp:lastPrinted>2025-02-25T22:30:00Z</cp:lastPrinted>
  <dcterms:created xsi:type="dcterms:W3CDTF">2025-11-26T11:15:00Z</dcterms:created>
  <dcterms:modified xsi:type="dcterms:W3CDTF">2026-08-24T20:40:00Z</dcterms:modified>
</cp:coreProperties>
</file>