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Uniwersytet Warszawski</w:t>
      </w:r>
    </w:p>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 xml:space="preserve">Wydział Nauk Ekonomicznych </w:t>
      </w:r>
    </w:p>
    <w:p w:rsidR="00916383" w:rsidRPr="00916383" w:rsidRDefault="00916383" w:rsidP="00916383">
      <w:pPr>
        <w:spacing w:after="0" w:line="240" w:lineRule="auto"/>
        <w:jc w:val="center"/>
        <w:rPr>
          <w:rFonts w:ascii="Times New Roman" w:eastAsia="Times New Roman" w:hAnsi="Times New Roman" w:cs="Times New Roman"/>
          <w:b/>
          <w:sz w:val="36"/>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8"/>
          <w:szCs w:val="24"/>
          <w:lang w:eastAsia="pl-PL"/>
        </w:rPr>
      </w:pPr>
      <w:r>
        <w:rPr>
          <w:rFonts w:ascii="Times New Roman" w:eastAsia="Times New Roman" w:hAnsi="Times New Roman" w:cs="Times New Roman"/>
          <w:sz w:val="28"/>
          <w:szCs w:val="24"/>
          <w:lang w:eastAsia="pl-PL"/>
        </w:rPr>
        <w:t>Aleksandra Jędrych</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Nr albumu: </w:t>
      </w:r>
      <w:r>
        <w:rPr>
          <w:rFonts w:ascii="Times New Roman" w:eastAsia="Times New Roman" w:hAnsi="Times New Roman" w:cs="Times New Roman"/>
          <w:sz w:val="24"/>
          <w:szCs w:val="24"/>
          <w:lang w:eastAsia="pl-PL"/>
        </w:rPr>
        <w:t>419458</w:t>
      </w: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8B7D2C" w:rsidRPr="00916383" w:rsidRDefault="008B7D2C"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Czy COVID-19 sprawił, że nie chcemy rodzić dzieci?</w:t>
      </w:r>
    </w:p>
    <w:p w:rsidR="00916383" w:rsidRP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Analiza determinant współczynnika urodzeń</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 </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3A0D4B" w:rsidRDefault="003A0D4B" w:rsidP="00916383">
      <w:pPr>
        <w:spacing w:after="0" w:line="240" w:lineRule="auto"/>
        <w:jc w:val="center"/>
        <w:rPr>
          <w:rFonts w:ascii="Times New Roman" w:eastAsia="Times New Roman" w:hAnsi="Times New Roman" w:cs="Times New Roman"/>
          <w:sz w:val="24"/>
          <w:szCs w:val="24"/>
          <w:lang w:eastAsia="pl-PL"/>
        </w:rPr>
      </w:pPr>
    </w:p>
    <w:p w:rsidR="003A0D4B" w:rsidRPr="00916383" w:rsidRDefault="003A0D4B"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Praca wykonana pod kierunkiem</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d</w:t>
      </w:r>
      <w:r w:rsidR="003A0D4B">
        <w:rPr>
          <w:rFonts w:ascii="Times New Roman" w:eastAsia="Times New Roman" w:hAnsi="Times New Roman" w:cs="Times New Roman"/>
          <w:sz w:val="24"/>
          <w:szCs w:val="24"/>
          <w:lang w:eastAsia="pl-PL"/>
        </w:rPr>
        <w:t>r Olgi Zajkowskiej</w:t>
      </w:r>
    </w:p>
    <w:p w:rsidR="003A0D4B"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z </w:t>
      </w:r>
      <w:r w:rsidR="003A0D4B">
        <w:rPr>
          <w:rFonts w:ascii="Times New Roman" w:eastAsia="Times New Roman" w:hAnsi="Times New Roman" w:cs="Times New Roman"/>
          <w:sz w:val="24"/>
          <w:szCs w:val="24"/>
          <w:lang w:eastAsia="pl-PL"/>
        </w:rPr>
        <w:t>Katedry</w:t>
      </w:r>
      <w:r w:rsidR="003A0D4B" w:rsidRPr="003A0D4B">
        <w:rPr>
          <w:rFonts w:ascii="Times New Roman" w:eastAsia="Times New Roman" w:hAnsi="Times New Roman" w:cs="Times New Roman"/>
          <w:sz w:val="24"/>
          <w:szCs w:val="24"/>
          <w:lang w:eastAsia="pl-PL"/>
        </w:rPr>
        <w:t xml:space="preserve"> Statystyki i Ekonometrii</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WNE UW</w:t>
      </w:r>
    </w:p>
    <w:p w:rsidR="00916383" w:rsidRPr="00916383" w:rsidRDefault="00916383" w:rsidP="00916383">
      <w:pPr>
        <w:spacing w:after="0" w:line="240" w:lineRule="auto"/>
        <w:ind w:left="2832" w:firstLine="252"/>
        <w:jc w:val="both"/>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ab/>
      </w:r>
      <w:r w:rsidRPr="00916383">
        <w:rPr>
          <w:rFonts w:ascii="Times New Roman" w:eastAsia="Times New Roman" w:hAnsi="Times New Roman" w:cs="Times New Roman"/>
          <w:sz w:val="24"/>
          <w:szCs w:val="24"/>
          <w:lang w:eastAsia="pl-PL"/>
        </w:rPr>
        <w:tab/>
      </w: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Warszawa, </w:t>
      </w:r>
      <w:r w:rsidR="003A0D4B">
        <w:rPr>
          <w:rFonts w:ascii="Times New Roman" w:eastAsia="Times New Roman" w:hAnsi="Times New Roman" w:cs="Times New Roman"/>
          <w:sz w:val="24"/>
          <w:szCs w:val="24"/>
          <w:lang w:eastAsia="pl-PL"/>
        </w:rPr>
        <w:t>styczeń 2022</w:t>
      </w:r>
    </w:p>
    <w:p w:rsidR="0032439F" w:rsidRPr="007E1B32" w:rsidRDefault="0032439F">
      <w:pPr>
        <w:rPr>
          <w:rFonts w:eastAsiaTheme="minorEastAsia"/>
          <w:b/>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Streszczenie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sz w:val="24"/>
          <w:szCs w:val="24"/>
          <w:lang w:eastAsia="pl-PL"/>
        </w:rPr>
        <w:t>P</w:t>
      </w:r>
      <w:r w:rsidR="009B04AE">
        <w:rPr>
          <w:rFonts w:ascii="Times New Roman" w:eastAsia="Times New Roman" w:hAnsi="Times New Roman" w:cs="Times New Roman"/>
          <w:sz w:val="24"/>
          <w:szCs w:val="24"/>
          <w:lang w:eastAsia="pl-PL"/>
        </w:rPr>
        <w:t xml:space="preserve">andemia COVID-19 </w:t>
      </w:r>
      <w:r w:rsidR="001D3A2B">
        <w:rPr>
          <w:rFonts w:ascii="Times New Roman" w:eastAsia="Times New Roman" w:hAnsi="Times New Roman" w:cs="Times New Roman"/>
          <w:sz w:val="24"/>
          <w:szCs w:val="24"/>
          <w:lang w:eastAsia="pl-PL"/>
        </w:rPr>
        <w:t>spowodowała, że wiele ludzi musiało zmienić swoje dotychczasowe życie. Zmiany w strukturach demograficznych i ekonomii oddziałują na współczynnik urodzeń. Praca podejmuje problematykę wpływu zmiennych ekonomicznych na podejmowanie decyzji dotyczących prokreacji</w:t>
      </w:r>
      <w:r w:rsidR="00121A6C">
        <w:rPr>
          <w:rFonts w:ascii="Times New Roman" w:eastAsia="Times New Roman" w:hAnsi="Times New Roman" w:cs="Times New Roman"/>
          <w:sz w:val="24"/>
          <w:szCs w:val="24"/>
          <w:lang w:eastAsia="pl-PL"/>
        </w:rPr>
        <w:t xml:space="preserve"> w powiatach w Polsce</w:t>
      </w:r>
      <w:r w:rsidR="001D3A2B">
        <w:rPr>
          <w:rFonts w:ascii="Times New Roman" w:eastAsia="Times New Roman" w:hAnsi="Times New Roman" w:cs="Times New Roman"/>
          <w:sz w:val="24"/>
          <w:szCs w:val="24"/>
          <w:lang w:eastAsia="pl-PL"/>
        </w:rPr>
        <w:t xml:space="preserve">. </w:t>
      </w: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Słowa kluczowe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12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współczynnik urodze</w:t>
      </w:r>
      <w:r w:rsidR="005E1BE0">
        <w:rPr>
          <w:rFonts w:ascii="Times New Roman" w:eastAsia="Times New Roman" w:hAnsi="Times New Roman" w:cs="Times New Roman"/>
          <w:sz w:val="24"/>
          <w:szCs w:val="24"/>
          <w:lang w:eastAsia="pl-PL"/>
        </w:rPr>
        <w:t>ń, dzietność, COVID-19, pandemia</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b/>
          <w:sz w:val="24"/>
          <w:szCs w:val="24"/>
          <w:lang w:eastAsia="pl-PL"/>
        </w:rPr>
        <w:t>Dziedzina pracy (kody wg programu Erasmus)</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sz w:val="24"/>
          <w:szCs w:val="24"/>
          <w:lang w:eastAsia="pl-PL"/>
        </w:rPr>
        <w:t>Ekonomia (14300)</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Tytuł pracy w języku angielskim</w:t>
      </w:r>
    </w:p>
    <w:p w:rsidR="003A0D4B" w:rsidRPr="003A0D4B" w:rsidRDefault="003A0D4B" w:rsidP="003A0D4B">
      <w:pPr>
        <w:keepNext/>
        <w:spacing w:after="0" w:line="240" w:lineRule="auto"/>
        <w:jc w:val="center"/>
        <w:outlineLvl w:val="0"/>
        <w:rPr>
          <w:rFonts w:ascii="Times New Roman" w:eastAsia="Times New Roman" w:hAnsi="Times New Roman" w:cs="Times New Roman"/>
          <w:bCs/>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noProof/>
          <w:sz w:val="24"/>
          <w:szCs w:val="24"/>
          <w:lang w:eastAsia="pl-PL"/>
        </w:rPr>
      </w:pPr>
      <w:r w:rsidRPr="003A0D4B">
        <w:rPr>
          <w:rFonts w:ascii="Times New Roman" w:eastAsia="Times New Roman" w:hAnsi="Times New Roman" w:cs="Times New Roman"/>
          <w:i/>
          <w:noProof/>
          <w:sz w:val="24"/>
          <w:szCs w:val="24"/>
          <w:lang w:eastAsia="pl-PL"/>
        </w:rPr>
        <w:t>Has COVID-19 made us not want to have children?</w:t>
      </w: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i/>
          <w:noProof/>
          <w:sz w:val="24"/>
          <w:szCs w:val="24"/>
          <w:lang w:eastAsia="pl-PL"/>
        </w:rPr>
        <w:t>Analysis of birth rate determinants</w:t>
      </w:r>
    </w:p>
    <w:p w:rsidR="003A0D4B" w:rsidRPr="003A0D4B" w:rsidRDefault="003A0D4B" w:rsidP="003A0D4B">
      <w:pPr>
        <w:spacing w:after="0" w:line="240" w:lineRule="auto"/>
        <w:ind w:left="360" w:hanging="360"/>
        <w:jc w:val="center"/>
        <w:rPr>
          <w:rFonts w:ascii="Times New Roman" w:eastAsia="Times New Roman" w:hAnsi="Times New Roman" w:cs="Times New Roman"/>
          <w:spacing w:val="-3"/>
          <w:sz w:val="24"/>
          <w:szCs w:val="24"/>
          <w:lang w:eastAsia="pl-PL"/>
        </w:rPr>
      </w:pPr>
    </w:p>
    <w:p w:rsidR="003A0D4B" w:rsidRPr="003A0D4B" w:rsidRDefault="003A0D4B" w:rsidP="003A0D4B">
      <w:pPr>
        <w:spacing w:after="0" w:line="240" w:lineRule="auto"/>
        <w:ind w:left="360"/>
        <w:jc w:val="center"/>
        <w:rPr>
          <w:rFonts w:ascii="Times New Roman" w:eastAsia="Times New Roman" w:hAnsi="Times New Roman" w:cs="Times New Roman"/>
          <w:spacing w:val="-3"/>
          <w:sz w:val="24"/>
          <w:szCs w:val="24"/>
          <w:lang w:eastAsia="pl-PL"/>
        </w:rPr>
      </w:pPr>
    </w:p>
    <w:p w:rsidR="00C64569" w:rsidRPr="007E1B32" w:rsidRDefault="003A0D4B" w:rsidP="005E1BE0">
      <w:pPr>
        <w:rPr>
          <w:rFonts w:eastAsiaTheme="minorEastAsia"/>
          <w:b/>
        </w:rPr>
      </w:pPr>
      <w:r w:rsidRPr="003A0D4B">
        <w:rPr>
          <w:rFonts w:ascii="Times New Roman" w:eastAsia="Times New Roman" w:hAnsi="Times New Roman" w:cs="Times New Roman"/>
          <w:spacing w:val="-3"/>
          <w:sz w:val="24"/>
          <w:szCs w:val="24"/>
          <w:lang w:eastAsia="pl-PL"/>
        </w:rPr>
        <w:br w:type="page"/>
      </w:r>
    </w:p>
    <w:p w:rsidR="006A5921" w:rsidRPr="006A5921" w:rsidRDefault="006A5921" w:rsidP="006A5921">
      <w:pPr>
        <w:keepNext/>
        <w:spacing w:after="0" w:line="240" w:lineRule="auto"/>
        <w:jc w:val="center"/>
        <w:outlineLvl w:val="0"/>
        <w:rPr>
          <w:rFonts w:ascii="Times New Roman" w:eastAsia="Times New Roman" w:hAnsi="Times New Roman" w:cs="Times New Roman"/>
          <w:b/>
          <w:bCs/>
          <w:sz w:val="24"/>
          <w:szCs w:val="24"/>
          <w:lang w:eastAsia="pl-PL"/>
        </w:rPr>
      </w:pPr>
      <w:r w:rsidRPr="006A5921">
        <w:rPr>
          <w:rFonts w:ascii="Times New Roman" w:eastAsia="Times New Roman" w:hAnsi="Times New Roman" w:cs="Times New Roman"/>
          <w:b/>
          <w:bCs/>
          <w:sz w:val="24"/>
          <w:szCs w:val="24"/>
          <w:lang w:eastAsia="pl-PL"/>
        </w:rPr>
        <w:t>SPIS TREŚCI</w:t>
      </w:r>
    </w:p>
    <w:p w:rsidR="006A5921" w:rsidRPr="006A5921" w:rsidRDefault="006A5921" w:rsidP="006A5921">
      <w:pPr>
        <w:spacing w:after="0" w:line="240" w:lineRule="auto"/>
        <w:rPr>
          <w:rFonts w:ascii="Times New Roman" w:eastAsia="Times New Roman" w:hAnsi="Times New Roman" w:cs="Times New Roman"/>
          <w:sz w:val="24"/>
          <w:szCs w:val="24"/>
          <w:lang w:eastAsia="pl-PL"/>
        </w:rPr>
      </w:pPr>
    </w:p>
    <w:p w:rsidR="006A5921" w:rsidRPr="006A5921" w:rsidRDefault="006A5921" w:rsidP="006A5921">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6A5921" w:rsidRPr="006A5921" w:rsidTr="005E693D">
        <w:tblPrEx>
          <w:tblCellMar>
            <w:top w:w="0" w:type="dxa"/>
            <w:bottom w:w="0" w:type="dxa"/>
          </w:tblCellMar>
        </w:tblPrEx>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r w:rsidRPr="006A5921">
              <w:rPr>
                <w:rFonts w:ascii="Times New Roman" w:eastAsia="Times New Roman" w:hAnsi="Times New Roman" w:cs="Times New Roman"/>
                <w:caps/>
                <w:sz w:val="24"/>
                <w:szCs w:val="24"/>
                <w:lang w:eastAsia="pl-PL"/>
              </w:rPr>
              <w:t>WSTĘP..................................................................................................................................</w:t>
            </w:r>
          </w:p>
        </w:tc>
        <w:tc>
          <w:tcPr>
            <w:tcW w:w="473" w:type="dxa"/>
          </w:tcPr>
          <w:p w:rsidR="006A5921" w:rsidRPr="006A5921" w:rsidRDefault="008B7D2C"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4</w:t>
            </w:r>
          </w:p>
        </w:tc>
      </w:tr>
      <w:tr w:rsidR="006A5921" w:rsidRPr="006A5921" w:rsidTr="005E693D">
        <w:tblPrEx>
          <w:tblCellMar>
            <w:top w:w="0" w:type="dxa"/>
            <w:bottom w:w="0" w:type="dxa"/>
          </w:tblCellMar>
        </w:tblPrEx>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5E693D" w:rsidP="006A5921">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 </w:t>
            </w:r>
            <w:r>
              <w:rPr>
                <w:rFonts w:ascii="Times New Roman" w:eastAsia="Times New Roman" w:hAnsi="Times New Roman" w:cs="Times New Roman"/>
                <w:sz w:val="24"/>
                <w:szCs w:val="24"/>
                <w:lang w:eastAsia="pl-PL"/>
              </w:rPr>
              <w:t>Przegląd literatury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6A5921" w:rsidRPr="006A5921" w:rsidRDefault="008B7D2C"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5</w:t>
            </w:r>
          </w:p>
        </w:tc>
      </w:tr>
      <w:tr w:rsidR="006A5921" w:rsidRPr="006A5921" w:rsidTr="005E693D">
        <w:tblPrEx>
          <w:tblCellMar>
            <w:top w:w="0" w:type="dxa"/>
            <w:bottom w:w="0" w:type="dxa"/>
          </w:tblCellMar>
        </w:tblPrEx>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5E693D" w:rsidP="006A5921">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II. </w:t>
            </w:r>
            <w:r>
              <w:rPr>
                <w:rFonts w:ascii="Times New Roman" w:eastAsia="Times New Roman" w:hAnsi="Times New Roman" w:cs="Times New Roman"/>
                <w:sz w:val="24"/>
                <w:szCs w:val="24"/>
                <w:lang w:eastAsia="pl-PL"/>
              </w:rPr>
              <w:t xml:space="preserve">Hipotezy badawcze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6A5921" w:rsidRPr="006A5921" w:rsidRDefault="00A20ACE"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6A5921" w:rsidRPr="006A5921" w:rsidTr="005E693D">
        <w:tblPrEx>
          <w:tblCellMar>
            <w:top w:w="0" w:type="dxa"/>
            <w:bottom w:w="0" w:type="dxa"/>
          </w:tblCellMar>
        </w:tblPrEx>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A20ACE" w:rsidP="006A5921">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2.1. </w:t>
            </w:r>
            <w:r w:rsidRPr="00A20ACE">
              <w:rPr>
                <w:rFonts w:ascii="Times New Roman" w:eastAsia="Times New Roman" w:hAnsi="Times New Roman" w:cs="Times New Roman"/>
                <w:sz w:val="24"/>
                <w:szCs w:val="24"/>
                <w:lang w:eastAsia="pl-PL"/>
              </w:rPr>
              <w:t>Hipotezy o wpływie pandemii COVID-19 na współczynnik urodzeń</w:t>
            </w:r>
            <w:r>
              <w:rPr>
                <w:rFonts w:ascii="Times New Roman" w:eastAsia="Times New Roman" w:hAnsi="Times New Roman" w:cs="Times New Roman"/>
                <w:sz w:val="24"/>
                <w:szCs w:val="24"/>
                <w:lang w:eastAsia="pl-PL"/>
              </w:rPr>
              <w:t xml:space="preserve"> ...........</w:t>
            </w:r>
            <w:r w:rsidR="006A5921" w:rsidRPr="006A5921">
              <w:rPr>
                <w:rFonts w:ascii="Times New Roman" w:eastAsia="Times New Roman" w:hAnsi="Times New Roman" w:cs="Times New Roman"/>
                <w:caps/>
                <w:sz w:val="24"/>
                <w:szCs w:val="24"/>
                <w:lang w:eastAsia="pl-PL"/>
              </w:rPr>
              <w:t xml:space="preserve">............... </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A20ACE" w:rsidRPr="006A5921" w:rsidRDefault="00A20ACE"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A20ACE" w:rsidRPr="006A5921" w:rsidTr="00F10AF8">
        <w:tblPrEx>
          <w:tblCellMar>
            <w:top w:w="0" w:type="dxa"/>
            <w:bottom w:w="0" w:type="dxa"/>
          </w:tblCellMar>
        </w:tblPrEx>
        <w:trPr>
          <w:jc w:val="center"/>
        </w:trPr>
        <w:tc>
          <w:tcPr>
            <w:tcW w:w="8738" w:type="dxa"/>
          </w:tcPr>
          <w:p w:rsidR="00F10AF8" w:rsidRDefault="00F10AF8" w:rsidP="00A20ACE">
            <w:pPr>
              <w:tabs>
                <w:tab w:val="num" w:pos="600"/>
              </w:tabs>
              <w:spacing w:after="0" w:line="240" w:lineRule="auto"/>
              <w:rPr>
                <w:rFonts w:ascii="Times New Roman" w:eastAsia="Times New Roman" w:hAnsi="Times New Roman" w:cs="Times New Roman"/>
                <w:sz w:val="24"/>
                <w:szCs w:val="24"/>
                <w:lang w:eastAsia="pl-PL"/>
              </w:rPr>
            </w:pPr>
          </w:p>
          <w:p w:rsidR="00A20ACE" w:rsidRPr="006A5921" w:rsidRDefault="00A20ACE" w:rsidP="00A20ACE">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2.2. Pozostałe hipotezy ..........................................................................................</w:t>
            </w:r>
            <w:r w:rsidRPr="006A5921">
              <w:rPr>
                <w:rFonts w:ascii="Times New Roman" w:eastAsia="Times New Roman" w:hAnsi="Times New Roman" w:cs="Times New Roman"/>
                <w:caps/>
                <w:sz w:val="24"/>
                <w:szCs w:val="24"/>
                <w:lang w:eastAsia="pl-PL"/>
              </w:rPr>
              <w:t xml:space="preserve">............... </w:t>
            </w:r>
          </w:p>
        </w:tc>
        <w:tc>
          <w:tcPr>
            <w:tcW w:w="473" w:type="dxa"/>
          </w:tcPr>
          <w:p w:rsidR="00F10AF8" w:rsidRDefault="00F10AF8" w:rsidP="00F10AF8">
            <w:pPr>
              <w:spacing w:after="0" w:line="240" w:lineRule="auto"/>
              <w:jc w:val="right"/>
              <w:rPr>
                <w:rFonts w:ascii="Times New Roman" w:eastAsia="Times New Roman" w:hAnsi="Times New Roman" w:cs="Times New Roman"/>
                <w:caps/>
                <w:sz w:val="24"/>
                <w:szCs w:val="24"/>
                <w:lang w:eastAsia="pl-PL"/>
              </w:rPr>
            </w:pPr>
          </w:p>
          <w:p w:rsidR="00A20ACE"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9</w:t>
            </w:r>
          </w:p>
          <w:p w:rsidR="00A20ACE" w:rsidRPr="006A5921" w:rsidRDefault="00A20ACE" w:rsidP="00F10AF8">
            <w:pPr>
              <w:spacing w:after="0" w:line="240" w:lineRule="auto"/>
              <w:jc w:val="right"/>
              <w:rPr>
                <w:rFonts w:ascii="Times New Roman" w:eastAsia="Times New Roman" w:hAnsi="Times New Roman" w:cs="Times New Roman"/>
                <w:caps/>
                <w:sz w:val="24"/>
                <w:szCs w:val="24"/>
                <w:lang w:eastAsia="pl-PL"/>
              </w:rPr>
            </w:pPr>
          </w:p>
        </w:tc>
      </w:tr>
      <w:tr w:rsidR="00D66922" w:rsidRPr="006A5921" w:rsidTr="005E693D">
        <w:tblPrEx>
          <w:tblCellMar>
            <w:top w:w="0" w:type="dxa"/>
            <w:bottom w:w="0" w:type="dxa"/>
          </w:tblCellMar>
        </w:tblPrEx>
        <w:trPr>
          <w:jc w:val="center"/>
        </w:trPr>
        <w:tc>
          <w:tcPr>
            <w:tcW w:w="8738" w:type="dxa"/>
          </w:tcPr>
          <w:p w:rsidR="00D66922" w:rsidRPr="006A5921" w:rsidRDefault="00D66922" w:rsidP="00D66922">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ROZDZIAŁ II</w:t>
            </w:r>
            <w:r w:rsidR="00121A6C">
              <w:rPr>
                <w:rFonts w:ascii="Times New Roman" w:eastAsia="Times New Roman" w:hAnsi="Times New Roman" w:cs="Times New Roman"/>
                <w:caps/>
                <w:sz w:val="24"/>
                <w:szCs w:val="24"/>
                <w:lang w:eastAsia="pl-PL"/>
              </w:rPr>
              <w:t>I</w:t>
            </w:r>
            <w:r>
              <w:rPr>
                <w:rFonts w:ascii="Times New Roman" w:eastAsia="Times New Roman" w:hAnsi="Times New Roman" w:cs="Times New Roman"/>
                <w:caps/>
                <w:sz w:val="24"/>
                <w:szCs w:val="24"/>
                <w:lang w:eastAsia="pl-PL"/>
              </w:rPr>
              <w:t xml:space="preserve">. </w:t>
            </w:r>
            <w:r w:rsidR="00121A6C">
              <w:rPr>
                <w:rFonts w:ascii="Times New Roman" w:eastAsia="Times New Roman" w:hAnsi="Times New Roman" w:cs="Times New Roman"/>
                <w:sz w:val="24"/>
                <w:szCs w:val="24"/>
                <w:lang w:eastAsia="pl-PL"/>
              </w:rPr>
              <w:t>Analiza danych</w:t>
            </w:r>
            <w:r>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121A6C">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D66922" w:rsidRPr="006A5921" w:rsidRDefault="008B7D2C" w:rsidP="00D66922">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p w:rsidR="00D66922" w:rsidRPr="006A5921" w:rsidRDefault="00D66922" w:rsidP="00D66922">
            <w:pPr>
              <w:spacing w:after="0" w:line="240" w:lineRule="auto"/>
              <w:jc w:val="right"/>
              <w:rPr>
                <w:rFonts w:ascii="Times New Roman" w:eastAsia="Times New Roman" w:hAnsi="Times New Roman" w:cs="Times New Roman"/>
                <w:caps/>
                <w:sz w:val="24"/>
                <w:szCs w:val="24"/>
                <w:lang w:eastAsia="pl-PL"/>
              </w:rPr>
            </w:pPr>
          </w:p>
        </w:tc>
      </w:tr>
      <w:tr w:rsidR="00121A6C" w:rsidRPr="006A5921" w:rsidTr="005E693D">
        <w:tblPrEx>
          <w:tblCellMar>
            <w:top w:w="0" w:type="dxa"/>
            <w:bottom w:w="0" w:type="dxa"/>
          </w:tblCellMar>
        </w:tblPrEx>
        <w:trPr>
          <w:jc w:val="center"/>
        </w:trPr>
        <w:tc>
          <w:tcPr>
            <w:tcW w:w="8738" w:type="dxa"/>
          </w:tcPr>
          <w:p w:rsidR="00121A6C" w:rsidRDefault="00121A6C" w:rsidP="00121A6C">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3.1. Źródła danych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F10AF8" w:rsidRDefault="00F10AF8" w:rsidP="00121A6C">
            <w:pPr>
              <w:tabs>
                <w:tab w:val="num" w:pos="600"/>
              </w:tabs>
              <w:spacing w:after="0" w:line="240" w:lineRule="auto"/>
              <w:rPr>
                <w:rFonts w:ascii="Times New Roman" w:eastAsia="Times New Roman" w:hAnsi="Times New Roman" w:cs="Times New Roman"/>
                <w:sz w:val="24"/>
                <w:szCs w:val="24"/>
                <w:lang w:eastAsia="pl-PL"/>
              </w:rPr>
            </w:pPr>
          </w:p>
          <w:p w:rsidR="00121A6C" w:rsidRPr="006A5921" w:rsidRDefault="00121A6C" w:rsidP="00121A6C">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 Opis zmiennych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p w:rsidR="00F10AF8" w:rsidRDefault="00F10AF8" w:rsidP="00121A6C">
            <w:pPr>
              <w:spacing w:after="0" w:line="240" w:lineRule="auto"/>
              <w:jc w:val="right"/>
              <w:rPr>
                <w:rFonts w:ascii="Times New Roman" w:eastAsia="Times New Roman" w:hAnsi="Times New Roman" w:cs="Times New Roman"/>
                <w:caps/>
                <w:sz w:val="24"/>
                <w:szCs w:val="24"/>
                <w:lang w:eastAsia="pl-PL"/>
              </w:rPr>
            </w:pPr>
          </w:p>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blPrEx>
          <w:tblCellMar>
            <w:top w:w="0" w:type="dxa"/>
            <w:bottom w:w="0" w:type="dxa"/>
          </w:tblCellMar>
        </w:tblPrEx>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3.2.1. Zmienna objaśniana</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blPrEx>
          <w:tblCellMar>
            <w:top w:w="0" w:type="dxa"/>
            <w:bottom w:w="0" w:type="dxa"/>
          </w:tblCellMar>
        </w:tblPrEx>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blPrEx>
          <w:tblCellMar>
            <w:top w:w="0" w:type="dxa"/>
            <w:bottom w:w="0" w:type="dxa"/>
          </w:tblCellMar>
        </w:tblPrEx>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p>
        </w:tc>
        <w:tc>
          <w:tcPr>
            <w:tcW w:w="473" w:type="dxa"/>
          </w:tcPr>
          <w:p w:rsidR="00121A6C" w:rsidRPr="006A5921" w:rsidRDefault="00121A6C" w:rsidP="00121A6C">
            <w:pPr>
              <w:spacing w:after="0" w:line="240" w:lineRule="auto"/>
              <w:jc w:val="right"/>
              <w:rPr>
                <w:rFonts w:ascii="Times New Roman" w:eastAsia="Times New Roman" w:hAnsi="Times New Roman" w:cs="Times New Roman"/>
                <w:caps/>
                <w:sz w:val="24"/>
                <w:szCs w:val="24"/>
                <w:lang w:eastAsia="pl-PL"/>
              </w:rPr>
            </w:pPr>
          </w:p>
        </w:tc>
      </w:tr>
      <w:tr w:rsidR="00F10AF8" w:rsidRPr="006A5921" w:rsidTr="00F10AF8">
        <w:tblPrEx>
          <w:tblCellMar>
            <w:top w:w="0" w:type="dxa"/>
            <w:bottom w:w="0" w:type="dxa"/>
          </w:tblCellMar>
        </w:tblPrEx>
        <w:trPr>
          <w:jc w:val="center"/>
        </w:trPr>
        <w:tc>
          <w:tcPr>
            <w:tcW w:w="8738" w:type="dxa"/>
          </w:tcPr>
          <w:p w:rsidR="00F10AF8" w:rsidRPr="006A5921" w:rsidRDefault="00F10AF8" w:rsidP="00F10AF8">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 Statystyczna analiza wybranych zmiennych</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blPrEx>
          <w:tblCellMar>
            <w:top w:w="0" w:type="dxa"/>
            <w:bottom w:w="0" w:type="dxa"/>
          </w:tblCellMar>
        </w:tblPrEx>
        <w:trPr>
          <w:jc w:val="center"/>
        </w:trPr>
        <w:tc>
          <w:tcPr>
            <w:tcW w:w="8738" w:type="dxa"/>
          </w:tcPr>
          <w:p w:rsidR="00F10AF8" w:rsidRPr="006A5921" w:rsidRDefault="00F10AF8" w:rsidP="00F10AF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3.3.1. Zmienna objaśniana – współczynnik urodzeń (</w:t>
            </w:r>
            <w:r w:rsidRPr="00F10AF8">
              <w:rPr>
                <w:rFonts w:ascii="Times New Roman" w:eastAsia="Times New Roman" w:hAnsi="Times New Roman" w:cs="Times New Roman"/>
                <w:i/>
                <w:sz w:val="24"/>
                <w:szCs w:val="24"/>
                <w:lang w:eastAsia="pl-PL"/>
              </w:rPr>
              <w:t>birth_rate</w:t>
            </w:r>
            <w:r w:rsidR="00B72C87">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blPrEx>
          <w:tblCellMar>
            <w:top w:w="0" w:type="dxa"/>
            <w:bottom w:w="0" w:type="dxa"/>
          </w:tblCellMar>
        </w:tblPrEx>
        <w:trPr>
          <w:jc w:val="center"/>
        </w:trPr>
        <w:tc>
          <w:tcPr>
            <w:tcW w:w="8738" w:type="dxa"/>
          </w:tcPr>
          <w:p w:rsidR="00F10AF8" w:rsidRPr="006A5921" w:rsidRDefault="00F10AF8" w:rsidP="00F10AF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15</w:t>
            </w:r>
          </w:p>
        </w:tc>
      </w:tr>
      <w:tr w:rsidR="00F10AF8" w:rsidRPr="006A5921" w:rsidTr="00F10AF8">
        <w:tblPrEx>
          <w:tblCellMar>
            <w:top w:w="0" w:type="dxa"/>
            <w:bottom w:w="0" w:type="dxa"/>
          </w:tblCellMar>
        </w:tblPrEx>
        <w:trPr>
          <w:jc w:val="center"/>
        </w:trPr>
        <w:tc>
          <w:tcPr>
            <w:tcW w:w="8738" w:type="dxa"/>
          </w:tcPr>
          <w:p w:rsidR="00F10AF8" w:rsidRDefault="00F10AF8" w:rsidP="00F10AF8">
            <w:pPr>
              <w:spacing w:after="0" w:line="240" w:lineRule="auto"/>
              <w:rPr>
                <w:rFonts w:ascii="Times New Roman" w:eastAsia="Times New Roman" w:hAnsi="Times New Roman" w:cs="Times New Roman"/>
                <w:caps/>
                <w:sz w:val="24"/>
                <w:szCs w:val="24"/>
                <w:lang w:eastAsia="pl-PL"/>
              </w:rPr>
            </w:pPr>
          </w:p>
          <w:p w:rsidR="00F10AF8" w:rsidRPr="006A5921" w:rsidRDefault="00F10AF8" w:rsidP="00F10AF8">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IV. </w:t>
            </w:r>
            <w:r>
              <w:rPr>
                <w:rFonts w:ascii="Times New Roman" w:eastAsia="Times New Roman" w:hAnsi="Times New Roman" w:cs="Times New Roman"/>
                <w:sz w:val="24"/>
                <w:szCs w:val="24"/>
                <w:lang w:eastAsia="pl-PL"/>
              </w:rPr>
              <w:t xml:space="preserve">Formy funkcyjne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F10AF8" w:rsidP="00F10AF8">
            <w:pPr>
              <w:spacing w:after="0" w:line="240" w:lineRule="auto"/>
              <w:jc w:val="right"/>
              <w:rPr>
                <w:rFonts w:ascii="Times New Roman" w:eastAsia="Times New Roman" w:hAnsi="Times New Roman" w:cs="Times New Roman"/>
                <w:caps/>
                <w:sz w:val="24"/>
                <w:szCs w:val="24"/>
                <w:lang w:eastAsia="pl-PL"/>
              </w:rPr>
            </w:pPr>
          </w:p>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20</w:t>
            </w:r>
          </w:p>
        </w:tc>
      </w:tr>
      <w:tr w:rsidR="00B72C87" w:rsidRPr="006A5921" w:rsidTr="005E693D">
        <w:tblPrEx>
          <w:tblCellMar>
            <w:top w:w="0" w:type="dxa"/>
            <w:bottom w:w="0" w:type="dxa"/>
          </w:tblCellMar>
        </w:tblPrEx>
        <w:trPr>
          <w:jc w:val="center"/>
        </w:trPr>
        <w:tc>
          <w:tcPr>
            <w:tcW w:w="8738" w:type="dxa"/>
          </w:tcPr>
          <w:p w:rsidR="00B72C87" w:rsidRDefault="00B72C87" w:rsidP="00B72C87">
            <w:pPr>
              <w:spacing w:after="0" w:line="240" w:lineRule="auto"/>
              <w:rPr>
                <w:rFonts w:ascii="Times New Roman" w:eastAsia="Times New Roman" w:hAnsi="Times New Roman" w:cs="Times New Roman"/>
                <w:caps/>
                <w:sz w:val="24"/>
                <w:szCs w:val="24"/>
                <w:lang w:eastAsia="pl-PL"/>
              </w:rPr>
            </w:pPr>
          </w:p>
          <w:p w:rsidR="00B72C87" w:rsidRPr="006A5921" w:rsidRDefault="00B72C87" w:rsidP="00B72C87">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V. </w:t>
            </w:r>
            <w:r>
              <w:rPr>
                <w:rFonts w:ascii="Times New Roman" w:eastAsia="Times New Roman" w:hAnsi="Times New Roman" w:cs="Times New Roman"/>
                <w:sz w:val="24"/>
                <w:szCs w:val="24"/>
                <w:lang w:eastAsia="pl-PL"/>
              </w:rPr>
              <w:t xml:space="preserve">Diagnostyka modelu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p w:rsidR="00B72C87" w:rsidRDefault="008B7D2C"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22</w:t>
            </w:r>
          </w:p>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blPrEx>
          <w:tblCellMar>
            <w:top w:w="0" w:type="dxa"/>
            <w:bottom w:w="0" w:type="dxa"/>
          </w:tblCellMar>
        </w:tblPrEx>
        <w:trPr>
          <w:jc w:val="center"/>
        </w:trPr>
        <w:tc>
          <w:tcPr>
            <w:tcW w:w="8738" w:type="dxa"/>
          </w:tcPr>
          <w:p w:rsidR="00B72C87" w:rsidRPr="006A5921"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5.1. Założenie o prawidłowej formie funkcyjnej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8B7D2C" w:rsidRDefault="008B7D2C" w:rsidP="008B7D2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22</w:t>
            </w:r>
          </w:p>
          <w:p w:rsidR="008B7D2C" w:rsidRPr="008B7D2C" w:rsidRDefault="008B7D2C" w:rsidP="008B7D2C">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blPrEx>
          <w:tblCellMar>
            <w:top w:w="0" w:type="dxa"/>
            <w:bottom w:w="0" w:type="dxa"/>
          </w:tblCellMar>
        </w:tblPrEx>
        <w:trPr>
          <w:jc w:val="center"/>
        </w:trPr>
        <w:tc>
          <w:tcPr>
            <w:tcW w:w="8738" w:type="dxa"/>
          </w:tcPr>
          <w:p w:rsidR="008B7D2C" w:rsidRDefault="008B7D2C" w:rsidP="00B72C87">
            <w:pPr>
              <w:tabs>
                <w:tab w:val="num" w:pos="600"/>
              </w:tabs>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5.2. Założenie o homoskedastyczności reszt ε</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8B7D2C" w:rsidRDefault="008B7D2C" w:rsidP="00B72C87">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5.3. Założenie o normalności rozkładu reszt ε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5.4. Założenie o braku autokorelacji czynników losowych ε</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23</w:t>
            </w:r>
          </w:p>
          <w:p w:rsidR="00B72C87" w:rsidRDefault="00B72C87" w:rsidP="00B72C87">
            <w:pPr>
              <w:spacing w:after="0" w:line="240" w:lineRule="auto"/>
              <w:jc w:val="right"/>
              <w:rPr>
                <w:rFonts w:ascii="Times New Roman" w:eastAsia="Times New Roman" w:hAnsi="Times New Roman" w:cs="Times New Roman"/>
                <w:caps/>
                <w:sz w:val="24"/>
                <w:szCs w:val="24"/>
                <w:lang w:eastAsia="pl-PL"/>
              </w:rPr>
            </w:pP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25</w:t>
            </w: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p>
          <w:p w:rsidR="00BF47F0"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tc>
      </w:tr>
      <w:tr w:rsidR="00B72C87" w:rsidRPr="006A5921" w:rsidTr="005E693D">
        <w:tblPrEx>
          <w:tblCellMar>
            <w:top w:w="0" w:type="dxa"/>
            <w:bottom w:w="0" w:type="dxa"/>
          </w:tblCellMar>
        </w:tblPrEx>
        <w:trPr>
          <w:jc w:val="center"/>
        </w:trPr>
        <w:tc>
          <w:tcPr>
            <w:tcW w:w="8738" w:type="dxa"/>
          </w:tcPr>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5.5. Współliniowość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A418F4">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 Obserwacje nietypowe i błędne</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p w:rsidR="00B72C87"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p>
          <w:p w:rsidR="00BF47F0"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29</w:t>
            </w:r>
          </w:p>
        </w:tc>
      </w:tr>
      <w:tr w:rsidR="00B72C87" w:rsidRPr="006A5921" w:rsidTr="00D86F48">
        <w:tblPrEx>
          <w:tblCellMar>
            <w:top w:w="0" w:type="dxa"/>
            <w:bottom w:w="0" w:type="dxa"/>
          </w:tblCellMar>
        </w:tblPrEx>
        <w:trPr>
          <w:jc w:val="center"/>
        </w:trPr>
        <w:tc>
          <w:tcPr>
            <w:tcW w:w="8738" w:type="dxa"/>
          </w:tcPr>
          <w:p w:rsidR="00B72C87" w:rsidRPr="006A5921" w:rsidRDefault="00B72C87" w:rsidP="00D86F4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w:t>
            </w:r>
            <w:r w:rsidR="00A418F4">
              <w:rPr>
                <w:rFonts w:ascii="Times New Roman" w:eastAsia="Times New Roman" w:hAnsi="Times New Roman" w:cs="Times New Roman"/>
                <w:sz w:val="24"/>
                <w:szCs w:val="24"/>
                <w:lang w:eastAsia="pl-PL"/>
              </w:rPr>
              <w:t>.1. Dźwignia (</w:t>
            </w:r>
            <w:r w:rsidR="00A418F4" w:rsidRPr="00A418F4">
              <w:rPr>
                <w:rFonts w:ascii="Times New Roman" w:eastAsia="Times New Roman" w:hAnsi="Times New Roman" w:cs="Times New Roman"/>
                <w:i/>
                <w:sz w:val="24"/>
                <w:szCs w:val="24"/>
                <w:lang w:eastAsia="pl-PL"/>
              </w:rPr>
              <w:t>leverage</w:t>
            </w:r>
            <w:r w:rsidR="00A418F4">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00A418F4">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F47F0" w:rsidP="00D86F4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29</w:t>
            </w:r>
          </w:p>
        </w:tc>
      </w:tr>
      <w:tr w:rsidR="00B72C87" w:rsidRPr="006A5921" w:rsidTr="00D86F48">
        <w:tblPrEx>
          <w:tblCellMar>
            <w:top w:w="0" w:type="dxa"/>
            <w:bottom w:w="0" w:type="dxa"/>
          </w:tblCellMar>
        </w:tblPrEx>
        <w:trPr>
          <w:jc w:val="center"/>
        </w:trPr>
        <w:tc>
          <w:tcPr>
            <w:tcW w:w="8738" w:type="dxa"/>
          </w:tcPr>
          <w:p w:rsidR="00B72C87" w:rsidRPr="006A5921" w:rsidRDefault="00B72C87" w:rsidP="00A418F4">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w:t>
            </w:r>
            <w:r>
              <w:rPr>
                <w:rFonts w:ascii="Times New Roman" w:eastAsia="Times New Roman" w:hAnsi="Times New Roman" w:cs="Times New Roman"/>
                <w:sz w:val="24"/>
                <w:szCs w:val="24"/>
                <w:lang w:eastAsia="pl-PL"/>
              </w:rPr>
              <w:t xml:space="preserve">.2. </w:t>
            </w:r>
            <w:r w:rsidR="00A418F4">
              <w:rPr>
                <w:rFonts w:ascii="Times New Roman" w:eastAsia="Times New Roman" w:hAnsi="Times New Roman" w:cs="Times New Roman"/>
                <w:sz w:val="24"/>
                <w:szCs w:val="24"/>
                <w:lang w:eastAsia="pl-PL"/>
              </w:rPr>
              <w:t>Standaryzowane reszty</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F47F0" w:rsidP="00D86F4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30</w:t>
            </w:r>
          </w:p>
        </w:tc>
      </w:tr>
      <w:tr w:rsidR="00A418F4" w:rsidRPr="006A5921" w:rsidTr="005E693D">
        <w:tblPrEx>
          <w:tblCellMar>
            <w:top w:w="0" w:type="dxa"/>
            <w:bottom w:w="0" w:type="dxa"/>
          </w:tblCellMar>
        </w:tblPrEx>
        <w:trPr>
          <w:jc w:val="center"/>
        </w:trPr>
        <w:tc>
          <w:tcPr>
            <w:tcW w:w="8738" w:type="dxa"/>
          </w:tcPr>
          <w:p w:rsidR="00A418F4" w:rsidRDefault="00A418F4" w:rsidP="00A418F4">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5.6.3. Odległość Cooka </w:t>
            </w:r>
            <w:r>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bl>
            <w:tblPr>
              <w:tblW w:w="9211" w:type="dxa"/>
              <w:jc w:val="center"/>
              <w:tblLayout w:type="fixed"/>
              <w:tblCellMar>
                <w:left w:w="70" w:type="dxa"/>
                <w:right w:w="70" w:type="dxa"/>
              </w:tblCellMar>
              <w:tblLook w:val="0000" w:firstRow="0" w:lastRow="0" w:firstColumn="0" w:lastColumn="0" w:noHBand="0" w:noVBand="0"/>
            </w:tblPr>
            <w:tblGrid>
              <w:gridCol w:w="9211"/>
            </w:tblGrid>
            <w:tr w:rsidR="00BF47F0" w:rsidRPr="006A5921" w:rsidTr="00D86F48">
              <w:tblPrEx>
                <w:tblCellMar>
                  <w:top w:w="0" w:type="dxa"/>
                  <w:bottom w:w="0" w:type="dxa"/>
                </w:tblCellMar>
              </w:tblPrEx>
              <w:trPr>
                <w:jc w:val="center"/>
              </w:trPr>
              <w:tc>
                <w:tcPr>
                  <w:tcW w:w="8738" w:type="dxa"/>
                </w:tcPr>
                <w:p w:rsidR="00BF47F0" w:rsidRDefault="00BF47F0" w:rsidP="00BF47F0">
                  <w:pPr>
                    <w:spacing w:after="0" w:line="240" w:lineRule="auto"/>
                    <w:rPr>
                      <w:rFonts w:ascii="Times New Roman" w:eastAsia="Times New Roman" w:hAnsi="Times New Roman" w:cs="Times New Roman"/>
                      <w:caps/>
                      <w:sz w:val="24"/>
                      <w:szCs w:val="24"/>
                      <w:lang w:eastAsia="pl-PL"/>
                    </w:rPr>
                  </w:pPr>
                </w:p>
                <w:p w:rsidR="00BF47F0" w:rsidRPr="006A5921" w:rsidRDefault="00372EAD" w:rsidP="00B6196B">
                  <w:pPr>
                    <w:spacing w:after="0" w:line="240" w:lineRule="auto"/>
                    <w:ind w:firstLine="2"/>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r</w:t>
                  </w:r>
                  <w:r w:rsidR="00BF47F0">
                    <w:rPr>
                      <w:rFonts w:ascii="Times New Roman" w:eastAsia="Times New Roman" w:hAnsi="Times New Roman" w:cs="Times New Roman"/>
                      <w:caps/>
                      <w:sz w:val="24"/>
                      <w:szCs w:val="24"/>
                      <w:lang w:eastAsia="pl-PL"/>
                    </w:rPr>
                    <w:t xml:space="preserve">OZDZIAŁ VI. </w:t>
                  </w:r>
                  <w:r w:rsidR="00BF47F0">
                    <w:rPr>
                      <w:rFonts w:ascii="Times New Roman" w:eastAsia="Times New Roman" w:hAnsi="Times New Roman" w:cs="Times New Roman"/>
                      <w:sz w:val="24"/>
                      <w:szCs w:val="24"/>
                      <w:lang w:eastAsia="pl-PL"/>
                    </w:rPr>
                    <w:t xml:space="preserve">Weryfikacja hipotez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p>
              </w:tc>
            </w:tr>
            <w:tr w:rsidR="00BF47F0" w:rsidRPr="006A5921" w:rsidTr="00D86F48">
              <w:tblPrEx>
                <w:tblCellMar>
                  <w:top w:w="0" w:type="dxa"/>
                  <w:bottom w:w="0" w:type="dxa"/>
                </w:tblCellMar>
              </w:tblPrEx>
              <w:trPr>
                <w:jc w:val="center"/>
              </w:trPr>
              <w:tc>
                <w:tcPr>
                  <w:tcW w:w="8738" w:type="dxa"/>
                </w:tcPr>
                <w:p w:rsidR="00BF47F0" w:rsidRDefault="00BF47F0" w:rsidP="00BF47F0">
                  <w:pPr>
                    <w:tabs>
                      <w:tab w:val="num" w:pos="600"/>
                    </w:tabs>
                    <w:spacing w:after="0" w:line="240" w:lineRule="auto"/>
                    <w:rPr>
                      <w:rFonts w:ascii="Times New Roman" w:eastAsia="Times New Roman" w:hAnsi="Times New Roman" w:cs="Times New Roman"/>
                      <w:sz w:val="24"/>
                      <w:szCs w:val="24"/>
                      <w:lang w:eastAsia="pl-PL"/>
                    </w:rPr>
                  </w:pPr>
                </w:p>
                <w:p w:rsidR="00BF47F0" w:rsidRDefault="00BF47F0" w:rsidP="00B6196B">
                  <w:pPr>
                    <w:tabs>
                      <w:tab w:val="num" w:pos="600"/>
                    </w:tabs>
                    <w:spacing w:after="0" w:line="240" w:lineRule="auto"/>
                    <w:ind w:left="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6.</w:t>
                  </w:r>
                  <w:r>
                    <w:rPr>
                      <w:rFonts w:ascii="Times New Roman" w:eastAsia="Times New Roman" w:hAnsi="Times New Roman" w:cs="Times New Roman"/>
                      <w:sz w:val="24"/>
                      <w:szCs w:val="24"/>
                      <w:lang w:eastAsia="pl-PL"/>
                    </w:rPr>
                    <w:t xml:space="preserve">1. Interpretacja wyników estymacji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F47F0" w:rsidRPr="00A418F4" w:rsidRDefault="00BF47F0" w:rsidP="00BF47F0">
                  <w:pPr>
                    <w:tabs>
                      <w:tab w:val="num" w:pos="600"/>
                    </w:tabs>
                    <w:spacing w:after="0" w:line="240" w:lineRule="auto"/>
                    <w:rPr>
                      <w:rFonts w:ascii="Times New Roman" w:eastAsia="Times New Roman" w:hAnsi="Times New Roman" w:cs="Times New Roman"/>
                      <w:caps/>
                      <w:sz w:val="24"/>
                      <w:szCs w:val="24"/>
                      <w:lang w:eastAsia="pl-PL"/>
                    </w:rPr>
                  </w:pPr>
                </w:p>
                <w:p w:rsidR="00BF47F0" w:rsidRPr="006A5921" w:rsidRDefault="00BF47F0" w:rsidP="00B6196B">
                  <w:pPr>
                    <w:tabs>
                      <w:tab w:val="num" w:pos="600"/>
                    </w:tabs>
                    <w:spacing w:after="0" w:line="240" w:lineRule="auto"/>
                    <w:ind w:firstLine="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6.</w:t>
                  </w:r>
                  <w:r>
                    <w:rPr>
                      <w:rFonts w:ascii="Times New Roman" w:eastAsia="Times New Roman" w:hAnsi="Times New Roman" w:cs="Times New Roman"/>
                      <w:sz w:val="24"/>
                      <w:szCs w:val="24"/>
                      <w:lang w:eastAsia="pl-PL"/>
                    </w:rPr>
                    <w:t>2. Weryfikacja hipotez badawczych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r>
          </w:tbl>
          <w:p w:rsidR="00BF47F0" w:rsidRPr="006A5921" w:rsidRDefault="00BF47F0" w:rsidP="00BF47F0">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BF47F0" w:rsidRPr="006A5921" w:rsidTr="00D86F48">
              <w:tblPrEx>
                <w:tblCellMar>
                  <w:top w:w="0" w:type="dxa"/>
                  <w:bottom w:w="0" w:type="dxa"/>
                </w:tblCellMar>
              </w:tblPrEx>
              <w:trPr>
                <w:jc w:val="center"/>
              </w:trPr>
              <w:tc>
                <w:tcPr>
                  <w:tcW w:w="8738" w:type="dxa"/>
                </w:tcPr>
                <w:p w:rsidR="00BF47F0" w:rsidRPr="006A5921" w:rsidRDefault="00372EAD" w:rsidP="00B6196B">
                  <w:pPr>
                    <w:spacing w:after="0" w:line="240" w:lineRule="auto"/>
                    <w:ind w:firstLine="2"/>
                    <w:rPr>
                      <w:rFonts w:ascii="Times New Roman" w:eastAsia="Times New Roman" w:hAnsi="Times New Roman" w:cs="Times New Roman"/>
                      <w:caps/>
                      <w:sz w:val="24"/>
                      <w:szCs w:val="24"/>
                      <w:lang w:eastAsia="pl-PL"/>
                    </w:rPr>
                  </w:pPr>
                  <w:bookmarkStart w:id="0" w:name="_GoBack" w:colFirst="0" w:colLast="0"/>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z</w:t>
                  </w:r>
                  <w:r w:rsidR="00BF47F0">
                    <w:rPr>
                      <w:rFonts w:ascii="Times New Roman" w:eastAsia="Times New Roman" w:hAnsi="Times New Roman" w:cs="Times New Roman"/>
                      <w:caps/>
                      <w:sz w:val="24"/>
                      <w:szCs w:val="24"/>
                      <w:lang w:eastAsia="pl-PL"/>
                    </w:rPr>
                    <w:t xml:space="preserve">AKOŃCZENIE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p>
              </w:tc>
              <w:tc>
                <w:tcPr>
                  <w:tcW w:w="473" w:type="dxa"/>
                </w:tcPr>
                <w:p w:rsidR="00BF47F0" w:rsidRPr="006A5921" w:rsidRDefault="00BF47F0" w:rsidP="00BF47F0">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w:t>
                  </w:r>
                </w:p>
              </w:tc>
            </w:tr>
            <w:bookmarkEnd w:id="0"/>
          </w:tbl>
          <w:p w:rsidR="00BF47F0" w:rsidRPr="006A5921" w:rsidRDefault="00BF47F0" w:rsidP="00A418F4">
            <w:pPr>
              <w:spacing w:after="0" w:line="240" w:lineRule="auto"/>
              <w:ind w:left="240"/>
              <w:rPr>
                <w:rFonts w:ascii="Times New Roman" w:eastAsia="Times New Roman" w:hAnsi="Times New Roman" w:cs="Times New Roman"/>
                <w:caps/>
                <w:sz w:val="24"/>
                <w:szCs w:val="24"/>
                <w:lang w:eastAsia="pl-PL"/>
              </w:rPr>
            </w:pPr>
          </w:p>
        </w:tc>
        <w:tc>
          <w:tcPr>
            <w:tcW w:w="473" w:type="dxa"/>
          </w:tcPr>
          <w:p w:rsidR="00BF47F0"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31</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A418F4"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32</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32</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34</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BF47F0" w:rsidRPr="006A5921"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35</w:t>
            </w:r>
          </w:p>
          <w:p w:rsidR="00BF47F0" w:rsidRPr="006A5921" w:rsidRDefault="00BF47F0" w:rsidP="00A418F4">
            <w:pPr>
              <w:spacing w:after="0" w:line="240" w:lineRule="auto"/>
              <w:jc w:val="right"/>
              <w:rPr>
                <w:rFonts w:ascii="Times New Roman" w:eastAsia="Times New Roman" w:hAnsi="Times New Roman" w:cs="Times New Roman"/>
                <w:caps/>
                <w:sz w:val="24"/>
                <w:szCs w:val="24"/>
                <w:lang w:eastAsia="pl-PL"/>
              </w:rPr>
            </w:pPr>
          </w:p>
        </w:tc>
      </w:tr>
    </w:tbl>
    <w:p w:rsidR="0032439F" w:rsidRDefault="0032439F">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Pr="00532A96" w:rsidRDefault="006A5921">
      <w:pPr>
        <w:rPr>
          <w:rFonts w:eastAsiaTheme="minorEastAsia"/>
          <w:b/>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32439F" w:rsidRPr="00980030" w:rsidRDefault="0032439F">
      <w:pPr>
        <w:rPr>
          <w:rFonts w:ascii="Times New Roman" w:eastAsia="Times New Roman" w:hAnsi="Times New Roman" w:cs="Times New Roman"/>
          <w:b/>
          <w:caps/>
          <w:sz w:val="24"/>
          <w:szCs w:val="24"/>
          <w:lang w:eastAsia="pl-PL"/>
        </w:rPr>
      </w:pPr>
      <w:r w:rsidRPr="00980030">
        <w:rPr>
          <w:rFonts w:ascii="Times New Roman" w:eastAsia="Times New Roman" w:hAnsi="Times New Roman" w:cs="Times New Roman"/>
          <w:b/>
          <w:caps/>
          <w:sz w:val="24"/>
          <w:szCs w:val="24"/>
          <w:lang w:eastAsia="pl-PL"/>
        </w:rPr>
        <w:t>WSTĘP</w:t>
      </w:r>
    </w:p>
    <w:p w:rsidR="00356ECB" w:rsidRDefault="008F41A2" w:rsidP="006A5921">
      <w:pPr>
        <w:spacing w:before="240" w:after="0" w:line="360" w:lineRule="auto"/>
        <w:jc w:val="both"/>
        <w:rPr>
          <w:rFonts w:ascii="Times New Roman" w:eastAsiaTheme="minorEastAsia" w:hAnsi="Times New Roman" w:cs="Times New Roman"/>
          <w:sz w:val="24"/>
          <w:szCs w:val="24"/>
        </w:rPr>
      </w:pPr>
      <w:r>
        <w:rPr>
          <w:rFonts w:eastAsiaTheme="minorEastAsia"/>
        </w:rPr>
        <w:tab/>
      </w:r>
      <w:r w:rsidR="00C64569" w:rsidRPr="001F57FB">
        <w:rPr>
          <w:rFonts w:ascii="Times New Roman" w:eastAsiaTheme="minorEastAsia" w:hAnsi="Times New Roman" w:cs="Times New Roman"/>
          <w:sz w:val="24"/>
          <w:szCs w:val="24"/>
        </w:rPr>
        <w:t xml:space="preserve">Jednym z problemów, które dotykają państwa </w:t>
      </w:r>
      <w:r w:rsidR="00CA2423" w:rsidRPr="001F57FB">
        <w:rPr>
          <w:rFonts w:ascii="Times New Roman" w:eastAsiaTheme="minorEastAsia" w:hAnsi="Times New Roman" w:cs="Times New Roman"/>
          <w:sz w:val="24"/>
          <w:szCs w:val="24"/>
        </w:rPr>
        <w:t>na świecie</w:t>
      </w:r>
      <w:r w:rsidR="00152514" w:rsidRPr="001F57FB">
        <w:rPr>
          <w:rFonts w:ascii="Times New Roman" w:eastAsiaTheme="minorEastAsia" w:hAnsi="Times New Roman" w:cs="Times New Roman"/>
          <w:sz w:val="24"/>
          <w:szCs w:val="24"/>
        </w:rPr>
        <w:t>, w tym Polskę,</w:t>
      </w:r>
      <w:r w:rsidR="00CA2423" w:rsidRPr="001F57FB">
        <w:rPr>
          <w:rFonts w:ascii="Times New Roman" w:eastAsiaTheme="minorEastAsia" w:hAnsi="Times New Roman" w:cs="Times New Roman"/>
          <w:sz w:val="24"/>
          <w:szCs w:val="24"/>
        </w:rPr>
        <w:t xml:space="preserve"> jest proces intensywnego starzenia się społeczeństwa</w:t>
      </w:r>
      <w:r w:rsidR="0011190C" w:rsidRPr="001F57FB">
        <w:rPr>
          <w:rFonts w:ascii="Times New Roman" w:eastAsiaTheme="minorEastAsia" w:hAnsi="Times New Roman" w:cs="Times New Roman"/>
          <w:sz w:val="24"/>
          <w:szCs w:val="24"/>
        </w:rPr>
        <w:t xml:space="preserve"> przy jednoczesnym zmniejszaniu </w:t>
      </w:r>
      <w:r w:rsidR="006A5921">
        <w:rPr>
          <w:rFonts w:ascii="Times New Roman" w:eastAsiaTheme="minorEastAsia" w:hAnsi="Times New Roman" w:cs="Times New Roman"/>
          <w:sz w:val="24"/>
          <w:szCs w:val="24"/>
        </w:rPr>
        <w:t>młodszych grup wiekowych.</w:t>
      </w:r>
      <w:r w:rsidR="00CA2423" w:rsidRPr="001F57FB">
        <w:rPr>
          <w:rFonts w:ascii="Times New Roman" w:eastAsiaTheme="minorEastAsia" w:hAnsi="Times New Roman" w:cs="Times New Roman"/>
          <w:sz w:val="24"/>
          <w:szCs w:val="24"/>
        </w:rPr>
        <w:t xml:space="preserve"> </w:t>
      </w:r>
      <w:r w:rsidR="0011190C" w:rsidRPr="001F57FB">
        <w:rPr>
          <w:rFonts w:ascii="Times New Roman" w:eastAsiaTheme="minorEastAsia" w:hAnsi="Times New Roman" w:cs="Times New Roman"/>
          <w:sz w:val="24"/>
          <w:szCs w:val="24"/>
        </w:rPr>
        <w:t xml:space="preserve">Zjawisko to w szczególności dotyka kraje rozwinięte i jest następstwem wystąpienia wielu czynników ekonomicznych, społecznych, cywilizacyjnych i kulturowych. </w:t>
      </w:r>
      <w:r w:rsidR="00152514" w:rsidRPr="001F57FB">
        <w:rPr>
          <w:rFonts w:ascii="Times New Roman" w:eastAsiaTheme="minorEastAsia" w:hAnsi="Times New Roman" w:cs="Times New Roman"/>
          <w:sz w:val="24"/>
          <w:szCs w:val="24"/>
        </w:rPr>
        <w:t xml:space="preserve">Duży wpływ ma między innymi spadek tempa przyrostu naturalnego, </w:t>
      </w:r>
      <w:r w:rsidR="003D414D" w:rsidRPr="001F57FB">
        <w:rPr>
          <w:rFonts w:ascii="Times New Roman" w:eastAsiaTheme="minorEastAsia" w:hAnsi="Times New Roman" w:cs="Times New Roman"/>
          <w:sz w:val="24"/>
          <w:szCs w:val="24"/>
        </w:rPr>
        <w:t xml:space="preserve">na </w:t>
      </w:r>
      <w:r w:rsidR="00152514" w:rsidRPr="001F57FB">
        <w:rPr>
          <w:rFonts w:ascii="Times New Roman" w:eastAsiaTheme="minorEastAsia" w:hAnsi="Times New Roman" w:cs="Times New Roman"/>
          <w:sz w:val="24"/>
          <w:szCs w:val="24"/>
        </w:rPr>
        <w:t xml:space="preserve">który </w:t>
      </w:r>
      <w:r w:rsidR="008060F4" w:rsidRPr="001F57FB">
        <w:rPr>
          <w:rFonts w:ascii="Times New Roman" w:eastAsiaTheme="minorEastAsia" w:hAnsi="Times New Roman" w:cs="Times New Roman"/>
          <w:sz w:val="24"/>
          <w:szCs w:val="24"/>
        </w:rPr>
        <w:t xml:space="preserve">oddziałuje </w:t>
      </w:r>
      <w:r w:rsidR="006A5921">
        <w:rPr>
          <w:rFonts w:ascii="Times New Roman" w:eastAsiaTheme="minorEastAsia" w:hAnsi="Times New Roman" w:cs="Times New Roman"/>
          <w:sz w:val="24"/>
          <w:szCs w:val="24"/>
        </w:rPr>
        <w:t xml:space="preserve">liczba urodzeń mierzona między innymi przy pomocy </w:t>
      </w:r>
      <w:r w:rsidR="00152514" w:rsidRPr="001F57FB">
        <w:rPr>
          <w:rFonts w:ascii="Times New Roman" w:eastAsiaTheme="minorEastAsia" w:hAnsi="Times New Roman" w:cs="Times New Roman"/>
          <w:sz w:val="24"/>
          <w:szCs w:val="24"/>
        </w:rPr>
        <w:t>współczynnika urodzeń (stosunku liczby żywych urodzeń na 1000 mieszkańcó</w:t>
      </w:r>
      <w:r w:rsidR="001F57FB" w:rsidRPr="001F57FB">
        <w:rPr>
          <w:rFonts w:ascii="Times New Roman" w:eastAsiaTheme="minorEastAsia" w:hAnsi="Times New Roman" w:cs="Times New Roman"/>
          <w:sz w:val="24"/>
          <w:szCs w:val="24"/>
        </w:rPr>
        <w:t>w).</w:t>
      </w:r>
    </w:p>
    <w:p w:rsidR="001F4270" w:rsidRPr="007B2E8F" w:rsidRDefault="00EA6358" w:rsidP="007B2E8F">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Współczynnik urodzeń jest jedną z najbardziej podstawowych, ale również najważniejszych miar demograficznyc</w:t>
      </w:r>
      <w:r w:rsidR="007B2E8F">
        <w:rPr>
          <w:rFonts w:ascii="Times New Roman" w:eastAsiaTheme="minorEastAsia" w:hAnsi="Times New Roman" w:cs="Times New Roman"/>
          <w:sz w:val="24"/>
          <w:szCs w:val="24"/>
        </w:rPr>
        <w:t>h jak i ek</w:t>
      </w:r>
      <w:r w:rsidR="006A5921">
        <w:rPr>
          <w:rFonts w:ascii="Times New Roman" w:eastAsiaTheme="minorEastAsia" w:hAnsi="Times New Roman" w:cs="Times New Roman"/>
          <w:sz w:val="24"/>
          <w:szCs w:val="24"/>
        </w:rPr>
        <w:t>onomicznych. Jego fluktuacje znacząco oddziałują</w:t>
      </w:r>
      <w:r w:rsidR="007B2E8F">
        <w:rPr>
          <w:rFonts w:ascii="Times New Roman" w:eastAsiaTheme="minorEastAsia" w:hAnsi="Times New Roman" w:cs="Times New Roman"/>
          <w:sz w:val="24"/>
          <w:szCs w:val="24"/>
        </w:rPr>
        <w:t xml:space="preserve"> na prowadzenie polityki publicznej przez państwo, </w:t>
      </w:r>
      <w:r w:rsidR="00853E62">
        <w:rPr>
          <w:rFonts w:ascii="Times New Roman" w:eastAsiaTheme="minorEastAsia" w:hAnsi="Times New Roman" w:cs="Times New Roman"/>
          <w:sz w:val="24"/>
          <w:szCs w:val="24"/>
        </w:rPr>
        <w:t xml:space="preserve">w szczególności w obszarach takich </w:t>
      </w:r>
      <w:r w:rsidR="007B2E8F">
        <w:rPr>
          <w:rFonts w:ascii="Times New Roman" w:eastAsiaTheme="minorEastAsia" w:hAnsi="Times New Roman" w:cs="Times New Roman"/>
          <w:sz w:val="24"/>
          <w:szCs w:val="24"/>
        </w:rPr>
        <w:t>jak</w:t>
      </w:r>
      <w:r w:rsidR="00853E62">
        <w:rPr>
          <w:rFonts w:ascii="Times New Roman" w:eastAsiaTheme="minorEastAsia" w:hAnsi="Times New Roman" w:cs="Times New Roman"/>
          <w:sz w:val="24"/>
          <w:szCs w:val="24"/>
        </w:rPr>
        <w:t>: edukacja, zdrowie czy</w:t>
      </w:r>
      <w:r w:rsidR="007B2E8F">
        <w:rPr>
          <w:rFonts w:ascii="Times New Roman" w:eastAsiaTheme="minorEastAsia" w:hAnsi="Times New Roman" w:cs="Times New Roman"/>
          <w:sz w:val="24"/>
          <w:szCs w:val="24"/>
        </w:rPr>
        <w:t xml:space="preserve"> system emerytalny.</w:t>
      </w:r>
    </w:p>
    <w:p w:rsidR="008D6D51" w:rsidRPr="007B2E8F" w:rsidRDefault="008D6D51"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Celem pracy jest</w:t>
      </w:r>
      <w:r w:rsidR="00CD4891" w:rsidRPr="007B2E8F">
        <w:rPr>
          <w:rFonts w:ascii="Times New Roman" w:eastAsiaTheme="minorEastAsia" w:hAnsi="Times New Roman" w:cs="Times New Roman"/>
          <w:sz w:val="24"/>
          <w:szCs w:val="24"/>
        </w:rPr>
        <w:t xml:space="preserve"> określenie istotności wybranych </w:t>
      </w:r>
      <w:r w:rsidR="00DC4792" w:rsidRPr="007B2E8F">
        <w:rPr>
          <w:rFonts w:ascii="Times New Roman" w:eastAsiaTheme="minorEastAsia" w:hAnsi="Times New Roman" w:cs="Times New Roman"/>
          <w:sz w:val="24"/>
          <w:szCs w:val="24"/>
        </w:rPr>
        <w:t xml:space="preserve">determinantów współczynnika urodzeń </w:t>
      </w:r>
      <w:r w:rsidR="00B4774F" w:rsidRPr="007B2E8F">
        <w:rPr>
          <w:rFonts w:ascii="Times New Roman" w:eastAsiaTheme="minorEastAsia" w:hAnsi="Times New Roman" w:cs="Times New Roman"/>
          <w:sz w:val="24"/>
          <w:szCs w:val="24"/>
        </w:rPr>
        <w:t>w Polsce.</w:t>
      </w:r>
      <w:r w:rsidR="00CD4891" w:rsidRPr="007B2E8F">
        <w:rPr>
          <w:rFonts w:ascii="Times New Roman" w:eastAsiaTheme="minorEastAsia" w:hAnsi="Times New Roman" w:cs="Times New Roman"/>
          <w:sz w:val="24"/>
          <w:szCs w:val="24"/>
        </w:rPr>
        <w:t xml:space="preserve"> </w:t>
      </w:r>
      <w:r w:rsidR="002D3BBF" w:rsidRPr="007B2E8F">
        <w:rPr>
          <w:rFonts w:ascii="Times New Roman" w:eastAsiaTheme="minorEastAsia" w:hAnsi="Times New Roman" w:cs="Times New Roman"/>
          <w:sz w:val="24"/>
          <w:szCs w:val="24"/>
        </w:rPr>
        <w:t>Analiza została stworzona w oparciu o dane dotyczące poszczególnych podregionów Polski – to jest powiatów i miast na prawach powiatu (łącznie</w:t>
      </w:r>
      <w:r w:rsidR="007B2E8F">
        <w:rPr>
          <w:rFonts w:ascii="Times New Roman" w:eastAsiaTheme="minorEastAsia" w:hAnsi="Times New Roman" w:cs="Times New Roman"/>
          <w:sz w:val="24"/>
          <w:szCs w:val="24"/>
        </w:rPr>
        <w:t xml:space="preserve"> 380 </w:t>
      </w:r>
      <w:r w:rsidR="00853E62">
        <w:rPr>
          <w:rFonts w:ascii="Times New Roman" w:eastAsiaTheme="minorEastAsia" w:hAnsi="Times New Roman" w:cs="Times New Roman"/>
          <w:sz w:val="24"/>
          <w:szCs w:val="24"/>
        </w:rPr>
        <w:t>obserwacji</w:t>
      </w:r>
      <w:r w:rsidR="007B2E8F">
        <w:rPr>
          <w:rFonts w:ascii="Times New Roman" w:eastAsiaTheme="minorEastAsia" w:hAnsi="Times New Roman" w:cs="Times New Roman"/>
          <w:sz w:val="24"/>
          <w:szCs w:val="24"/>
        </w:rPr>
        <w:t>). W </w:t>
      </w:r>
      <w:r w:rsidR="002D3BBF" w:rsidRPr="007B2E8F">
        <w:rPr>
          <w:rFonts w:ascii="Times New Roman" w:eastAsiaTheme="minorEastAsia" w:hAnsi="Times New Roman" w:cs="Times New Roman"/>
          <w:sz w:val="24"/>
          <w:szCs w:val="24"/>
        </w:rPr>
        <w:t>modelu zostały wykorzystane zmienne odnoszące się do kategorii ekonomiczn</w:t>
      </w:r>
      <w:r w:rsidR="007B2E8F">
        <w:rPr>
          <w:rFonts w:ascii="Times New Roman" w:eastAsiaTheme="minorEastAsia" w:hAnsi="Times New Roman" w:cs="Times New Roman"/>
          <w:sz w:val="24"/>
          <w:szCs w:val="24"/>
        </w:rPr>
        <w:t xml:space="preserve">ych, </w:t>
      </w:r>
      <w:r w:rsidR="002D3BBF" w:rsidRPr="007B2E8F">
        <w:rPr>
          <w:rFonts w:ascii="Times New Roman" w:eastAsiaTheme="minorEastAsia" w:hAnsi="Times New Roman" w:cs="Times New Roman"/>
          <w:sz w:val="24"/>
          <w:szCs w:val="24"/>
        </w:rPr>
        <w:t>społecznyc</w:t>
      </w:r>
      <w:r w:rsidR="003105EA" w:rsidRPr="007B2E8F">
        <w:rPr>
          <w:rFonts w:ascii="Times New Roman" w:eastAsiaTheme="minorEastAsia" w:hAnsi="Times New Roman" w:cs="Times New Roman"/>
          <w:sz w:val="24"/>
          <w:szCs w:val="24"/>
        </w:rPr>
        <w:t xml:space="preserve">h </w:t>
      </w:r>
      <w:r w:rsidR="00853E62">
        <w:rPr>
          <w:rFonts w:ascii="Times New Roman" w:eastAsiaTheme="minorEastAsia" w:hAnsi="Times New Roman" w:cs="Times New Roman"/>
          <w:sz w:val="24"/>
          <w:szCs w:val="24"/>
        </w:rPr>
        <w:t>i</w:t>
      </w:r>
      <w:r w:rsidR="003105EA" w:rsidRPr="007B2E8F">
        <w:rPr>
          <w:rFonts w:ascii="Times New Roman" w:eastAsiaTheme="minorEastAsia" w:hAnsi="Times New Roman" w:cs="Times New Roman"/>
          <w:sz w:val="24"/>
          <w:szCs w:val="24"/>
        </w:rPr>
        <w:t xml:space="preserve"> demograficznych.</w:t>
      </w:r>
    </w:p>
    <w:p w:rsidR="003105EA" w:rsidRPr="007B2E8F" w:rsidRDefault="003105EA"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 xml:space="preserve">Do stworzenia modelu ekonometrycznego wykorzystano dane z 2020 roku pochodzące z Banku Danych Lokalnych (zarządzanego przez Główny Urząd Statystyczny) oraz baz danych gromadzących statystyki dotyczące pandemii COVID-19. </w:t>
      </w:r>
      <w:r w:rsidR="00DB707D" w:rsidRPr="007B2E8F">
        <w:rPr>
          <w:rFonts w:ascii="Times New Roman" w:eastAsiaTheme="minorEastAsia" w:hAnsi="Times New Roman" w:cs="Times New Roman"/>
          <w:sz w:val="24"/>
          <w:szCs w:val="24"/>
        </w:rPr>
        <w:t xml:space="preserve">W procesie analizy i weryfikowania hipotez badawczych użyto Metody Najmniejszych Kwadratów (MNK). </w:t>
      </w:r>
    </w:p>
    <w:p w:rsidR="00051E5C" w:rsidRPr="006A5921" w:rsidRDefault="0099085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tab/>
      </w:r>
      <w:r w:rsidR="005E1BE0" w:rsidRPr="006A5921">
        <w:rPr>
          <w:rFonts w:ascii="Times New Roman" w:eastAsiaTheme="minorEastAsia" w:hAnsi="Times New Roman" w:cs="Times New Roman"/>
          <w:sz w:val="24"/>
          <w:szCs w:val="24"/>
        </w:rPr>
        <w:t>W pierwszej części pracy został zaprezentowany problem dotyczący niskiej licz</w:t>
      </w:r>
      <w:r w:rsidR="00853E62">
        <w:rPr>
          <w:rFonts w:ascii="Times New Roman" w:eastAsiaTheme="minorEastAsia" w:hAnsi="Times New Roman" w:cs="Times New Roman"/>
          <w:sz w:val="24"/>
          <w:szCs w:val="24"/>
        </w:rPr>
        <w:t>by urodzeń oraz dotychczasowe badania związane</w:t>
      </w:r>
      <w:r w:rsidR="005E1BE0" w:rsidRPr="006A5921">
        <w:rPr>
          <w:rFonts w:ascii="Times New Roman" w:eastAsiaTheme="minorEastAsia" w:hAnsi="Times New Roman" w:cs="Times New Roman"/>
          <w:sz w:val="24"/>
          <w:szCs w:val="24"/>
        </w:rPr>
        <w:t xml:space="preserve"> z tematem modelu. Następnie sform</w:t>
      </w:r>
      <w:r w:rsidR="006A5921" w:rsidRPr="006A5921">
        <w:rPr>
          <w:rFonts w:ascii="Times New Roman" w:eastAsiaTheme="minorEastAsia" w:hAnsi="Times New Roman" w:cs="Times New Roman"/>
          <w:sz w:val="24"/>
          <w:szCs w:val="24"/>
        </w:rPr>
        <w:t>ułowano hipotezy badawcze na podstawie dostępnej literatury. W kolejnych częściach uwagę poświęcono zmiennym użytym w modelu, formie funkcyjnej oraz jej diagnostyce. Pracę wieńczą otrzymane wyniki regresji liniowej oraz ich krytyczna analiza.</w:t>
      </w:r>
    </w:p>
    <w:p w:rsidR="00356ECB" w:rsidRPr="006A5921" w:rsidRDefault="00356EC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br w:type="page"/>
      </w:r>
    </w:p>
    <w:p w:rsidR="00853E62" w:rsidRDefault="008060F4" w:rsidP="00853E62">
      <w:pPr>
        <w:tabs>
          <w:tab w:val="left" w:pos="8738"/>
        </w:tabs>
        <w:spacing w:after="0" w:line="360" w:lineRule="auto"/>
        <w:jc w:val="center"/>
        <w:rPr>
          <w:rFonts w:ascii="Times New Roman" w:eastAsia="Times New Roman" w:hAnsi="Times New Roman" w:cs="Times New Roman"/>
          <w:b/>
          <w:caps/>
          <w:sz w:val="24"/>
          <w:szCs w:val="24"/>
          <w:lang w:eastAsia="pl-PL"/>
        </w:rPr>
      </w:pPr>
      <w:r w:rsidRPr="00853E62">
        <w:rPr>
          <w:rFonts w:ascii="Times New Roman" w:eastAsia="Times New Roman" w:hAnsi="Times New Roman" w:cs="Times New Roman"/>
          <w:b/>
          <w:caps/>
          <w:sz w:val="24"/>
          <w:szCs w:val="24"/>
          <w:lang w:eastAsia="pl-PL"/>
        </w:rPr>
        <w:t>ROZDZIAŁ I</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AD7D68" w:rsidRDefault="00A20ACE" w:rsidP="00853E62">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Przegląd literatury</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F16DDA" w:rsidRPr="000325C6" w:rsidRDefault="000F0920" w:rsidP="000325C6">
      <w:pPr>
        <w:spacing w:after="0" w:line="360" w:lineRule="auto"/>
        <w:jc w:val="both"/>
        <w:rPr>
          <w:rFonts w:ascii="Times New Roman" w:eastAsiaTheme="minorEastAsia" w:hAnsi="Times New Roman" w:cs="Times New Roman"/>
          <w:sz w:val="24"/>
          <w:szCs w:val="24"/>
        </w:rPr>
      </w:pPr>
      <w:r>
        <w:rPr>
          <w:rFonts w:eastAsiaTheme="minorEastAsia"/>
          <w:b/>
        </w:rPr>
        <w:tab/>
      </w:r>
      <w:r w:rsidR="00EC08F4" w:rsidRPr="000325C6">
        <w:rPr>
          <w:rFonts w:ascii="Times New Roman" w:eastAsiaTheme="minorEastAsia" w:hAnsi="Times New Roman" w:cs="Times New Roman"/>
          <w:sz w:val="24"/>
          <w:szCs w:val="24"/>
        </w:rPr>
        <w:t>Na przełomie XIX i XX wieku zaczęły powstawać koncepcje dotyczące czynnika ekonomicznego jako stymulatora rozwoju demograficznego. Rozwijały się na płaszczyźnie mikro- i makrospołecznej (pierwsza odnosi się do jednostki, natomiast druga do gospodarstw domowych).</w:t>
      </w:r>
      <w:r w:rsidR="00853E62">
        <w:rPr>
          <w:rFonts w:ascii="Times New Roman" w:eastAsiaTheme="minorEastAsia" w:hAnsi="Times New Roman" w:cs="Times New Roman"/>
          <w:sz w:val="24"/>
          <w:szCs w:val="24"/>
        </w:rPr>
        <w:t xml:space="preserve"> W</w:t>
      </w:r>
      <w:r w:rsidR="00B7289B" w:rsidRPr="000325C6">
        <w:rPr>
          <w:rFonts w:ascii="Times New Roman" w:eastAsiaTheme="minorEastAsia" w:hAnsi="Times New Roman" w:cs="Times New Roman"/>
          <w:sz w:val="24"/>
          <w:szCs w:val="24"/>
        </w:rPr>
        <w:t xml:space="preserve"> ujęciu makro czynnik ekonomiczny rozpatrywany jest jako teoria dobrobytu, która obejmuje zjawiska ekonomiczne (ilość i jakość dóbr i usług rozporządzana przez społeczeństwo w ramach zaspokajania swoich potrzeb) o</w:t>
      </w:r>
      <w:r w:rsidR="000325C6">
        <w:rPr>
          <w:rFonts w:ascii="Times New Roman" w:eastAsiaTheme="minorEastAsia" w:hAnsi="Times New Roman" w:cs="Times New Roman"/>
          <w:sz w:val="24"/>
          <w:szCs w:val="24"/>
        </w:rPr>
        <w:t>raz pozaekonomiczne (związane z </w:t>
      </w:r>
      <w:r w:rsidR="00B7289B" w:rsidRPr="000325C6">
        <w:rPr>
          <w:rFonts w:ascii="Times New Roman" w:eastAsiaTheme="minorEastAsia" w:hAnsi="Times New Roman" w:cs="Times New Roman"/>
          <w:sz w:val="24"/>
          <w:szCs w:val="24"/>
        </w:rPr>
        <w:t xml:space="preserve">fizjologią, psychologią czy etyką). Ówcześni badacze starali się tłumaczyć jak dobrobyt wpływa na liczbę ludności. </w:t>
      </w:r>
      <w:r w:rsidR="00F16DDA" w:rsidRPr="000325C6">
        <w:rPr>
          <w:rFonts w:ascii="Times New Roman" w:eastAsiaTheme="minorEastAsia" w:hAnsi="Times New Roman" w:cs="Times New Roman"/>
          <w:sz w:val="24"/>
          <w:szCs w:val="24"/>
        </w:rPr>
        <w:t>Perspektywa mikrospołeczna zain</w:t>
      </w:r>
      <w:r w:rsidR="000325C6">
        <w:rPr>
          <w:rFonts w:ascii="Times New Roman" w:eastAsiaTheme="minorEastAsia" w:hAnsi="Times New Roman" w:cs="Times New Roman"/>
          <w:sz w:val="24"/>
          <w:szCs w:val="24"/>
        </w:rPr>
        <w:t>teresowała badaczy dopiero w 2. </w:t>
      </w:r>
      <w:r w:rsidR="00F16DDA" w:rsidRPr="000325C6">
        <w:rPr>
          <w:rFonts w:ascii="Times New Roman" w:eastAsiaTheme="minorEastAsia" w:hAnsi="Times New Roman" w:cs="Times New Roman"/>
          <w:sz w:val="24"/>
          <w:szCs w:val="24"/>
        </w:rPr>
        <w:t>połowie XX wieku w wyniku rozwoju badań nad rodziną i gospodarstwem domowym. Celem badań było zgłębienie wiedzy na temat mechanizmu podejmowania decyzji w sprawie narodzin potomków przez małżeństwa. Na przestrzeni lat powstawały nowe te</w:t>
      </w:r>
      <w:r w:rsidR="00A063E2" w:rsidRPr="000325C6">
        <w:rPr>
          <w:rFonts w:ascii="Times New Roman" w:eastAsiaTheme="minorEastAsia" w:hAnsi="Times New Roman" w:cs="Times New Roman"/>
          <w:sz w:val="24"/>
          <w:szCs w:val="24"/>
        </w:rPr>
        <w:t xml:space="preserve">orie tłumaczące proces, które </w:t>
      </w:r>
      <w:r w:rsidR="00F16DDA" w:rsidRPr="000325C6">
        <w:rPr>
          <w:rFonts w:ascii="Times New Roman" w:eastAsiaTheme="minorEastAsia" w:hAnsi="Times New Roman" w:cs="Times New Roman"/>
          <w:sz w:val="24"/>
          <w:szCs w:val="24"/>
        </w:rPr>
        <w:t xml:space="preserve">wiązały się między innymi z kalkulacją użyteczności pochodzącej z </w:t>
      </w:r>
      <w:r w:rsidR="00A063E2" w:rsidRPr="000325C6">
        <w:rPr>
          <w:rFonts w:ascii="Times New Roman" w:eastAsiaTheme="minorEastAsia" w:hAnsi="Times New Roman" w:cs="Times New Roman"/>
          <w:sz w:val="24"/>
          <w:szCs w:val="24"/>
        </w:rPr>
        <w:t xml:space="preserve">dodatkowego dziecka, poszukiwaniem czynników wpływających na częstotliwość współżycia małżonków czy stosowanie metod antykoncepcji. Wynikiem </w:t>
      </w:r>
      <w:r w:rsidR="00346A3D" w:rsidRPr="000325C6">
        <w:rPr>
          <w:rFonts w:ascii="Times New Roman" w:eastAsiaTheme="minorEastAsia" w:hAnsi="Times New Roman" w:cs="Times New Roman"/>
          <w:sz w:val="24"/>
          <w:szCs w:val="24"/>
        </w:rPr>
        <w:t xml:space="preserve">podjęcia </w:t>
      </w:r>
      <w:r w:rsidR="00384094" w:rsidRPr="000325C6">
        <w:rPr>
          <w:rFonts w:ascii="Times New Roman" w:eastAsiaTheme="minorEastAsia" w:hAnsi="Times New Roman" w:cs="Times New Roman"/>
          <w:sz w:val="24"/>
          <w:szCs w:val="24"/>
        </w:rPr>
        <w:t xml:space="preserve">próby analizy </w:t>
      </w:r>
      <w:r w:rsidR="00346A3D" w:rsidRPr="000325C6">
        <w:rPr>
          <w:rFonts w:ascii="Times New Roman" w:eastAsiaTheme="minorEastAsia" w:hAnsi="Times New Roman" w:cs="Times New Roman"/>
          <w:sz w:val="24"/>
          <w:szCs w:val="24"/>
        </w:rPr>
        <w:t>płodności przez ekonomistów było dostrzeżenie czynników pozabiologicznych,</w:t>
      </w:r>
      <w:r w:rsidR="00384094" w:rsidRPr="000325C6">
        <w:rPr>
          <w:rFonts w:ascii="Times New Roman" w:eastAsiaTheme="minorEastAsia" w:hAnsi="Times New Roman" w:cs="Times New Roman"/>
          <w:sz w:val="24"/>
          <w:szCs w:val="24"/>
        </w:rPr>
        <w:t xml:space="preserve"> które wpływają na prokreację (</w:t>
      </w:r>
      <w:r w:rsidR="001A15D6" w:rsidRPr="000325C6">
        <w:rPr>
          <w:rFonts w:ascii="Times New Roman" w:eastAsiaTheme="minorEastAsia" w:hAnsi="Times New Roman" w:cs="Times New Roman"/>
          <w:sz w:val="24"/>
          <w:szCs w:val="24"/>
        </w:rPr>
        <w:t>Chromińska, 1998</w:t>
      </w:r>
      <w:r w:rsidR="00E819F0" w:rsidRPr="000325C6">
        <w:rPr>
          <w:rFonts w:ascii="Times New Roman" w:eastAsiaTheme="minorEastAsia" w:hAnsi="Times New Roman" w:cs="Times New Roman"/>
          <w:sz w:val="24"/>
          <w:szCs w:val="24"/>
        </w:rPr>
        <w:t>).</w:t>
      </w:r>
    </w:p>
    <w:p w:rsidR="0099085B" w:rsidRPr="000325C6" w:rsidRDefault="00384094" w:rsidP="000325C6">
      <w:pPr>
        <w:spacing w:after="0" w:line="360" w:lineRule="auto"/>
        <w:jc w:val="both"/>
        <w:rPr>
          <w:rFonts w:ascii="Times New Roman" w:eastAsiaTheme="minorEastAsia" w:hAnsi="Times New Roman" w:cs="Times New Roman"/>
          <w:sz w:val="24"/>
          <w:szCs w:val="24"/>
        </w:rPr>
      </w:pPr>
      <w:r>
        <w:rPr>
          <w:rFonts w:eastAsiaTheme="minorEastAsia"/>
        </w:rPr>
        <w:tab/>
      </w:r>
      <w:r w:rsidRPr="000325C6">
        <w:rPr>
          <w:rFonts w:ascii="Times New Roman" w:eastAsiaTheme="minorEastAsia" w:hAnsi="Times New Roman" w:cs="Times New Roman"/>
          <w:sz w:val="24"/>
          <w:szCs w:val="24"/>
        </w:rPr>
        <w:t>Problemem w estymowaniu zmiennych dotyczących płodności, w tym współczynnika urodzeń jest to, że</w:t>
      </w:r>
      <w:r w:rsidR="00E819F0" w:rsidRPr="000325C6">
        <w:rPr>
          <w:rFonts w:ascii="Times New Roman" w:eastAsiaTheme="minorEastAsia" w:hAnsi="Times New Roman" w:cs="Times New Roman"/>
          <w:sz w:val="24"/>
          <w:szCs w:val="24"/>
        </w:rPr>
        <w:t xml:space="preserve"> w większości koncepcje mają charakter h</w:t>
      </w:r>
      <w:r w:rsidR="000325C6">
        <w:rPr>
          <w:rFonts w:ascii="Times New Roman" w:eastAsiaTheme="minorEastAsia" w:hAnsi="Times New Roman" w:cs="Times New Roman"/>
          <w:sz w:val="24"/>
          <w:szCs w:val="24"/>
        </w:rPr>
        <w:t>ipotez i trudno zweryfikować je </w:t>
      </w:r>
      <w:r w:rsidR="00E819F0" w:rsidRPr="000325C6">
        <w:rPr>
          <w:rFonts w:ascii="Times New Roman" w:eastAsiaTheme="minorEastAsia" w:hAnsi="Times New Roman" w:cs="Times New Roman"/>
          <w:sz w:val="24"/>
          <w:szCs w:val="24"/>
        </w:rPr>
        <w:t xml:space="preserve">empirycznie. Barierą może być rzetelność odpowiedzi jednostek w badaniach dotyczących tak intymnej sfery jak życie rodzinne. We współczesnych teoriach </w:t>
      </w:r>
      <w:r w:rsidR="001A15D6" w:rsidRPr="000325C6">
        <w:rPr>
          <w:rFonts w:ascii="Times New Roman" w:eastAsiaTheme="minorEastAsia" w:hAnsi="Times New Roman" w:cs="Times New Roman"/>
          <w:sz w:val="24"/>
          <w:szCs w:val="24"/>
        </w:rPr>
        <w:t xml:space="preserve">i analizach </w:t>
      </w:r>
      <w:r w:rsidR="00E819F0" w:rsidRPr="000325C6">
        <w:rPr>
          <w:rFonts w:ascii="Times New Roman" w:eastAsiaTheme="minorEastAsia" w:hAnsi="Times New Roman" w:cs="Times New Roman"/>
          <w:sz w:val="24"/>
          <w:szCs w:val="24"/>
        </w:rPr>
        <w:t>Chromińska (1998) do</w:t>
      </w:r>
      <w:r w:rsidR="001A15D6" w:rsidRPr="000325C6">
        <w:rPr>
          <w:rFonts w:ascii="Times New Roman" w:eastAsiaTheme="minorEastAsia" w:hAnsi="Times New Roman" w:cs="Times New Roman"/>
          <w:sz w:val="24"/>
          <w:szCs w:val="24"/>
        </w:rPr>
        <w:t>strzega wadę w postaci pomijania wartości związanych</w:t>
      </w:r>
      <w:r w:rsidR="000325C6">
        <w:rPr>
          <w:rFonts w:ascii="Times New Roman" w:eastAsiaTheme="minorEastAsia" w:hAnsi="Times New Roman" w:cs="Times New Roman"/>
          <w:sz w:val="24"/>
          <w:szCs w:val="24"/>
        </w:rPr>
        <w:t xml:space="preserve"> z etyką i moralnością, co </w:t>
      </w:r>
      <w:r w:rsidR="001A15D6" w:rsidRPr="000325C6">
        <w:rPr>
          <w:rFonts w:ascii="Times New Roman" w:eastAsiaTheme="minorEastAsia" w:hAnsi="Times New Roman" w:cs="Times New Roman"/>
          <w:sz w:val="24"/>
          <w:szCs w:val="24"/>
        </w:rPr>
        <w:t>wiąże się z niepełnym obrazem oszacowań zmiennych dotyczących wydawania potomstwa na świat.</w:t>
      </w:r>
      <w:r w:rsidR="00421B91" w:rsidRPr="000325C6">
        <w:rPr>
          <w:rFonts w:ascii="Times New Roman" w:eastAsiaTheme="minorEastAsia" w:hAnsi="Times New Roman" w:cs="Times New Roman"/>
          <w:sz w:val="24"/>
          <w:szCs w:val="24"/>
        </w:rPr>
        <w:t xml:space="preserve"> W niniejszej pracy zbadano wpływ warunków ekonomicznych odgrywających dużą rolę w decyzjach dotyczących posiadania dzieci. Pominięto szereg zmiennych, których aspektami zajmuje się medycyna, takimi jak mechanizmy kontroli urodzeń czy terminacje ciąży.</w:t>
      </w:r>
    </w:p>
    <w:p w:rsidR="00E27D5A" w:rsidRDefault="00E27D5A" w:rsidP="001F72B3">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Od początk</w:t>
      </w:r>
      <w:r w:rsidR="003D414D" w:rsidRPr="000325C6">
        <w:rPr>
          <w:rFonts w:ascii="Times New Roman" w:eastAsiaTheme="minorEastAsia" w:hAnsi="Times New Roman" w:cs="Times New Roman"/>
          <w:sz w:val="24"/>
          <w:szCs w:val="24"/>
        </w:rPr>
        <w:t>u</w:t>
      </w:r>
      <w:r w:rsidRPr="000325C6">
        <w:rPr>
          <w:rFonts w:ascii="Times New Roman" w:eastAsiaTheme="minorEastAsia" w:hAnsi="Times New Roman" w:cs="Times New Roman"/>
          <w:sz w:val="24"/>
          <w:szCs w:val="24"/>
        </w:rPr>
        <w:t xml:space="preserve"> lat 90. XX wieku w Polsce możemy zaobserwować </w:t>
      </w:r>
      <w:r w:rsidR="001F72B3">
        <w:rPr>
          <w:rFonts w:ascii="Times New Roman" w:eastAsiaTheme="minorEastAsia" w:hAnsi="Times New Roman" w:cs="Times New Roman"/>
          <w:sz w:val="24"/>
          <w:szCs w:val="24"/>
        </w:rPr>
        <w:t xml:space="preserve">wyraźny spadek współczynnika urodzeń (Rys. 1.). </w:t>
      </w:r>
      <w:r w:rsidR="009F3C4A" w:rsidRPr="000325C6">
        <w:rPr>
          <w:rFonts w:ascii="Times New Roman" w:eastAsiaTheme="minorEastAsia" w:hAnsi="Times New Roman" w:cs="Times New Roman"/>
          <w:sz w:val="24"/>
          <w:szCs w:val="24"/>
        </w:rPr>
        <w:t>Według demografów wynika to przede wszystkim ze zmiany poglądów na temat posiadania dziecka przez młodych ludzi –</w:t>
      </w:r>
      <w:r w:rsidR="001F72B3">
        <w:rPr>
          <w:rFonts w:ascii="Times New Roman" w:eastAsiaTheme="minorEastAsia" w:hAnsi="Times New Roman" w:cs="Times New Roman"/>
          <w:sz w:val="24"/>
          <w:szCs w:val="24"/>
        </w:rPr>
        <w:t xml:space="preserve"> decyzja </w:t>
      </w:r>
      <w:r w:rsidR="009F3C4A" w:rsidRPr="000325C6">
        <w:rPr>
          <w:rFonts w:ascii="Times New Roman" w:eastAsiaTheme="minorEastAsia" w:hAnsi="Times New Roman" w:cs="Times New Roman"/>
          <w:sz w:val="24"/>
          <w:szCs w:val="24"/>
        </w:rPr>
        <w:t xml:space="preserve">o potomstwie </w:t>
      </w:r>
      <w:r w:rsidR="001F72B3">
        <w:rPr>
          <w:rFonts w:ascii="Times New Roman" w:eastAsiaTheme="minorEastAsia" w:hAnsi="Times New Roman" w:cs="Times New Roman"/>
          <w:sz w:val="24"/>
          <w:szCs w:val="24"/>
        </w:rPr>
        <w:t>jest odkładana</w:t>
      </w:r>
      <w:r w:rsidR="009F3C4A" w:rsidRPr="000325C6">
        <w:rPr>
          <w:rFonts w:ascii="Times New Roman" w:eastAsiaTheme="minorEastAsia" w:hAnsi="Times New Roman" w:cs="Times New Roman"/>
          <w:sz w:val="24"/>
          <w:szCs w:val="24"/>
        </w:rPr>
        <w:t xml:space="preserve"> na później</w:t>
      </w:r>
      <w:r w:rsidR="00173DA1" w:rsidRPr="000325C6">
        <w:rPr>
          <w:rFonts w:ascii="Times New Roman" w:eastAsiaTheme="minorEastAsia" w:hAnsi="Times New Roman" w:cs="Times New Roman"/>
          <w:sz w:val="24"/>
          <w:szCs w:val="24"/>
        </w:rPr>
        <w:t xml:space="preserve"> (między innymi z powodu chęci osiągnięcia określonego poziomu wykształcenia i stabilizacji ekonomicznej)</w:t>
      </w:r>
      <w:r w:rsidR="001F72B3">
        <w:rPr>
          <w:rFonts w:ascii="Times New Roman" w:eastAsiaTheme="minorEastAsia" w:hAnsi="Times New Roman" w:cs="Times New Roman"/>
          <w:sz w:val="24"/>
          <w:szCs w:val="24"/>
        </w:rPr>
        <w:t>. Młodzi</w:t>
      </w:r>
      <w:r w:rsidR="009F3C4A" w:rsidRPr="000325C6">
        <w:rPr>
          <w:rFonts w:ascii="Times New Roman" w:eastAsiaTheme="minorEastAsia" w:hAnsi="Times New Roman" w:cs="Times New Roman"/>
          <w:sz w:val="24"/>
          <w:szCs w:val="24"/>
        </w:rPr>
        <w:t xml:space="preserve"> decydują się na mniejszą liczbę dzieci lub wolą żyć samotnie.</w:t>
      </w:r>
      <w:r w:rsidR="00173DA1" w:rsidRPr="000325C6">
        <w:rPr>
          <w:rFonts w:ascii="Times New Roman" w:eastAsiaTheme="minorEastAsia" w:hAnsi="Times New Roman" w:cs="Times New Roman"/>
          <w:sz w:val="24"/>
          <w:szCs w:val="24"/>
        </w:rPr>
        <w:t xml:space="preserve"> </w:t>
      </w:r>
      <w:r w:rsidR="000325C6">
        <w:rPr>
          <w:rFonts w:ascii="Times New Roman" w:eastAsiaTheme="minorEastAsia" w:hAnsi="Times New Roman" w:cs="Times New Roman"/>
          <w:sz w:val="24"/>
          <w:szCs w:val="24"/>
        </w:rPr>
        <w:t>Badacze wskazują, że </w:t>
      </w:r>
      <w:r w:rsidR="00173DA1" w:rsidRPr="000325C6">
        <w:rPr>
          <w:rFonts w:ascii="Times New Roman" w:eastAsiaTheme="minorEastAsia" w:hAnsi="Times New Roman" w:cs="Times New Roman"/>
          <w:sz w:val="24"/>
          <w:szCs w:val="24"/>
        </w:rPr>
        <w:t xml:space="preserve">sytuacja ludnościowa jest trudna, ponieważ niski poziom </w:t>
      </w:r>
      <w:r w:rsidR="000D6AE0" w:rsidRPr="000325C6">
        <w:rPr>
          <w:rFonts w:ascii="Times New Roman" w:eastAsiaTheme="minorEastAsia" w:hAnsi="Times New Roman" w:cs="Times New Roman"/>
          <w:sz w:val="24"/>
          <w:szCs w:val="24"/>
        </w:rPr>
        <w:t>dzietności</w:t>
      </w:r>
      <w:r w:rsidR="00173DA1" w:rsidRPr="000325C6">
        <w:rPr>
          <w:rFonts w:ascii="Times New Roman" w:eastAsiaTheme="minorEastAsia" w:hAnsi="Times New Roman" w:cs="Times New Roman"/>
          <w:sz w:val="24"/>
          <w:szCs w:val="24"/>
        </w:rPr>
        <w:t xml:space="preserve"> negatywnie</w:t>
      </w:r>
      <w:r w:rsidR="000325C6">
        <w:rPr>
          <w:rFonts w:ascii="Times New Roman" w:eastAsiaTheme="minorEastAsia" w:hAnsi="Times New Roman" w:cs="Times New Roman"/>
          <w:sz w:val="24"/>
          <w:szCs w:val="24"/>
        </w:rPr>
        <w:t xml:space="preserve"> wpływa na </w:t>
      </w:r>
      <w:r w:rsidR="00C33424" w:rsidRPr="000325C6">
        <w:rPr>
          <w:rFonts w:ascii="Times New Roman" w:eastAsiaTheme="minorEastAsia" w:hAnsi="Times New Roman" w:cs="Times New Roman"/>
          <w:sz w:val="24"/>
          <w:szCs w:val="24"/>
        </w:rPr>
        <w:t>brak zastępowalności pokoleń (</w:t>
      </w:r>
      <w:r w:rsidR="000D6AE0" w:rsidRPr="000325C6">
        <w:rPr>
          <w:rFonts w:ascii="Times New Roman" w:eastAsiaTheme="minorEastAsia" w:hAnsi="Times New Roman" w:cs="Times New Roman"/>
          <w:sz w:val="24"/>
          <w:szCs w:val="24"/>
        </w:rPr>
        <w:t>konsekwencja zmniejszenia się licz</w:t>
      </w:r>
      <w:r w:rsidR="00C33424" w:rsidRPr="000325C6">
        <w:rPr>
          <w:rFonts w:ascii="Times New Roman" w:eastAsiaTheme="minorEastAsia" w:hAnsi="Times New Roman" w:cs="Times New Roman"/>
          <w:sz w:val="24"/>
          <w:szCs w:val="24"/>
        </w:rPr>
        <w:t>by kobiet w wieku rozrodczym) (Hrynkiewicz, Witkowski, Potrykowska, 2018).</w:t>
      </w:r>
    </w:p>
    <w:p w:rsidR="001F72B3" w:rsidRPr="000325C6" w:rsidRDefault="001F72B3" w:rsidP="001F72B3">
      <w:pPr>
        <w:spacing w:after="0" w:line="360" w:lineRule="auto"/>
        <w:jc w:val="both"/>
        <w:rPr>
          <w:rFonts w:ascii="Times New Roman" w:eastAsiaTheme="minorEastAsia" w:hAnsi="Times New Roman" w:cs="Times New Roman"/>
          <w:sz w:val="24"/>
          <w:szCs w:val="24"/>
        </w:rPr>
      </w:pPr>
    </w:p>
    <w:p w:rsidR="003D414D" w:rsidRPr="000325C6" w:rsidRDefault="003D414D" w:rsidP="000325C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0325C6">
        <w:rPr>
          <w:rFonts w:ascii="Times New Roman" w:eastAsia="Times New Roman" w:hAnsi="Times New Roman" w:cs="Times New Roman"/>
          <w:sz w:val="24"/>
          <w:szCs w:val="24"/>
          <w:lang w:eastAsia="pl-PL"/>
        </w:rPr>
        <w:t xml:space="preserve">Rys. 1. Wykres zmian współczynnika urodzeń dla Polski i państw Unii Europejskiej w latach 1960-2020. </w:t>
      </w:r>
    </w:p>
    <w:p w:rsidR="003D414D" w:rsidRDefault="003D414D" w:rsidP="00B14DDA">
      <w:pPr>
        <w:jc w:val="center"/>
        <w:rPr>
          <w:rFonts w:eastAsiaTheme="minorEastAsia"/>
        </w:rPr>
      </w:pPr>
      <w:r>
        <w:rPr>
          <w:rFonts w:eastAsiaTheme="minorEastAsia"/>
          <w:noProof/>
          <w:lang w:eastAsia="pl-PL"/>
        </w:rPr>
        <w:drawing>
          <wp:inline distT="0" distB="0" distL="0" distR="0" wp14:anchorId="75EF0915" wp14:editId="6E3C5673">
            <wp:extent cx="5760720" cy="28803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th rate eu and pola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3D414D" w:rsidRDefault="003D414D" w:rsidP="00A20ACE">
      <w:pPr>
        <w:tabs>
          <w:tab w:val="left" w:pos="8738"/>
        </w:tabs>
        <w:spacing w:after="0"/>
        <w:ind w:left="720" w:hanging="720"/>
        <w:jc w:val="both"/>
        <w:rPr>
          <w:rFonts w:ascii="Times New Roman" w:hAnsi="Times New Roman" w:cs="Times New Roman"/>
          <w:sz w:val="20"/>
          <w:szCs w:val="20"/>
        </w:rPr>
      </w:pPr>
      <w:r w:rsidRPr="000325C6">
        <w:rPr>
          <w:rFonts w:ascii="Times New Roman" w:hAnsi="Times New Roman" w:cs="Times New Roman"/>
          <w:i/>
          <w:sz w:val="20"/>
          <w:szCs w:val="20"/>
        </w:rPr>
        <w:t xml:space="preserve">Źródło: </w:t>
      </w:r>
      <w:r w:rsidRPr="000325C6">
        <w:rPr>
          <w:rFonts w:ascii="Times New Roman" w:hAnsi="Times New Roman" w:cs="Times New Roman"/>
          <w:sz w:val="20"/>
          <w:szCs w:val="20"/>
        </w:rPr>
        <w:t xml:space="preserve">Opracowanie własne na podstawie danych </w:t>
      </w:r>
      <w:r w:rsidRPr="000325C6">
        <w:rPr>
          <w:rFonts w:ascii="Times New Roman" w:hAnsi="Times New Roman" w:cs="Times New Roman"/>
          <w:i/>
          <w:sz w:val="20"/>
          <w:szCs w:val="20"/>
        </w:rPr>
        <w:t>World Bank</w:t>
      </w:r>
      <w:r w:rsidR="00CB4C29" w:rsidRPr="000325C6">
        <w:rPr>
          <w:rFonts w:ascii="Times New Roman" w:hAnsi="Times New Roman" w:cs="Times New Roman"/>
          <w:i/>
          <w:sz w:val="20"/>
          <w:szCs w:val="20"/>
        </w:rPr>
        <w:t xml:space="preserve"> </w:t>
      </w:r>
      <w:r w:rsidR="00CB4C29" w:rsidRPr="000325C6">
        <w:rPr>
          <w:rFonts w:ascii="Times New Roman" w:hAnsi="Times New Roman" w:cs="Times New Roman"/>
          <w:sz w:val="20"/>
          <w:szCs w:val="20"/>
        </w:rPr>
        <w:t xml:space="preserve">z wykorzystaniem biblioteki </w:t>
      </w:r>
      <w:r w:rsidR="00CB4C29" w:rsidRPr="000325C6">
        <w:rPr>
          <w:rFonts w:ascii="Times New Roman" w:hAnsi="Times New Roman" w:cs="Times New Roman"/>
          <w:i/>
          <w:sz w:val="20"/>
          <w:szCs w:val="20"/>
        </w:rPr>
        <w:t>ggplot2</w:t>
      </w:r>
      <w:r w:rsidRPr="000325C6">
        <w:rPr>
          <w:rFonts w:ascii="Times New Roman" w:hAnsi="Times New Roman" w:cs="Times New Roman"/>
          <w:sz w:val="20"/>
          <w:szCs w:val="20"/>
        </w:rPr>
        <w:t>.</w:t>
      </w:r>
    </w:p>
    <w:p w:rsidR="001F72B3" w:rsidRPr="000325C6" w:rsidRDefault="001F72B3" w:rsidP="003D414D">
      <w:pPr>
        <w:tabs>
          <w:tab w:val="left" w:pos="8738"/>
        </w:tabs>
        <w:ind w:left="720" w:hanging="720"/>
        <w:jc w:val="both"/>
        <w:rPr>
          <w:rFonts w:ascii="Times New Roman" w:hAnsi="Times New Roman" w:cs="Times New Roman"/>
          <w:sz w:val="20"/>
          <w:szCs w:val="20"/>
        </w:rPr>
      </w:pPr>
    </w:p>
    <w:p w:rsidR="00F56934" w:rsidRPr="000325C6" w:rsidRDefault="000D6AE0" w:rsidP="000325C6">
      <w:pPr>
        <w:spacing w:after="0" w:line="360" w:lineRule="auto"/>
        <w:jc w:val="both"/>
        <w:rPr>
          <w:rFonts w:ascii="Times New Roman" w:eastAsiaTheme="minorEastAsia" w:hAnsi="Times New Roman" w:cs="Times New Roman"/>
          <w:sz w:val="24"/>
          <w:szCs w:val="24"/>
        </w:rPr>
      </w:pPr>
      <w:r>
        <w:tab/>
      </w:r>
      <w:r w:rsidRPr="000325C6">
        <w:rPr>
          <w:rFonts w:ascii="Times New Roman" w:eastAsiaTheme="minorEastAsia" w:hAnsi="Times New Roman" w:cs="Times New Roman"/>
          <w:sz w:val="24"/>
          <w:szCs w:val="24"/>
        </w:rPr>
        <w:t>Prognozy przedpandemiczne wskazywały, że połączenie niskiego współczynnika urodzeń i wydłużającego się czasu trwania życia może spowodować zmniejszenie podaży pracy a także postępujące starzenie się społeczeństwa. Proces starzenia się ludności jest wyzwaniem, ponieważ wpływa na wiele sfer życia (ekonomiczną, psychologiczną, medyczną czy socjalną).</w:t>
      </w:r>
      <w:r w:rsidR="00C33424" w:rsidRPr="000325C6">
        <w:rPr>
          <w:rFonts w:ascii="Times New Roman" w:eastAsiaTheme="minorEastAsia" w:hAnsi="Times New Roman" w:cs="Times New Roman"/>
          <w:sz w:val="24"/>
          <w:szCs w:val="24"/>
        </w:rPr>
        <w:t xml:space="preserve"> Dodatkowo starość demograficzna oznacza też silną feminizację w grupach starszych wiekowo (ze względu na średnio dłuższe trwanie życia kobiet w stosunku do mężczyzn – spowodowane nawykami żywieniowymi, higienicznymi, warunkami pracy)</w:t>
      </w:r>
      <w:r w:rsidR="00F56934" w:rsidRPr="000325C6">
        <w:rPr>
          <w:rFonts w:ascii="Times New Roman" w:eastAsiaTheme="minorEastAsia" w:hAnsi="Times New Roman" w:cs="Times New Roman"/>
          <w:sz w:val="24"/>
          <w:szCs w:val="24"/>
        </w:rPr>
        <w:t xml:space="preserve"> (Hrynkiewicz, Witkowski, Potrykowska, 2018).</w:t>
      </w:r>
    </w:p>
    <w:p w:rsidR="000D6AE0" w:rsidRPr="000325C6" w:rsidRDefault="00F56934" w:rsidP="000325C6">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Z perspektywy ekonomicznej starzejące się społeczeństwo może powodować postępujące zmniejszanie się wskaźników wzrostu gospodarczego w regionach. Początkowo, wraz z malejącą liczbą urodzeń gospodarka rośnie, jednak gdy zostanie przekroczony punkt krytyczny a spadek d</w:t>
      </w:r>
      <w:r w:rsidR="00120030" w:rsidRPr="000325C6">
        <w:rPr>
          <w:rFonts w:ascii="Times New Roman" w:eastAsiaTheme="minorEastAsia" w:hAnsi="Times New Roman" w:cs="Times New Roman"/>
          <w:sz w:val="24"/>
          <w:szCs w:val="24"/>
        </w:rPr>
        <w:t xml:space="preserve">zietności niezahamowany to </w:t>
      </w:r>
      <w:r w:rsidRPr="000325C6">
        <w:rPr>
          <w:rFonts w:ascii="Times New Roman" w:eastAsiaTheme="minorEastAsia" w:hAnsi="Times New Roman" w:cs="Times New Roman"/>
          <w:sz w:val="24"/>
          <w:szCs w:val="24"/>
        </w:rPr>
        <w:t>rów</w:t>
      </w:r>
      <w:r w:rsidR="00120030" w:rsidRPr="000325C6">
        <w:rPr>
          <w:rFonts w:ascii="Times New Roman" w:eastAsiaTheme="minorEastAsia" w:hAnsi="Times New Roman" w:cs="Times New Roman"/>
          <w:sz w:val="24"/>
          <w:szCs w:val="24"/>
        </w:rPr>
        <w:t xml:space="preserve">nowaga </w:t>
      </w:r>
      <w:r w:rsidRPr="000325C6">
        <w:rPr>
          <w:rFonts w:ascii="Times New Roman" w:eastAsiaTheme="minorEastAsia" w:hAnsi="Times New Roman" w:cs="Times New Roman"/>
          <w:sz w:val="24"/>
          <w:szCs w:val="24"/>
        </w:rPr>
        <w:t xml:space="preserve">między populacją osób starszych a grupą </w:t>
      </w:r>
      <w:r w:rsidR="00120030" w:rsidRPr="000325C6">
        <w:rPr>
          <w:rFonts w:ascii="Times New Roman" w:eastAsiaTheme="minorEastAsia" w:hAnsi="Times New Roman" w:cs="Times New Roman"/>
          <w:sz w:val="24"/>
          <w:szCs w:val="24"/>
        </w:rPr>
        <w:t>osób w wieku produkcyjnym nie będzie mogła być utrzymana (Arcuri, 2019).</w:t>
      </w:r>
      <w:r w:rsidRPr="000325C6">
        <w:rPr>
          <w:rFonts w:ascii="Times New Roman" w:eastAsiaTheme="minorEastAsia" w:hAnsi="Times New Roman" w:cs="Times New Roman"/>
          <w:sz w:val="24"/>
          <w:szCs w:val="24"/>
        </w:rPr>
        <w:t xml:space="preserve"> Konsekwencją procesu będzi</w:t>
      </w:r>
      <w:r w:rsidR="00E26F33">
        <w:rPr>
          <w:rFonts w:ascii="Times New Roman" w:eastAsiaTheme="minorEastAsia" w:hAnsi="Times New Roman" w:cs="Times New Roman"/>
          <w:sz w:val="24"/>
          <w:szCs w:val="24"/>
        </w:rPr>
        <w:t>e potrzeba reorganizacji sposobu</w:t>
      </w:r>
      <w:r w:rsidRPr="000325C6">
        <w:rPr>
          <w:rFonts w:ascii="Times New Roman" w:eastAsiaTheme="minorEastAsia" w:hAnsi="Times New Roman" w:cs="Times New Roman"/>
          <w:sz w:val="24"/>
          <w:szCs w:val="24"/>
        </w:rPr>
        <w:t xml:space="preserve"> finansowania wydatków publicznych, ponieważ coraz więcej osób będzie wymagało zabezpieczenia emerytalno-rentowego (Hrynkiewicz, Witkowski, Potrykowska, 2018).</w:t>
      </w:r>
    </w:p>
    <w:p w:rsidR="0078452A" w:rsidRDefault="00D55D64" w:rsidP="00A626CF">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 xml:space="preserve">Temat wpływu warunków ekonomicznych na podejmowanie decyzji dotyczących prokreacji został podejmowany przez wielu badaczy. </w:t>
      </w:r>
      <w:r w:rsidR="00862241">
        <w:rPr>
          <w:rFonts w:ascii="Times New Roman" w:eastAsiaTheme="minorEastAsia" w:hAnsi="Times New Roman" w:cs="Times New Roman"/>
          <w:sz w:val="24"/>
          <w:szCs w:val="24"/>
        </w:rPr>
        <w:t xml:space="preserve">Różne zmienne opisujące stan gospodarki w </w:t>
      </w:r>
      <w:r w:rsidR="00E26F33">
        <w:rPr>
          <w:rFonts w:ascii="Times New Roman" w:eastAsiaTheme="minorEastAsia" w:hAnsi="Times New Roman" w:cs="Times New Roman"/>
          <w:sz w:val="24"/>
          <w:szCs w:val="24"/>
        </w:rPr>
        <w:t xml:space="preserve">zróżnicowanym </w:t>
      </w:r>
      <w:r w:rsidR="00862241">
        <w:rPr>
          <w:rFonts w:ascii="Times New Roman" w:eastAsiaTheme="minorEastAsia" w:hAnsi="Times New Roman" w:cs="Times New Roman"/>
          <w:sz w:val="24"/>
          <w:szCs w:val="24"/>
        </w:rPr>
        <w:t xml:space="preserve">stopniu </w:t>
      </w:r>
      <w:r w:rsidR="00E26F33">
        <w:rPr>
          <w:rFonts w:ascii="Times New Roman" w:eastAsiaTheme="minorEastAsia" w:hAnsi="Times New Roman" w:cs="Times New Roman"/>
          <w:sz w:val="24"/>
          <w:szCs w:val="24"/>
        </w:rPr>
        <w:t xml:space="preserve">oddziałują </w:t>
      </w:r>
      <w:r w:rsidR="00862241">
        <w:rPr>
          <w:rFonts w:ascii="Times New Roman" w:eastAsiaTheme="minorEastAsia" w:hAnsi="Times New Roman" w:cs="Times New Roman"/>
          <w:sz w:val="24"/>
          <w:szCs w:val="24"/>
        </w:rPr>
        <w:t xml:space="preserve">na liczbę urodzonych dzieci. </w:t>
      </w:r>
      <w:r w:rsidR="00E26F33">
        <w:rPr>
          <w:rFonts w:ascii="Times New Roman" w:eastAsiaTheme="minorEastAsia" w:hAnsi="Times New Roman" w:cs="Times New Roman"/>
          <w:sz w:val="24"/>
          <w:szCs w:val="24"/>
        </w:rPr>
        <w:t>Istotną</w:t>
      </w:r>
      <w:r w:rsidRPr="000325C6">
        <w:rPr>
          <w:rFonts w:ascii="Times New Roman" w:eastAsiaTheme="minorEastAsia" w:hAnsi="Times New Roman" w:cs="Times New Roman"/>
          <w:sz w:val="24"/>
          <w:szCs w:val="24"/>
        </w:rPr>
        <w:t xml:space="preserve"> rolę </w:t>
      </w:r>
      <w:r w:rsidR="0078452A" w:rsidRPr="000325C6">
        <w:rPr>
          <w:rFonts w:ascii="Times New Roman" w:eastAsiaTheme="minorEastAsia" w:hAnsi="Times New Roman" w:cs="Times New Roman"/>
          <w:sz w:val="24"/>
          <w:szCs w:val="24"/>
        </w:rPr>
        <w:t>w kontekście</w:t>
      </w:r>
      <w:r w:rsidR="00E26F33">
        <w:rPr>
          <w:rFonts w:ascii="Times New Roman" w:eastAsiaTheme="minorEastAsia" w:hAnsi="Times New Roman" w:cs="Times New Roman"/>
          <w:sz w:val="24"/>
          <w:szCs w:val="24"/>
        </w:rPr>
        <w:t xml:space="preserve"> </w:t>
      </w:r>
      <w:r w:rsidRPr="000325C6">
        <w:rPr>
          <w:rFonts w:ascii="Times New Roman" w:eastAsiaTheme="minorEastAsia" w:hAnsi="Times New Roman" w:cs="Times New Roman"/>
          <w:sz w:val="24"/>
          <w:szCs w:val="24"/>
        </w:rPr>
        <w:t xml:space="preserve">urodzeń przypisuje się </w:t>
      </w:r>
      <w:r w:rsidR="0078452A" w:rsidRPr="000325C6">
        <w:rPr>
          <w:rFonts w:ascii="Times New Roman" w:eastAsiaTheme="minorEastAsia" w:hAnsi="Times New Roman" w:cs="Times New Roman"/>
          <w:sz w:val="24"/>
          <w:szCs w:val="24"/>
        </w:rPr>
        <w:t>wynagrodzeniom. Ermisch (1998)</w:t>
      </w:r>
      <w:r w:rsidR="00D2778D" w:rsidRPr="000325C6">
        <w:rPr>
          <w:rFonts w:ascii="Times New Roman" w:eastAsiaTheme="minorEastAsia" w:hAnsi="Times New Roman" w:cs="Times New Roman"/>
          <w:sz w:val="24"/>
          <w:szCs w:val="24"/>
        </w:rPr>
        <w:t xml:space="preserve"> w ramach opisu modelu szeregów czasowych tłumaczącego współczynnik urodzeń</w:t>
      </w:r>
      <w:r w:rsidR="0078452A" w:rsidRPr="000325C6">
        <w:rPr>
          <w:rFonts w:ascii="Times New Roman" w:eastAsiaTheme="minorEastAsia" w:hAnsi="Times New Roman" w:cs="Times New Roman"/>
          <w:sz w:val="24"/>
          <w:szCs w:val="24"/>
        </w:rPr>
        <w:t xml:space="preserve"> stwierdza, że wyższa płaca nett</w:t>
      </w:r>
      <w:r w:rsidR="00E26F33">
        <w:rPr>
          <w:rFonts w:ascii="Times New Roman" w:eastAsiaTheme="minorEastAsia" w:hAnsi="Times New Roman" w:cs="Times New Roman"/>
          <w:sz w:val="24"/>
          <w:szCs w:val="24"/>
        </w:rPr>
        <w:t>o w przypadku kobiet zniechęca</w:t>
      </w:r>
      <w:r w:rsidR="0078452A" w:rsidRPr="000325C6">
        <w:rPr>
          <w:rFonts w:ascii="Times New Roman" w:eastAsiaTheme="minorEastAsia" w:hAnsi="Times New Roman" w:cs="Times New Roman"/>
          <w:sz w:val="24"/>
          <w:szCs w:val="24"/>
        </w:rPr>
        <w:t xml:space="preserve"> je do wydawania na świat potomków, </w:t>
      </w:r>
      <w:r w:rsidR="00D2778D" w:rsidRPr="000325C6">
        <w:rPr>
          <w:rFonts w:ascii="Times New Roman" w:eastAsiaTheme="minorEastAsia" w:hAnsi="Times New Roman" w:cs="Times New Roman"/>
          <w:sz w:val="24"/>
          <w:szCs w:val="24"/>
        </w:rPr>
        <w:t xml:space="preserve">natomiast </w:t>
      </w:r>
      <w:r w:rsidR="0078452A" w:rsidRPr="000325C6">
        <w:rPr>
          <w:rFonts w:ascii="Times New Roman" w:eastAsiaTheme="minorEastAsia" w:hAnsi="Times New Roman" w:cs="Times New Roman"/>
          <w:sz w:val="24"/>
          <w:szCs w:val="24"/>
        </w:rPr>
        <w:t xml:space="preserve">przeciwne wnioski wyciąga </w:t>
      </w:r>
      <w:r w:rsidR="00D2778D" w:rsidRPr="000325C6">
        <w:rPr>
          <w:rFonts w:ascii="Times New Roman" w:eastAsiaTheme="minorEastAsia" w:hAnsi="Times New Roman" w:cs="Times New Roman"/>
          <w:sz w:val="24"/>
          <w:szCs w:val="24"/>
        </w:rPr>
        <w:t>dla</w:t>
      </w:r>
      <w:r w:rsidR="00AD77D6">
        <w:rPr>
          <w:rFonts w:ascii="Times New Roman" w:eastAsiaTheme="minorEastAsia" w:hAnsi="Times New Roman" w:cs="Times New Roman"/>
          <w:sz w:val="24"/>
          <w:szCs w:val="24"/>
        </w:rPr>
        <w:t> </w:t>
      </w:r>
      <w:r w:rsidR="0078452A" w:rsidRPr="000325C6">
        <w:rPr>
          <w:rFonts w:ascii="Times New Roman" w:eastAsiaTheme="minorEastAsia" w:hAnsi="Times New Roman" w:cs="Times New Roman"/>
          <w:sz w:val="24"/>
          <w:szCs w:val="24"/>
        </w:rPr>
        <w:t xml:space="preserve">mężczyzn. </w:t>
      </w:r>
      <w:r w:rsidR="000325C6">
        <w:rPr>
          <w:rFonts w:ascii="Times New Roman" w:eastAsiaTheme="minorEastAsia" w:hAnsi="Times New Roman" w:cs="Times New Roman"/>
          <w:sz w:val="24"/>
          <w:szCs w:val="24"/>
        </w:rPr>
        <w:t xml:space="preserve">Gary Becker </w:t>
      </w:r>
      <w:r w:rsidR="0078452A" w:rsidRPr="00AD77D6">
        <w:rPr>
          <w:rFonts w:ascii="Times New Roman" w:eastAsiaTheme="minorEastAsia" w:hAnsi="Times New Roman" w:cs="Times New Roman"/>
          <w:sz w:val="24"/>
          <w:szCs w:val="24"/>
        </w:rPr>
        <w:t xml:space="preserve">w artykule </w:t>
      </w:r>
      <w:r w:rsidR="0078452A" w:rsidRPr="00E26F33">
        <w:rPr>
          <w:rFonts w:ascii="Times New Roman" w:eastAsiaTheme="minorEastAsia" w:hAnsi="Times New Roman" w:cs="Times New Roman"/>
          <w:i/>
          <w:sz w:val="24"/>
          <w:szCs w:val="24"/>
        </w:rPr>
        <w:t>„An Economic Analysis of Fertility”</w:t>
      </w:r>
      <w:r w:rsidR="000325C6" w:rsidRPr="00AD77D6">
        <w:rPr>
          <w:rFonts w:ascii="Times New Roman" w:eastAsiaTheme="minorEastAsia" w:hAnsi="Times New Roman" w:cs="Times New Roman"/>
          <w:sz w:val="24"/>
          <w:szCs w:val="24"/>
        </w:rPr>
        <w:t xml:space="preserve"> również </w:t>
      </w:r>
      <w:r w:rsidR="00AD77D6" w:rsidRPr="00AD77D6">
        <w:rPr>
          <w:rFonts w:ascii="Times New Roman" w:eastAsiaTheme="minorEastAsia" w:hAnsi="Times New Roman" w:cs="Times New Roman"/>
          <w:sz w:val="24"/>
          <w:szCs w:val="24"/>
        </w:rPr>
        <w:t xml:space="preserve">wskazuje dochód </w:t>
      </w:r>
      <w:r w:rsidR="0078452A" w:rsidRPr="00AD77D6">
        <w:rPr>
          <w:rFonts w:ascii="Times New Roman" w:eastAsiaTheme="minorEastAsia" w:hAnsi="Times New Roman" w:cs="Times New Roman"/>
          <w:sz w:val="24"/>
          <w:szCs w:val="24"/>
        </w:rPr>
        <w:t xml:space="preserve"> jako jedną z </w:t>
      </w:r>
      <w:r w:rsidR="00AD77D6" w:rsidRPr="00AD77D6">
        <w:rPr>
          <w:rFonts w:ascii="Times New Roman" w:eastAsiaTheme="minorEastAsia" w:hAnsi="Times New Roman" w:cs="Times New Roman"/>
          <w:sz w:val="24"/>
          <w:szCs w:val="24"/>
        </w:rPr>
        <w:t xml:space="preserve">istotnych </w:t>
      </w:r>
      <w:r w:rsidR="0078452A" w:rsidRPr="00AD77D6">
        <w:rPr>
          <w:rFonts w:ascii="Times New Roman" w:eastAsiaTheme="minorEastAsia" w:hAnsi="Times New Roman" w:cs="Times New Roman"/>
          <w:sz w:val="24"/>
          <w:szCs w:val="24"/>
        </w:rPr>
        <w:t>determinant liczby urodzeń</w:t>
      </w:r>
      <w:r w:rsidR="00AD77D6" w:rsidRPr="00AD77D6">
        <w:rPr>
          <w:rFonts w:ascii="Times New Roman" w:eastAsiaTheme="minorEastAsia" w:hAnsi="Times New Roman" w:cs="Times New Roman"/>
          <w:sz w:val="24"/>
          <w:szCs w:val="24"/>
        </w:rPr>
        <w:t>.</w:t>
      </w:r>
      <w:r w:rsidR="00AD77D6">
        <w:rPr>
          <w:rFonts w:ascii="Times New Roman" w:eastAsiaTheme="minorEastAsia" w:hAnsi="Times New Roman" w:cs="Times New Roman"/>
          <w:sz w:val="24"/>
          <w:szCs w:val="24"/>
        </w:rPr>
        <w:t xml:space="preserve"> </w:t>
      </w:r>
      <w:r w:rsidR="002A33DE">
        <w:rPr>
          <w:rFonts w:ascii="Times New Roman" w:eastAsiaTheme="minorEastAsia" w:hAnsi="Times New Roman" w:cs="Times New Roman"/>
          <w:sz w:val="24"/>
          <w:szCs w:val="24"/>
        </w:rPr>
        <w:t>Związek między zarobkami a liczbą urodzeń zauważają też Kearney i Willson (2018).</w:t>
      </w:r>
      <w:r w:rsidR="00A626CF">
        <w:rPr>
          <w:rFonts w:ascii="Times New Roman" w:eastAsiaTheme="minorEastAsia" w:hAnsi="Times New Roman" w:cs="Times New Roman"/>
          <w:sz w:val="24"/>
          <w:szCs w:val="24"/>
        </w:rPr>
        <w:t xml:space="preserve"> </w:t>
      </w:r>
      <w:r w:rsidR="00A626CF" w:rsidRPr="00A626CF">
        <w:rPr>
          <w:rFonts w:ascii="Times New Roman" w:eastAsiaTheme="minorEastAsia" w:hAnsi="Times New Roman" w:cs="Times New Roman"/>
          <w:sz w:val="24"/>
          <w:szCs w:val="24"/>
        </w:rPr>
        <w:t xml:space="preserve">Vandenbroucke (2016) natomiast punktuje negatywną tendencję jeśli chodzi </w:t>
      </w:r>
      <w:r w:rsidR="00E26F33">
        <w:rPr>
          <w:rFonts w:ascii="Times New Roman" w:eastAsiaTheme="minorEastAsia" w:hAnsi="Times New Roman" w:cs="Times New Roman"/>
          <w:sz w:val="24"/>
          <w:szCs w:val="24"/>
        </w:rPr>
        <w:t>o PKB per capita państw a urodzeniami</w:t>
      </w:r>
      <w:r w:rsidR="00A626CF" w:rsidRPr="00A626CF">
        <w:rPr>
          <w:rFonts w:ascii="Times New Roman" w:eastAsiaTheme="minorEastAsia" w:hAnsi="Times New Roman" w:cs="Times New Roman"/>
          <w:sz w:val="24"/>
          <w:szCs w:val="24"/>
        </w:rPr>
        <w:t>. Mniejsze wynagrodzenie świadczy o relatywnie ta</w:t>
      </w:r>
      <w:r w:rsidR="00E26F33">
        <w:rPr>
          <w:rFonts w:ascii="Times New Roman" w:eastAsiaTheme="minorEastAsia" w:hAnsi="Times New Roman" w:cs="Times New Roman"/>
          <w:sz w:val="24"/>
          <w:szCs w:val="24"/>
        </w:rPr>
        <w:t>ńszym czasie, więc jego poświęce</w:t>
      </w:r>
      <w:r w:rsidR="00A626CF" w:rsidRPr="00A626CF">
        <w:rPr>
          <w:rFonts w:ascii="Times New Roman" w:eastAsiaTheme="minorEastAsia" w:hAnsi="Times New Roman" w:cs="Times New Roman"/>
          <w:sz w:val="24"/>
          <w:szCs w:val="24"/>
        </w:rPr>
        <w:t>nie na wychowanie dziecka nie jest tak kosztowne jak w przypadk</w:t>
      </w:r>
      <w:r w:rsidR="00E26F33">
        <w:rPr>
          <w:rFonts w:ascii="Times New Roman" w:eastAsiaTheme="minorEastAsia" w:hAnsi="Times New Roman" w:cs="Times New Roman"/>
          <w:sz w:val="24"/>
          <w:szCs w:val="24"/>
        </w:rPr>
        <w:t>u regionów bogatszych (notujących</w:t>
      </w:r>
      <w:r w:rsidR="00A626CF" w:rsidRPr="00A626CF">
        <w:rPr>
          <w:rFonts w:ascii="Times New Roman" w:eastAsiaTheme="minorEastAsia" w:hAnsi="Times New Roman" w:cs="Times New Roman"/>
          <w:sz w:val="24"/>
          <w:szCs w:val="24"/>
        </w:rPr>
        <w:t xml:space="preserve"> wyższe średnie wynagrodzenie).</w:t>
      </w:r>
    </w:p>
    <w:p w:rsidR="00862241" w:rsidRDefault="002A33DE" w:rsidP="00862241">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Ekonomiści zauważają także zależność między zm</w:t>
      </w:r>
      <w:r w:rsidR="00862241">
        <w:rPr>
          <w:rFonts w:ascii="Times New Roman" w:eastAsiaTheme="minorEastAsia" w:hAnsi="Times New Roman" w:cs="Times New Roman"/>
          <w:sz w:val="24"/>
          <w:szCs w:val="24"/>
        </w:rPr>
        <w:t>ianami na rynku mieszkaniowym a </w:t>
      </w:r>
      <w:r>
        <w:rPr>
          <w:rFonts w:ascii="Times New Roman" w:eastAsiaTheme="minorEastAsia" w:hAnsi="Times New Roman" w:cs="Times New Roman"/>
          <w:sz w:val="24"/>
          <w:szCs w:val="24"/>
        </w:rPr>
        <w:t>współczynnikiem urodzeń. Dettling i Kearney (2014)</w:t>
      </w:r>
      <w:r w:rsidR="00BD1EB4">
        <w:rPr>
          <w:rFonts w:ascii="Times New Roman" w:eastAsiaTheme="minorEastAsia" w:hAnsi="Times New Roman" w:cs="Times New Roman"/>
          <w:sz w:val="24"/>
          <w:szCs w:val="24"/>
        </w:rPr>
        <w:t xml:space="preserve"> dowodzą</w:t>
      </w:r>
      <w:r w:rsidR="00862241">
        <w:rPr>
          <w:rFonts w:ascii="Times New Roman" w:eastAsiaTheme="minorEastAsia" w:hAnsi="Times New Roman" w:cs="Times New Roman"/>
          <w:sz w:val="24"/>
          <w:szCs w:val="24"/>
        </w:rPr>
        <w:t>, że wzrost cen mieszkań w </w:t>
      </w:r>
      <w:r w:rsidR="00BD1EB4">
        <w:rPr>
          <w:rFonts w:ascii="Times New Roman" w:eastAsiaTheme="minorEastAsia" w:hAnsi="Times New Roman" w:cs="Times New Roman"/>
          <w:sz w:val="24"/>
          <w:szCs w:val="24"/>
        </w:rPr>
        <w:t>krótkim okresie powoduje spadek urodzeń wśród osób nieposiadających nieruchomości oraz wzrost urodzeń pośród właścicieli.</w:t>
      </w:r>
      <w:r w:rsidR="00250C18">
        <w:rPr>
          <w:rFonts w:ascii="Times New Roman" w:eastAsiaTheme="minorEastAsia" w:hAnsi="Times New Roman" w:cs="Times New Roman"/>
          <w:sz w:val="24"/>
          <w:szCs w:val="24"/>
        </w:rPr>
        <w:t xml:space="preserve"> Pozytywną korelację mi</w:t>
      </w:r>
      <w:r w:rsidR="00E26F33">
        <w:rPr>
          <w:rFonts w:ascii="Times New Roman" w:eastAsiaTheme="minorEastAsia" w:hAnsi="Times New Roman" w:cs="Times New Roman"/>
          <w:sz w:val="24"/>
          <w:szCs w:val="24"/>
        </w:rPr>
        <w:t>ędzy prokreacją a wzrostem cen dla</w:t>
      </w:r>
      <w:r w:rsidR="00250C18">
        <w:rPr>
          <w:rFonts w:ascii="Times New Roman" w:eastAsiaTheme="minorEastAsia" w:hAnsi="Times New Roman" w:cs="Times New Roman"/>
          <w:sz w:val="24"/>
          <w:szCs w:val="24"/>
        </w:rPr>
        <w:t xml:space="preserve"> osób posiadających własne domy dowodzą także badania Lovenheima i Mumforda (2013).</w:t>
      </w:r>
      <w:r w:rsidR="00862241">
        <w:rPr>
          <w:rFonts w:ascii="Times New Roman" w:eastAsiaTheme="minorEastAsia" w:hAnsi="Times New Roman" w:cs="Times New Roman"/>
          <w:sz w:val="24"/>
          <w:szCs w:val="24"/>
        </w:rPr>
        <w:t xml:space="preserve">  </w:t>
      </w:r>
    </w:p>
    <w:p w:rsidR="00A20ACE" w:rsidRDefault="00901A23" w:rsidP="00A20ACE">
      <w:pPr>
        <w:spacing w:line="360" w:lineRule="auto"/>
        <w:jc w:val="both"/>
        <w:rPr>
          <w:rFonts w:eastAsiaTheme="minorEastAsia"/>
        </w:rPr>
      </w:pPr>
      <w:r>
        <w:rPr>
          <w:rFonts w:ascii="Times New Roman" w:eastAsiaTheme="minorEastAsia" w:hAnsi="Times New Roman" w:cs="Times New Roman"/>
          <w:sz w:val="24"/>
          <w:szCs w:val="24"/>
        </w:rPr>
        <w:tab/>
        <w:t>Wiele prac wskazuje na istotne powiązanie fluktuacji współcz</w:t>
      </w:r>
      <w:r w:rsidR="00862241">
        <w:rPr>
          <w:rFonts w:ascii="Times New Roman" w:eastAsiaTheme="minorEastAsia" w:hAnsi="Times New Roman" w:cs="Times New Roman"/>
          <w:sz w:val="24"/>
          <w:szCs w:val="24"/>
        </w:rPr>
        <w:t>ynnika urodzeń i </w:t>
      </w:r>
      <w:r>
        <w:rPr>
          <w:rFonts w:ascii="Times New Roman" w:eastAsiaTheme="minorEastAsia" w:hAnsi="Times New Roman" w:cs="Times New Roman"/>
          <w:sz w:val="24"/>
          <w:szCs w:val="24"/>
        </w:rPr>
        <w:t xml:space="preserve">poszczególnych etapów </w:t>
      </w:r>
      <w:r w:rsidR="00A308F4">
        <w:rPr>
          <w:rFonts w:ascii="Times New Roman" w:eastAsiaTheme="minorEastAsia" w:hAnsi="Times New Roman" w:cs="Times New Roman"/>
          <w:sz w:val="24"/>
          <w:szCs w:val="24"/>
        </w:rPr>
        <w:t xml:space="preserve">cyklu gospodarczego, w szczególności ze zmianami na rynku pracy. </w:t>
      </w:r>
      <w:r w:rsidR="00862241">
        <w:rPr>
          <w:rFonts w:ascii="Times New Roman" w:eastAsiaTheme="minorEastAsia" w:hAnsi="Times New Roman" w:cs="Times New Roman"/>
          <w:sz w:val="24"/>
          <w:szCs w:val="24"/>
        </w:rPr>
        <w:t>Pandemia COVID-19 wywarła ogromny wpływ na struktury demog</w:t>
      </w:r>
      <w:r w:rsidR="00E26F33">
        <w:rPr>
          <w:rFonts w:ascii="Times New Roman" w:eastAsiaTheme="minorEastAsia" w:hAnsi="Times New Roman" w:cs="Times New Roman"/>
          <w:sz w:val="24"/>
          <w:szCs w:val="24"/>
        </w:rPr>
        <w:t>raficzne państw, jak i na ich </w:t>
      </w:r>
      <w:r w:rsidR="00EA2006">
        <w:rPr>
          <w:rFonts w:ascii="Times New Roman" w:eastAsiaTheme="minorEastAsia" w:hAnsi="Times New Roman" w:cs="Times New Roman"/>
          <w:sz w:val="24"/>
          <w:szCs w:val="24"/>
        </w:rPr>
        <w:t xml:space="preserve">gospodarki. </w:t>
      </w:r>
      <w:r w:rsidR="00EA2006" w:rsidRPr="00EA2006">
        <w:rPr>
          <w:rFonts w:ascii="Times New Roman" w:eastAsiaTheme="minorEastAsia" w:hAnsi="Times New Roman" w:cs="Times New Roman"/>
          <w:sz w:val="24"/>
          <w:szCs w:val="24"/>
        </w:rPr>
        <w:t>Nieprzewidziane</w:t>
      </w:r>
      <w:r w:rsidR="003944D8" w:rsidRPr="00EA2006">
        <w:rPr>
          <w:rFonts w:ascii="Times New Roman" w:eastAsiaTheme="minorEastAsia" w:hAnsi="Times New Roman" w:cs="Times New Roman"/>
          <w:sz w:val="24"/>
          <w:szCs w:val="24"/>
        </w:rPr>
        <w:t xml:space="preserve"> w dotychczasowych prognozach wzrost zgonów</w:t>
      </w:r>
      <w:r w:rsidR="007B2E8F" w:rsidRPr="00EA2006">
        <w:rPr>
          <w:rFonts w:ascii="Times New Roman" w:eastAsiaTheme="minorEastAsia" w:hAnsi="Times New Roman" w:cs="Times New Roman"/>
          <w:sz w:val="24"/>
          <w:szCs w:val="24"/>
        </w:rPr>
        <w:t xml:space="preserve"> (Tabela 1.)</w:t>
      </w:r>
      <w:r w:rsidR="00EA2006" w:rsidRPr="00EA2006">
        <w:rPr>
          <w:rFonts w:ascii="Times New Roman" w:eastAsiaTheme="minorEastAsia" w:hAnsi="Times New Roman" w:cs="Times New Roman"/>
          <w:sz w:val="24"/>
          <w:szCs w:val="24"/>
        </w:rPr>
        <w:t xml:space="preserve"> i zahamowanie wzrostu gospodarczego </w:t>
      </w:r>
      <w:r w:rsidR="007B2E8F" w:rsidRPr="00EA2006">
        <w:rPr>
          <w:rFonts w:ascii="Times New Roman" w:eastAsiaTheme="minorEastAsia" w:hAnsi="Times New Roman" w:cs="Times New Roman"/>
          <w:sz w:val="24"/>
          <w:szCs w:val="24"/>
        </w:rPr>
        <w:t>będą odnotowywane</w:t>
      </w:r>
      <w:r w:rsidR="00EA2006">
        <w:rPr>
          <w:rFonts w:ascii="Times New Roman" w:eastAsiaTheme="minorEastAsia" w:hAnsi="Times New Roman" w:cs="Times New Roman"/>
          <w:sz w:val="24"/>
          <w:szCs w:val="24"/>
        </w:rPr>
        <w:t xml:space="preserve"> we </w:t>
      </w:r>
      <w:r w:rsidR="003944D8" w:rsidRPr="00EA2006">
        <w:rPr>
          <w:rFonts w:ascii="Times New Roman" w:eastAsiaTheme="minorEastAsia" w:hAnsi="Times New Roman" w:cs="Times New Roman"/>
          <w:sz w:val="24"/>
          <w:szCs w:val="24"/>
        </w:rPr>
        <w:t xml:space="preserve">wskaźnikach ekonomicznych, społecznych czy demograficznych. </w:t>
      </w: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7B2E8F" w:rsidRPr="00A20ACE" w:rsidRDefault="007B2E8F" w:rsidP="00A20ACE">
      <w:pPr>
        <w:spacing w:line="360" w:lineRule="auto"/>
        <w:jc w:val="both"/>
        <w:rPr>
          <w:rFonts w:eastAsiaTheme="minorEastAsia"/>
        </w:rPr>
      </w:pPr>
      <w:r w:rsidRPr="00EA6358">
        <w:rPr>
          <w:rFonts w:ascii="Times New Roman" w:eastAsia="Times New Roman" w:hAnsi="Times New Roman" w:cs="Times New Roman"/>
          <w:sz w:val="24"/>
          <w:szCs w:val="24"/>
          <w:lang w:eastAsia="pl-PL"/>
        </w:rPr>
        <w:t>Tabela 1. Zestawienie liczby zgonów w Polsce w latach 2017 –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1315"/>
        <w:gridCol w:w="1315"/>
        <w:gridCol w:w="1311"/>
        <w:gridCol w:w="1309"/>
      </w:tblGrid>
      <w:tr w:rsidR="007B2E8F" w:rsidTr="009C4A67">
        <w:trPr>
          <w:cantSplit/>
          <w:jc w:val="center"/>
        </w:trPr>
        <w:tc>
          <w:tcPr>
            <w:tcW w:w="3326"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Lata</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2017</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2018</w:t>
            </w:r>
          </w:p>
        </w:tc>
        <w:tc>
          <w:tcPr>
            <w:tcW w:w="1311"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2019</w:t>
            </w:r>
          </w:p>
        </w:tc>
        <w:tc>
          <w:tcPr>
            <w:tcW w:w="1309"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2020</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Liczba zgonów</w:t>
            </w:r>
          </w:p>
        </w:tc>
        <w:tc>
          <w:tcPr>
            <w:tcW w:w="1315"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402 852</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414 200</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409 709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477 355</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Indeks łańcuchowy (rok bazowy = rok poprzedni)</w:t>
            </w:r>
          </w:p>
        </w:tc>
        <w:tc>
          <w:tcPr>
            <w:tcW w:w="1315" w:type="dxa"/>
          </w:tcPr>
          <w:p w:rsidR="007B2E8F" w:rsidRPr="00EA6358" w:rsidRDefault="007B2E8F" w:rsidP="009C4A67">
            <w:pPr>
              <w:tabs>
                <w:tab w:val="left" w:pos="8738"/>
              </w:tabs>
              <w:ind w:right="2"/>
              <w:jc w:val="center"/>
              <w:rPr>
                <w:rFonts w:ascii="Times New Roman" w:hAnsi="Times New Roman" w:cs="Times New Roman"/>
                <w:sz w:val="24"/>
              </w:rPr>
            </w:pPr>
            <w:r w:rsidRPr="00EA6358">
              <w:rPr>
                <w:rFonts w:ascii="Times New Roman" w:hAnsi="Times New Roman" w:cs="Times New Roman"/>
                <w:sz w:val="24"/>
              </w:rPr>
              <w:t>-</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103,2%</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98,9%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116,5%</w:t>
            </w:r>
          </w:p>
        </w:tc>
      </w:tr>
    </w:tbl>
    <w:p w:rsidR="00EA2006" w:rsidRDefault="00EA2006"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p>
    <w:p w:rsidR="007B2E8F" w:rsidRDefault="007B2E8F"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EA6358">
        <w:rPr>
          <w:rFonts w:ascii="Times New Roman" w:eastAsia="Times New Roman" w:hAnsi="Times New Roman" w:cs="Times New Roman"/>
          <w:i/>
          <w:sz w:val="20"/>
          <w:szCs w:val="20"/>
          <w:lang w:eastAsia="pl-PL"/>
        </w:rPr>
        <w:t xml:space="preserve">Źródło: </w:t>
      </w:r>
      <w:r w:rsidRPr="00EA6358">
        <w:rPr>
          <w:rFonts w:ascii="Times New Roman" w:eastAsia="Times New Roman" w:hAnsi="Times New Roman" w:cs="Times New Roman"/>
          <w:sz w:val="20"/>
          <w:szCs w:val="20"/>
          <w:lang w:eastAsia="pl-PL"/>
        </w:rPr>
        <w:t>Opracowanie własne na podstawie danych</w:t>
      </w:r>
      <w:r w:rsidRPr="00EA6358">
        <w:rPr>
          <w:rFonts w:ascii="Times New Roman" w:eastAsia="Times New Roman" w:hAnsi="Times New Roman" w:cs="Times New Roman"/>
          <w:i/>
          <w:sz w:val="20"/>
          <w:szCs w:val="20"/>
          <w:lang w:eastAsia="pl-PL"/>
        </w:rPr>
        <w:t xml:space="preserve"> Banku Danych Lokalnych.</w:t>
      </w:r>
    </w:p>
    <w:p w:rsidR="007B2E8F" w:rsidRDefault="007B2E8F" w:rsidP="0099085B"/>
    <w:p w:rsidR="003944D8" w:rsidRPr="00EA2006" w:rsidRDefault="00901A23" w:rsidP="00EA2006">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3944D8" w:rsidRPr="00EA2006">
        <w:rPr>
          <w:rFonts w:ascii="Times New Roman" w:eastAsiaTheme="minorEastAsia" w:hAnsi="Times New Roman" w:cs="Times New Roman"/>
          <w:sz w:val="24"/>
          <w:szCs w:val="24"/>
        </w:rPr>
        <w:t>Porównując zmniejszenie mobilności obywateli wywołane koronawirusem do sytuacji wprowadze</w:t>
      </w:r>
      <w:r w:rsidR="00E26F33">
        <w:rPr>
          <w:rFonts w:ascii="Times New Roman" w:eastAsiaTheme="minorEastAsia" w:hAnsi="Times New Roman" w:cs="Times New Roman"/>
          <w:sz w:val="24"/>
          <w:szCs w:val="24"/>
        </w:rPr>
        <w:t>nia stanu wojennego w 1981 roku</w:t>
      </w:r>
      <w:r w:rsidR="003944D8" w:rsidRPr="00EA2006">
        <w:rPr>
          <w:rFonts w:ascii="Times New Roman" w:eastAsiaTheme="minorEastAsia" w:hAnsi="Times New Roman" w:cs="Times New Roman"/>
          <w:sz w:val="24"/>
          <w:szCs w:val="24"/>
        </w:rPr>
        <w:t xml:space="preserve"> to </w:t>
      </w:r>
      <w:r w:rsidR="00E127EA" w:rsidRPr="00EA2006">
        <w:rPr>
          <w:rFonts w:ascii="Times New Roman" w:eastAsiaTheme="minorEastAsia" w:hAnsi="Times New Roman" w:cs="Times New Roman"/>
          <w:sz w:val="24"/>
          <w:szCs w:val="24"/>
        </w:rPr>
        <w:t>należałoby</w:t>
      </w:r>
      <w:r w:rsidR="003944D8" w:rsidRPr="00EA2006">
        <w:rPr>
          <w:rFonts w:ascii="Times New Roman" w:eastAsiaTheme="minorEastAsia" w:hAnsi="Times New Roman" w:cs="Times New Roman"/>
          <w:sz w:val="24"/>
          <w:szCs w:val="24"/>
        </w:rPr>
        <w:t xml:space="preserve"> przewidywać wzrost liczby urodzeń spowodowany </w:t>
      </w:r>
      <w:r w:rsidR="00E127EA" w:rsidRPr="00EA2006">
        <w:rPr>
          <w:rFonts w:ascii="Times New Roman" w:eastAsiaTheme="minorEastAsia" w:hAnsi="Times New Roman" w:cs="Times New Roman"/>
          <w:sz w:val="24"/>
          <w:szCs w:val="24"/>
        </w:rPr>
        <w:t>pozostaniem w do</w:t>
      </w:r>
      <w:r w:rsidR="00463F5F" w:rsidRPr="00EA2006">
        <w:rPr>
          <w:rFonts w:ascii="Times New Roman" w:eastAsiaTheme="minorEastAsia" w:hAnsi="Times New Roman" w:cs="Times New Roman"/>
          <w:sz w:val="24"/>
          <w:szCs w:val="24"/>
        </w:rPr>
        <w:t>mach razem z partnerami. P</w:t>
      </w:r>
      <w:r w:rsidR="00E26F33">
        <w:rPr>
          <w:rFonts w:ascii="Times New Roman" w:eastAsiaTheme="minorEastAsia" w:hAnsi="Times New Roman" w:cs="Times New Roman"/>
          <w:sz w:val="24"/>
          <w:szCs w:val="24"/>
        </w:rPr>
        <w:t xml:space="preserve">odobne wnioski zostały </w:t>
      </w:r>
      <w:r w:rsidR="005E693D">
        <w:rPr>
          <w:rFonts w:ascii="Times New Roman" w:eastAsiaTheme="minorEastAsia" w:hAnsi="Times New Roman" w:cs="Times New Roman"/>
          <w:sz w:val="24"/>
          <w:szCs w:val="24"/>
        </w:rPr>
        <w:t>formułowane</w:t>
      </w:r>
      <w:r w:rsidR="00463F5F" w:rsidRPr="00EA2006">
        <w:rPr>
          <w:rFonts w:ascii="Times New Roman" w:eastAsiaTheme="minorEastAsia" w:hAnsi="Times New Roman" w:cs="Times New Roman"/>
          <w:sz w:val="24"/>
          <w:szCs w:val="24"/>
        </w:rPr>
        <w:t xml:space="preserve"> na podstawie historii związanych ze skoki</w:t>
      </w:r>
      <w:r w:rsidR="005E693D">
        <w:rPr>
          <w:rFonts w:ascii="Times New Roman" w:eastAsiaTheme="minorEastAsia" w:hAnsi="Times New Roman" w:cs="Times New Roman"/>
          <w:sz w:val="24"/>
          <w:szCs w:val="24"/>
        </w:rPr>
        <w:t>em urodzeń dziewięć miesięcy po </w:t>
      </w:r>
      <w:r w:rsidR="00463F5F" w:rsidRPr="00EA2006">
        <w:rPr>
          <w:rFonts w:ascii="Times New Roman" w:eastAsiaTheme="minorEastAsia" w:hAnsi="Times New Roman" w:cs="Times New Roman"/>
          <w:sz w:val="24"/>
          <w:szCs w:val="24"/>
        </w:rPr>
        <w:t>zamieciach czy poważnych przerwach w dostawie prądu. Mity te zostały statystycznie obalone między innymi przez Richarda Udry’eg</w:t>
      </w:r>
      <w:r w:rsidR="005E693D">
        <w:rPr>
          <w:rFonts w:ascii="Times New Roman" w:eastAsiaTheme="minorEastAsia" w:hAnsi="Times New Roman" w:cs="Times New Roman"/>
          <w:sz w:val="24"/>
          <w:szCs w:val="24"/>
        </w:rPr>
        <w:t>o w 1970 roku, który</w:t>
      </w:r>
      <w:r w:rsidR="00463F5F" w:rsidRPr="00EA2006">
        <w:rPr>
          <w:rFonts w:ascii="Times New Roman" w:eastAsiaTheme="minorEastAsia" w:hAnsi="Times New Roman" w:cs="Times New Roman"/>
          <w:sz w:val="24"/>
          <w:szCs w:val="24"/>
        </w:rPr>
        <w:t xml:space="preserve"> </w:t>
      </w:r>
      <w:r w:rsidR="005E693D">
        <w:rPr>
          <w:rFonts w:ascii="Times New Roman" w:eastAsiaTheme="minorEastAsia" w:hAnsi="Times New Roman" w:cs="Times New Roman"/>
          <w:sz w:val="24"/>
          <w:szCs w:val="24"/>
        </w:rPr>
        <w:t>z</w:t>
      </w:r>
      <w:r w:rsidR="00463F5F" w:rsidRPr="00EA2006">
        <w:rPr>
          <w:rFonts w:ascii="Times New Roman" w:eastAsiaTheme="minorEastAsia" w:hAnsi="Times New Roman" w:cs="Times New Roman"/>
          <w:sz w:val="24"/>
          <w:szCs w:val="24"/>
        </w:rPr>
        <w:t xml:space="preserve">badał wpływ awarii zasilania w Nowym Jorku w 1965 roku na urodzenia dzieci. </w:t>
      </w:r>
      <w:r w:rsidR="00321824" w:rsidRPr="00EA2006">
        <w:rPr>
          <w:rFonts w:ascii="Times New Roman" w:eastAsiaTheme="minorEastAsia" w:hAnsi="Times New Roman" w:cs="Times New Roman"/>
          <w:sz w:val="24"/>
          <w:szCs w:val="24"/>
        </w:rPr>
        <w:t>Wzrost współczynnika urodzeń nie został także odnotowany po historycznej zamieci śnieżnej w 1967 roku w Chicago, dlatego można odrzucić hipotezę o zwiększeniu współczynniku współżycia seksualnego prowadzącego do wzrostu liczby urodzeń w</w:t>
      </w:r>
      <w:r w:rsidR="00B14DDA">
        <w:rPr>
          <w:rFonts w:ascii="Times New Roman" w:eastAsiaTheme="minorEastAsia" w:hAnsi="Times New Roman" w:cs="Times New Roman"/>
          <w:sz w:val="24"/>
          <w:szCs w:val="24"/>
        </w:rPr>
        <w:t xml:space="preserve"> przypadku nakazów pozostania w </w:t>
      </w:r>
      <w:r w:rsidR="00321824" w:rsidRPr="00EA2006">
        <w:rPr>
          <w:rFonts w:ascii="Times New Roman" w:eastAsiaTheme="minorEastAsia" w:hAnsi="Times New Roman" w:cs="Times New Roman"/>
          <w:sz w:val="24"/>
          <w:szCs w:val="24"/>
        </w:rPr>
        <w:t>domu (Udry, 1970).</w:t>
      </w:r>
    </w:p>
    <w:p w:rsidR="00321824" w:rsidRPr="00EA2006" w:rsidRDefault="00321824" w:rsidP="005E693D">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D17FDA" w:rsidRPr="00EA2006">
        <w:rPr>
          <w:rFonts w:ascii="Times New Roman" w:eastAsiaTheme="minorEastAsia" w:hAnsi="Times New Roman" w:cs="Times New Roman"/>
          <w:sz w:val="24"/>
          <w:szCs w:val="24"/>
        </w:rPr>
        <w:t>Kryzys zdrowia publicznego wywołał także recesję gospodarczą prowadzącą do strat ekonomicznych, niepewności, braku możliwości przewidywania przyszłości i zmniejszeniu poczucia bezpieczeństwa wobec śmiertelnego wirusa.</w:t>
      </w:r>
      <w:r w:rsidR="00704294" w:rsidRPr="00EA2006">
        <w:rPr>
          <w:rFonts w:ascii="Times New Roman" w:eastAsiaTheme="minorEastAsia" w:hAnsi="Times New Roman" w:cs="Times New Roman"/>
          <w:sz w:val="24"/>
          <w:szCs w:val="24"/>
        </w:rPr>
        <w:t xml:space="preserve"> Badanie przeprowadzone przez Lindeber, VandeVusse, Mueller i Kirstein</w:t>
      </w:r>
      <w:r w:rsidR="0084098D" w:rsidRPr="00EA2006">
        <w:rPr>
          <w:rFonts w:ascii="Times New Roman" w:eastAsiaTheme="minorEastAsia" w:hAnsi="Times New Roman" w:cs="Times New Roman"/>
          <w:sz w:val="24"/>
          <w:szCs w:val="24"/>
        </w:rPr>
        <w:t xml:space="preserve"> (2020)</w:t>
      </w:r>
      <w:r w:rsidR="00704294" w:rsidRPr="00EA2006">
        <w:rPr>
          <w:rFonts w:ascii="Times New Roman" w:eastAsiaTheme="minorEastAsia" w:hAnsi="Times New Roman" w:cs="Times New Roman"/>
          <w:sz w:val="24"/>
          <w:szCs w:val="24"/>
        </w:rPr>
        <w:t xml:space="preserve"> u</w:t>
      </w:r>
      <w:r w:rsidR="00B14DDA">
        <w:rPr>
          <w:rFonts w:ascii="Times New Roman" w:eastAsiaTheme="minorEastAsia" w:hAnsi="Times New Roman" w:cs="Times New Roman"/>
          <w:sz w:val="24"/>
          <w:szCs w:val="24"/>
        </w:rPr>
        <w:t>jawnia, że pandemia wpłynęła na </w:t>
      </w:r>
      <w:r w:rsidR="00704294" w:rsidRPr="00EA2006">
        <w:rPr>
          <w:rFonts w:ascii="Times New Roman" w:eastAsiaTheme="minorEastAsia" w:hAnsi="Times New Roman" w:cs="Times New Roman"/>
          <w:sz w:val="24"/>
          <w:szCs w:val="24"/>
        </w:rPr>
        <w:t>zachowania jednostek w obszarze prokreacji – powyżej 40% kobiet zmie</w:t>
      </w:r>
      <w:r w:rsidR="0084098D" w:rsidRPr="00EA2006">
        <w:rPr>
          <w:rFonts w:ascii="Times New Roman" w:eastAsiaTheme="minorEastAsia" w:hAnsi="Times New Roman" w:cs="Times New Roman"/>
          <w:sz w:val="24"/>
          <w:szCs w:val="24"/>
        </w:rPr>
        <w:t>niło plany dotyczące potomstwa (ich liczby lub odłożyło ich posiadanie na bardziej s</w:t>
      </w:r>
      <w:r w:rsidR="008060F4" w:rsidRPr="00EA2006">
        <w:rPr>
          <w:rFonts w:ascii="Times New Roman" w:eastAsiaTheme="minorEastAsia" w:hAnsi="Times New Roman" w:cs="Times New Roman"/>
          <w:sz w:val="24"/>
          <w:szCs w:val="24"/>
        </w:rPr>
        <w:t xml:space="preserve">przyjające ludzkości czasy). </w:t>
      </w:r>
      <w:r w:rsidR="00EA2006">
        <w:rPr>
          <w:rFonts w:ascii="Times New Roman" w:eastAsiaTheme="minorEastAsia" w:hAnsi="Times New Roman" w:cs="Times New Roman"/>
          <w:sz w:val="24"/>
          <w:szCs w:val="24"/>
        </w:rPr>
        <w:t xml:space="preserve">COVID-19 wpływając </w:t>
      </w:r>
      <w:r w:rsidR="00B14DDA">
        <w:rPr>
          <w:rFonts w:ascii="Times New Roman" w:eastAsiaTheme="minorEastAsia" w:hAnsi="Times New Roman" w:cs="Times New Roman"/>
          <w:sz w:val="24"/>
          <w:szCs w:val="24"/>
        </w:rPr>
        <w:t>na rynek pracy, śmiertelność, zmniejszenie mobilności obywateli w pośredni sposób wywołuje zmiany w wartości współczynnika urodzeń.</w:t>
      </w:r>
    </w:p>
    <w:p w:rsidR="005E693D" w:rsidRDefault="005E693D" w:rsidP="005E693D">
      <w:pPr>
        <w:spacing w:after="0" w:line="360" w:lineRule="auto"/>
        <w:jc w:val="center"/>
        <w:rPr>
          <w:rFonts w:ascii="Times New Roman" w:eastAsiaTheme="minorEastAsia" w:hAnsi="Times New Roman" w:cs="Times New Roman"/>
          <w:b/>
          <w:sz w:val="24"/>
        </w:rPr>
      </w:pPr>
    </w:p>
    <w:p w:rsidR="005E693D" w:rsidRDefault="005E693D"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ROZDZIAŁ II</w:t>
      </w:r>
    </w:p>
    <w:p w:rsidR="005E693D" w:rsidRPr="005E693D" w:rsidRDefault="005E693D" w:rsidP="00A20ACE">
      <w:pPr>
        <w:spacing w:after="0" w:line="360" w:lineRule="auto"/>
        <w:jc w:val="center"/>
        <w:rPr>
          <w:rFonts w:ascii="Times New Roman" w:eastAsiaTheme="minorEastAsia" w:hAnsi="Times New Roman" w:cs="Times New Roman"/>
          <w:b/>
          <w:sz w:val="24"/>
        </w:rPr>
      </w:pPr>
    </w:p>
    <w:p w:rsidR="005E693D" w:rsidRDefault="00324D43"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H</w:t>
      </w:r>
      <w:r w:rsidR="005E693D" w:rsidRPr="005E693D">
        <w:rPr>
          <w:rFonts w:ascii="Times New Roman" w:eastAsiaTheme="minorEastAsia" w:hAnsi="Times New Roman" w:cs="Times New Roman"/>
          <w:b/>
          <w:sz w:val="24"/>
        </w:rPr>
        <w:t>ipotezy</w:t>
      </w:r>
      <w:r w:rsidR="005E693D">
        <w:rPr>
          <w:rFonts w:ascii="Times New Roman" w:eastAsiaTheme="minorEastAsia" w:hAnsi="Times New Roman" w:cs="Times New Roman"/>
          <w:b/>
          <w:sz w:val="24"/>
        </w:rPr>
        <w:t xml:space="preserve"> badawcze</w:t>
      </w:r>
    </w:p>
    <w:p w:rsidR="00A20ACE" w:rsidRPr="005E693D" w:rsidRDefault="00A20ACE" w:rsidP="005E693D">
      <w:pPr>
        <w:spacing w:after="0" w:line="360" w:lineRule="auto"/>
        <w:jc w:val="center"/>
        <w:rPr>
          <w:rFonts w:ascii="Times New Roman" w:eastAsiaTheme="minorEastAsia" w:hAnsi="Times New Roman" w:cs="Times New Roman"/>
          <w:b/>
          <w:sz w:val="24"/>
        </w:rPr>
      </w:pPr>
    </w:p>
    <w:p w:rsidR="008D1C98" w:rsidRPr="005E693D" w:rsidRDefault="008D1C98" w:rsidP="005E693D">
      <w:pPr>
        <w:spacing w:line="360" w:lineRule="auto"/>
        <w:rPr>
          <w:rFonts w:ascii="Times New Roman" w:eastAsiaTheme="minorEastAsia" w:hAnsi="Times New Roman" w:cs="Times New Roman"/>
          <w:b/>
          <w:sz w:val="24"/>
          <w:szCs w:val="24"/>
        </w:rPr>
      </w:pPr>
      <w:r w:rsidRPr="005E693D">
        <w:rPr>
          <w:rFonts w:ascii="Times New Roman" w:eastAsiaTheme="minorEastAsia" w:hAnsi="Times New Roman" w:cs="Times New Roman"/>
          <w:b/>
          <w:sz w:val="24"/>
          <w:szCs w:val="24"/>
        </w:rPr>
        <w:t>2.1.</w:t>
      </w:r>
      <w:r w:rsidR="008D34A1" w:rsidRPr="005E693D">
        <w:rPr>
          <w:rFonts w:ascii="Times New Roman" w:eastAsiaTheme="minorEastAsia" w:hAnsi="Times New Roman" w:cs="Times New Roman"/>
          <w:b/>
          <w:sz w:val="24"/>
          <w:szCs w:val="24"/>
        </w:rPr>
        <w:t xml:space="preserve"> Hipotezy o wpływie pandemii C</w:t>
      </w:r>
      <w:r w:rsidR="00A20ACE">
        <w:rPr>
          <w:rFonts w:ascii="Times New Roman" w:eastAsiaTheme="minorEastAsia" w:hAnsi="Times New Roman" w:cs="Times New Roman"/>
          <w:b/>
          <w:sz w:val="24"/>
          <w:szCs w:val="24"/>
        </w:rPr>
        <w:t>OVID-19 na współczynnik urodzeń</w:t>
      </w:r>
    </w:p>
    <w:p w:rsidR="00F56934" w:rsidRPr="005E693D" w:rsidRDefault="00AE4F69" w:rsidP="004A163B">
      <w:pPr>
        <w:spacing w:after="0" w:line="360" w:lineRule="auto"/>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CB4C29" w:rsidRPr="005E693D">
        <w:rPr>
          <w:rFonts w:ascii="Times New Roman" w:eastAsiaTheme="minorEastAsia" w:hAnsi="Times New Roman" w:cs="Times New Roman"/>
          <w:sz w:val="24"/>
          <w:szCs w:val="24"/>
          <w:u w:val="single"/>
        </w:rPr>
        <w:t xml:space="preserve">H0: Pandemia COVID-19 negatywnie wpływa na </w:t>
      </w:r>
      <w:r w:rsidR="00F56934" w:rsidRPr="005E693D">
        <w:rPr>
          <w:rFonts w:ascii="Times New Roman" w:eastAsiaTheme="minorEastAsia" w:hAnsi="Times New Roman" w:cs="Times New Roman"/>
          <w:sz w:val="24"/>
          <w:szCs w:val="24"/>
          <w:u w:val="single"/>
        </w:rPr>
        <w:t xml:space="preserve">liczbę urodzonych </w:t>
      </w:r>
      <w:r w:rsidR="008D34A1" w:rsidRPr="005E693D">
        <w:rPr>
          <w:rFonts w:ascii="Times New Roman" w:eastAsiaTheme="minorEastAsia" w:hAnsi="Times New Roman" w:cs="Times New Roman"/>
          <w:sz w:val="24"/>
          <w:szCs w:val="24"/>
          <w:u w:val="single"/>
        </w:rPr>
        <w:t>dzieci – ze względu na wzrost bezrobocia spowodowany zamrożeniem gospodarki.</w:t>
      </w:r>
    </w:p>
    <w:p w:rsidR="00B7576E" w:rsidRPr="005E693D" w:rsidRDefault="00825F85" w:rsidP="005E693D">
      <w:pPr>
        <w:spacing w:line="360" w:lineRule="auto"/>
        <w:jc w:val="both"/>
        <w:rPr>
          <w:rFonts w:ascii="Times New Roman" w:eastAsiaTheme="minorEastAsia" w:hAnsi="Times New Roman" w:cs="Times New Roman"/>
          <w:sz w:val="24"/>
          <w:szCs w:val="24"/>
        </w:rPr>
      </w:pPr>
      <w:r w:rsidRPr="00825F85">
        <w:rPr>
          <w:rFonts w:eastAsiaTheme="minorEastAsia"/>
        </w:rPr>
        <w:tab/>
      </w:r>
      <w:r w:rsidRPr="005E693D">
        <w:rPr>
          <w:rFonts w:ascii="Times New Roman" w:eastAsiaTheme="minorEastAsia" w:hAnsi="Times New Roman" w:cs="Times New Roman"/>
          <w:sz w:val="24"/>
          <w:szCs w:val="24"/>
        </w:rPr>
        <w:t xml:space="preserve">Pandemia wywarła piętno na wielu aspektach życia obywateli. </w:t>
      </w:r>
      <w:r w:rsidR="00D26937" w:rsidRPr="005E693D">
        <w:rPr>
          <w:rFonts w:ascii="Times New Roman" w:eastAsiaTheme="minorEastAsia" w:hAnsi="Times New Roman" w:cs="Times New Roman"/>
          <w:sz w:val="24"/>
          <w:szCs w:val="24"/>
        </w:rPr>
        <w:t xml:space="preserve">Na skutek lockdownu wiele przedsiębiorstw zbankrutowało, co spowodowało wzrost stopy bezrobocia. Przejściowe zmiany </w:t>
      </w:r>
      <w:r w:rsidR="00AD0F93" w:rsidRPr="005E693D">
        <w:rPr>
          <w:rFonts w:ascii="Times New Roman" w:eastAsiaTheme="minorEastAsia" w:hAnsi="Times New Roman" w:cs="Times New Roman"/>
          <w:sz w:val="24"/>
          <w:szCs w:val="24"/>
        </w:rPr>
        <w:t xml:space="preserve">w warunkach ekonomicznych rodzin prowadzą do zmiany liczby urodzeń </w:t>
      </w:r>
      <w:r w:rsidR="00B7576E" w:rsidRPr="005E693D">
        <w:rPr>
          <w:rFonts w:ascii="Times New Roman" w:eastAsiaTheme="minorEastAsia" w:hAnsi="Times New Roman" w:cs="Times New Roman"/>
          <w:sz w:val="24"/>
          <w:szCs w:val="24"/>
        </w:rPr>
        <w:t>–</w:t>
      </w:r>
      <w:r w:rsidR="00AD0F93" w:rsidRPr="005E693D">
        <w:rPr>
          <w:rFonts w:ascii="Times New Roman" w:eastAsiaTheme="minorEastAsia" w:hAnsi="Times New Roman" w:cs="Times New Roman"/>
          <w:sz w:val="24"/>
          <w:szCs w:val="24"/>
        </w:rPr>
        <w:t xml:space="preserve"> </w:t>
      </w:r>
      <w:r w:rsidR="00B7576E" w:rsidRPr="005E693D">
        <w:rPr>
          <w:rFonts w:ascii="Times New Roman" w:eastAsiaTheme="minorEastAsia" w:hAnsi="Times New Roman" w:cs="Times New Roman"/>
          <w:sz w:val="24"/>
          <w:szCs w:val="24"/>
        </w:rPr>
        <w:t>wzrost bezrobocia w krótkim okresie wpływa negatywnie na prokreację. Rodziny odkładają narodziny dziecka na później, co w swojej pracy stwierdzają Currie i Schwandt (2014). Lindo (2010) zauważa również, że małżeństwa, w których mężowie stracili w którymś momencie życia pracę mają mniej dzieci.</w:t>
      </w:r>
    </w:p>
    <w:p w:rsidR="008D34A1" w:rsidRPr="004A163B" w:rsidRDefault="008D34A1"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Pr="004A163B">
        <w:rPr>
          <w:rFonts w:ascii="Times New Roman" w:eastAsiaTheme="minorEastAsia" w:hAnsi="Times New Roman" w:cs="Times New Roman"/>
          <w:sz w:val="24"/>
          <w:szCs w:val="24"/>
          <w:u w:val="single"/>
        </w:rPr>
        <w:t>H1: Pandemia COVID-19 negatywnie wpływa na liczbę urodzonych dzieci –</w:t>
      </w:r>
      <w:r w:rsidR="004A163B">
        <w:rPr>
          <w:rFonts w:ascii="Times New Roman" w:eastAsiaTheme="minorEastAsia" w:hAnsi="Times New Roman" w:cs="Times New Roman"/>
          <w:sz w:val="24"/>
          <w:szCs w:val="24"/>
          <w:u w:val="single"/>
        </w:rPr>
        <w:t xml:space="preserve"> ze </w:t>
      </w:r>
      <w:r w:rsidRPr="004A163B">
        <w:rPr>
          <w:rFonts w:ascii="Times New Roman" w:eastAsiaTheme="minorEastAsia" w:hAnsi="Times New Roman" w:cs="Times New Roman"/>
          <w:sz w:val="24"/>
          <w:szCs w:val="24"/>
          <w:u w:val="single"/>
        </w:rPr>
        <w:t>względu na śmiertelność.</w:t>
      </w:r>
    </w:p>
    <w:p w:rsidR="00072AF6" w:rsidRDefault="00B7576E" w:rsidP="004A163B">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t xml:space="preserve">Oprócz zmian na rynku pracy, pandemia niosła śmiertelne żniwo szczególnie wśród osób starszych. </w:t>
      </w:r>
      <w:r w:rsidR="00584082" w:rsidRPr="005E693D">
        <w:rPr>
          <w:rFonts w:ascii="Times New Roman" w:eastAsiaTheme="minorEastAsia" w:hAnsi="Times New Roman" w:cs="Times New Roman"/>
          <w:sz w:val="24"/>
          <w:szCs w:val="24"/>
        </w:rPr>
        <w:t>Dziadkowie często współwychowują swoje wnuki</w:t>
      </w:r>
      <w:r w:rsidRPr="005E693D">
        <w:rPr>
          <w:rFonts w:ascii="Times New Roman" w:eastAsiaTheme="minorEastAsia" w:hAnsi="Times New Roman" w:cs="Times New Roman"/>
          <w:sz w:val="24"/>
          <w:szCs w:val="24"/>
        </w:rPr>
        <w:t xml:space="preserve"> </w:t>
      </w:r>
      <w:r w:rsidR="00584082" w:rsidRPr="005E693D">
        <w:rPr>
          <w:rFonts w:ascii="Times New Roman" w:eastAsiaTheme="minorEastAsia" w:hAnsi="Times New Roman" w:cs="Times New Roman"/>
          <w:sz w:val="24"/>
          <w:szCs w:val="24"/>
        </w:rPr>
        <w:t xml:space="preserve">i są aktywnie zaangażowani w ich opiekę. Ich śmierć może również przyczynić się do podjęcia decyzji o braku potomstwa. </w:t>
      </w:r>
      <w:r w:rsidR="008D34A1" w:rsidRPr="005E693D">
        <w:rPr>
          <w:rFonts w:ascii="Times New Roman" w:eastAsiaTheme="minorEastAsia" w:hAnsi="Times New Roman" w:cs="Times New Roman"/>
          <w:sz w:val="24"/>
          <w:szCs w:val="24"/>
        </w:rPr>
        <w:t>Z tego względu liczba zgonów spowodowanych pandemią wpływa na współczynnik urodzeń.</w:t>
      </w:r>
    </w:p>
    <w:p w:rsidR="004A163B" w:rsidRPr="005E693D" w:rsidRDefault="004A163B" w:rsidP="004A163B">
      <w:pPr>
        <w:spacing w:after="0" w:line="360" w:lineRule="auto"/>
        <w:jc w:val="both"/>
        <w:rPr>
          <w:rFonts w:ascii="Times New Roman" w:eastAsiaTheme="minorEastAsia" w:hAnsi="Times New Roman" w:cs="Times New Roman"/>
          <w:sz w:val="24"/>
          <w:szCs w:val="24"/>
        </w:rPr>
      </w:pPr>
    </w:p>
    <w:p w:rsidR="00A66DCD" w:rsidRPr="004A163B" w:rsidRDefault="00324D43" w:rsidP="005E693D">
      <w:pPr>
        <w:spacing w:line="360" w:lineRule="auto"/>
        <w:jc w:val="both"/>
        <w:rPr>
          <w:rFonts w:ascii="Times New Roman" w:eastAsiaTheme="minorEastAsia" w:hAnsi="Times New Roman" w:cs="Times New Roman"/>
          <w:b/>
          <w:sz w:val="24"/>
          <w:szCs w:val="24"/>
        </w:rPr>
      </w:pPr>
      <w:r w:rsidRPr="004A163B">
        <w:rPr>
          <w:rFonts w:ascii="Times New Roman" w:eastAsiaTheme="minorEastAsia" w:hAnsi="Times New Roman" w:cs="Times New Roman"/>
          <w:b/>
          <w:sz w:val="24"/>
          <w:szCs w:val="24"/>
        </w:rPr>
        <w:t>2.2</w:t>
      </w:r>
      <w:r w:rsidR="008D1C98" w:rsidRPr="004A163B">
        <w:rPr>
          <w:rFonts w:ascii="Times New Roman" w:eastAsiaTheme="minorEastAsia" w:hAnsi="Times New Roman" w:cs="Times New Roman"/>
          <w:b/>
          <w:sz w:val="24"/>
          <w:szCs w:val="24"/>
        </w:rPr>
        <w:t xml:space="preserve"> </w:t>
      </w:r>
      <w:r w:rsidR="008D34A1" w:rsidRPr="004A163B">
        <w:rPr>
          <w:rFonts w:ascii="Times New Roman" w:eastAsiaTheme="minorEastAsia" w:hAnsi="Times New Roman" w:cs="Times New Roman"/>
          <w:b/>
          <w:sz w:val="24"/>
          <w:szCs w:val="24"/>
        </w:rPr>
        <w:t>Pozostałe hipotezy</w:t>
      </w:r>
    </w:p>
    <w:p w:rsidR="003741E6" w:rsidRPr="004A163B" w:rsidRDefault="003741E6"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H2</w:t>
      </w:r>
      <w:r w:rsidRPr="004A163B">
        <w:rPr>
          <w:rFonts w:ascii="Times New Roman" w:eastAsiaTheme="minorEastAsia" w:hAnsi="Times New Roman" w:cs="Times New Roman"/>
          <w:sz w:val="24"/>
          <w:szCs w:val="24"/>
          <w:u w:val="single"/>
        </w:rPr>
        <w:t xml:space="preserve">: </w:t>
      </w:r>
      <w:r w:rsidR="00695CE5" w:rsidRPr="004A163B">
        <w:rPr>
          <w:rFonts w:ascii="Times New Roman" w:eastAsiaTheme="minorEastAsia" w:hAnsi="Times New Roman" w:cs="Times New Roman"/>
          <w:sz w:val="24"/>
          <w:szCs w:val="24"/>
          <w:u w:val="single"/>
        </w:rPr>
        <w:t>Zwiększenie wydatków na dzieci</w:t>
      </w:r>
      <w:r w:rsidR="006F390B" w:rsidRPr="004A163B">
        <w:rPr>
          <w:rFonts w:ascii="Times New Roman" w:eastAsiaTheme="minorEastAsia" w:hAnsi="Times New Roman" w:cs="Times New Roman"/>
          <w:sz w:val="24"/>
          <w:szCs w:val="24"/>
          <w:u w:val="single"/>
        </w:rPr>
        <w:t xml:space="preserve"> </w:t>
      </w:r>
      <w:r w:rsidR="00374A7F" w:rsidRPr="004A163B">
        <w:rPr>
          <w:rFonts w:ascii="Times New Roman" w:eastAsiaTheme="minorEastAsia" w:hAnsi="Times New Roman" w:cs="Times New Roman"/>
          <w:sz w:val="24"/>
          <w:szCs w:val="24"/>
          <w:u w:val="single"/>
        </w:rPr>
        <w:t>powoduje wzrost współczynnika urodzeń.</w:t>
      </w:r>
    </w:p>
    <w:p w:rsidR="006F390B" w:rsidRPr="005E693D" w:rsidRDefault="00374A7F"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Zwiększenie wydatków na dzieci to w przypadku niniejszej pracy wypadkowa zmiennych dotyczących: zwiększenia wydatków budżetów powiatów (i miast na prawach powiatu) na rodziny i </w:t>
      </w:r>
      <w:r w:rsidR="00AE4F69" w:rsidRPr="005E693D">
        <w:rPr>
          <w:rFonts w:ascii="Times New Roman" w:eastAsiaTheme="minorEastAsia" w:hAnsi="Times New Roman" w:cs="Times New Roman"/>
          <w:sz w:val="24"/>
          <w:szCs w:val="24"/>
        </w:rPr>
        <w:t xml:space="preserve">pomoc społeczną, której celem jest umożliwienie rodzinom </w:t>
      </w:r>
      <w:r w:rsidR="007000C8" w:rsidRPr="005E693D">
        <w:rPr>
          <w:rFonts w:ascii="Times New Roman" w:eastAsiaTheme="minorEastAsia" w:hAnsi="Times New Roman" w:cs="Times New Roman"/>
          <w:sz w:val="24"/>
          <w:szCs w:val="24"/>
        </w:rPr>
        <w:t xml:space="preserve">przezwyciężenie </w:t>
      </w:r>
    </w:p>
    <w:p w:rsidR="00324D43" w:rsidRPr="005E693D" w:rsidRDefault="006F390B"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 </w:t>
      </w:r>
      <w:r w:rsidR="00374A7F" w:rsidRPr="005E693D">
        <w:rPr>
          <w:rFonts w:ascii="Times New Roman" w:eastAsiaTheme="minorEastAsia" w:hAnsi="Times New Roman" w:cs="Times New Roman"/>
          <w:sz w:val="24"/>
          <w:szCs w:val="24"/>
        </w:rPr>
        <w:t xml:space="preserve">John Ermisch w artykule </w:t>
      </w:r>
      <w:r w:rsidR="00374A7F" w:rsidRPr="004A163B">
        <w:rPr>
          <w:rFonts w:ascii="Times New Roman" w:eastAsiaTheme="minorEastAsia" w:hAnsi="Times New Roman" w:cs="Times New Roman"/>
          <w:i/>
          <w:sz w:val="24"/>
          <w:szCs w:val="24"/>
        </w:rPr>
        <w:t>„Economic influences on birth rate”</w:t>
      </w:r>
      <w:r w:rsidR="004A163B">
        <w:rPr>
          <w:rFonts w:ascii="Times New Roman" w:eastAsiaTheme="minorEastAsia" w:hAnsi="Times New Roman" w:cs="Times New Roman"/>
          <w:sz w:val="24"/>
          <w:szCs w:val="24"/>
        </w:rPr>
        <w:t xml:space="preserve"> sugeruje, że zachętą do </w:t>
      </w:r>
      <w:r w:rsidR="00770A34" w:rsidRPr="005E693D">
        <w:rPr>
          <w:rFonts w:ascii="Times New Roman" w:eastAsiaTheme="minorEastAsia" w:hAnsi="Times New Roman" w:cs="Times New Roman"/>
          <w:sz w:val="24"/>
          <w:szCs w:val="24"/>
        </w:rPr>
        <w:t>rodzenia dzieci są wprowadzane przez państwo narzędzia polityki fiskalnej takie jak ulgi podatkowe na dzieci lub wypłaty zasiłków. Jednym z takich narz</w:t>
      </w:r>
      <w:r w:rsidR="004A163B">
        <w:rPr>
          <w:rFonts w:ascii="Times New Roman" w:eastAsiaTheme="minorEastAsia" w:hAnsi="Times New Roman" w:cs="Times New Roman"/>
          <w:sz w:val="24"/>
          <w:szCs w:val="24"/>
        </w:rPr>
        <w:t>ędzi są zasiłki rodzinne, które </w:t>
      </w:r>
      <w:r w:rsidR="00770A34" w:rsidRPr="005E693D">
        <w:rPr>
          <w:rFonts w:ascii="Times New Roman" w:eastAsiaTheme="minorEastAsia" w:hAnsi="Times New Roman" w:cs="Times New Roman"/>
          <w:sz w:val="24"/>
          <w:szCs w:val="24"/>
        </w:rPr>
        <w:t>możemy interpretować jako wydatki budżetów powiatów i miast na prawach po</w:t>
      </w:r>
      <w:r w:rsidR="004A163B">
        <w:rPr>
          <w:rFonts w:ascii="Times New Roman" w:eastAsiaTheme="minorEastAsia" w:hAnsi="Times New Roman" w:cs="Times New Roman"/>
          <w:sz w:val="24"/>
          <w:szCs w:val="24"/>
        </w:rPr>
        <w:t>wiatu w </w:t>
      </w:r>
      <w:r w:rsidR="00770A34" w:rsidRPr="005E693D">
        <w:rPr>
          <w:rFonts w:ascii="Times New Roman" w:eastAsiaTheme="minorEastAsia" w:hAnsi="Times New Roman" w:cs="Times New Roman"/>
          <w:sz w:val="24"/>
          <w:szCs w:val="24"/>
        </w:rPr>
        <w:t>dziale Rodzina. Wyższe wartości zasiłków (to jest w</w:t>
      </w:r>
      <w:r w:rsidR="004A163B">
        <w:rPr>
          <w:rFonts w:ascii="Times New Roman" w:eastAsiaTheme="minorEastAsia" w:hAnsi="Times New Roman" w:cs="Times New Roman"/>
          <w:sz w:val="24"/>
          <w:szCs w:val="24"/>
        </w:rPr>
        <w:t>ydatków) wpływają pozytywnie na </w:t>
      </w:r>
      <w:r w:rsidR="00770A34" w:rsidRPr="005E693D">
        <w:rPr>
          <w:rFonts w:ascii="Times New Roman" w:eastAsiaTheme="minorEastAsia" w:hAnsi="Times New Roman" w:cs="Times New Roman"/>
          <w:sz w:val="24"/>
          <w:szCs w:val="24"/>
        </w:rPr>
        <w:t>liczbę rodzonych dzieci (które wpływają bezpośr</w:t>
      </w:r>
      <w:r w:rsidRPr="005E693D">
        <w:rPr>
          <w:rFonts w:ascii="Times New Roman" w:eastAsiaTheme="minorEastAsia" w:hAnsi="Times New Roman" w:cs="Times New Roman"/>
          <w:sz w:val="24"/>
          <w:szCs w:val="24"/>
        </w:rPr>
        <w:t>ednio na współczynnik urodzeń).</w:t>
      </w:r>
    </w:p>
    <w:p w:rsidR="00BA001B" w:rsidRPr="005E693D" w:rsidRDefault="006F390B" w:rsidP="005E693D">
      <w:pPr>
        <w:spacing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t>Bauernschuster, Hener i Rainer (2013) w swoich badaniach wykazali, że rozwój opieki nad dziećmi ma znaczący pozytywy wpływ na prokreację. Prowadzenie polityki prorodzinnej przez państwo, to znaczy ułatwiającej pogodzenie wychowywania dzieci i pracy może być skuteczny</w:t>
      </w:r>
      <w:r w:rsidR="004A163B">
        <w:rPr>
          <w:rFonts w:ascii="Times New Roman" w:eastAsiaTheme="minorEastAsia" w:hAnsi="Times New Roman" w:cs="Times New Roman"/>
          <w:sz w:val="24"/>
          <w:szCs w:val="24"/>
        </w:rPr>
        <w:t>m</w:t>
      </w:r>
      <w:r w:rsidRPr="005E693D">
        <w:rPr>
          <w:rFonts w:ascii="Times New Roman" w:eastAsiaTheme="minorEastAsia" w:hAnsi="Times New Roman" w:cs="Times New Roman"/>
          <w:sz w:val="24"/>
          <w:szCs w:val="24"/>
        </w:rPr>
        <w:t xml:space="preserve"> sposobem na walkę ze zmniejszającym się współczynnikiem </w:t>
      </w:r>
      <w:r w:rsidR="004A163B">
        <w:rPr>
          <w:rFonts w:ascii="Times New Roman" w:eastAsiaTheme="minorEastAsia" w:hAnsi="Times New Roman" w:cs="Times New Roman"/>
          <w:sz w:val="24"/>
          <w:szCs w:val="24"/>
        </w:rPr>
        <w:t>urodzeń</w:t>
      </w:r>
      <w:r w:rsidRPr="005E693D">
        <w:rPr>
          <w:rFonts w:ascii="Times New Roman" w:eastAsiaTheme="minorEastAsia" w:hAnsi="Times New Roman" w:cs="Times New Roman"/>
          <w:sz w:val="24"/>
          <w:szCs w:val="24"/>
        </w:rPr>
        <w:t xml:space="preserve">. </w:t>
      </w:r>
    </w:p>
    <w:p w:rsidR="00DD4C1C" w:rsidRPr="004A163B" w:rsidRDefault="00DD4C1C"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H3</w:t>
      </w:r>
      <w:r w:rsidRPr="004A163B">
        <w:rPr>
          <w:rFonts w:ascii="Times New Roman" w:eastAsiaTheme="minorEastAsia" w:hAnsi="Times New Roman" w:cs="Times New Roman"/>
          <w:sz w:val="24"/>
          <w:szCs w:val="24"/>
          <w:u w:val="single"/>
        </w:rPr>
        <w:t xml:space="preserve">: </w:t>
      </w:r>
      <w:r w:rsidR="007000C8" w:rsidRPr="004A163B">
        <w:rPr>
          <w:rFonts w:ascii="Times New Roman" w:eastAsiaTheme="minorEastAsia" w:hAnsi="Times New Roman" w:cs="Times New Roman"/>
          <w:sz w:val="24"/>
          <w:szCs w:val="24"/>
          <w:u w:val="single"/>
        </w:rPr>
        <w:t xml:space="preserve">Wzrost cen mieszkań </w:t>
      </w:r>
      <w:r w:rsidR="00D64A72" w:rsidRPr="004A163B">
        <w:rPr>
          <w:rFonts w:ascii="Times New Roman" w:eastAsiaTheme="minorEastAsia" w:hAnsi="Times New Roman" w:cs="Times New Roman"/>
          <w:sz w:val="24"/>
          <w:szCs w:val="24"/>
          <w:u w:val="single"/>
        </w:rPr>
        <w:t>na rynku ujemnie koreluje ze współczynnikiem urodzeń.</w:t>
      </w:r>
    </w:p>
    <w:p w:rsidR="00510A1E" w:rsidRPr="005E693D" w:rsidRDefault="00D64A72"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t xml:space="preserve">Ermisch </w:t>
      </w:r>
      <w:r w:rsidR="00E27D5A" w:rsidRPr="005E693D">
        <w:rPr>
          <w:rFonts w:ascii="Times New Roman" w:eastAsiaTheme="minorEastAsia" w:hAnsi="Times New Roman" w:cs="Times New Roman"/>
          <w:sz w:val="24"/>
          <w:szCs w:val="24"/>
        </w:rPr>
        <w:t>(198</w:t>
      </w:r>
      <w:r w:rsidRPr="005E693D">
        <w:rPr>
          <w:rFonts w:ascii="Times New Roman" w:eastAsiaTheme="minorEastAsia" w:hAnsi="Times New Roman" w:cs="Times New Roman"/>
          <w:sz w:val="24"/>
          <w:szCs w:val="24"/>
        </w:rPr>
        <w:t xml:space="preserve">8) uważa, że konkurencja na rynku </w:t>
      </w:r>
      <w:r w:rsidR="004A163B">
        <w:rPr>
          <w:rFonts w:ascii="Times New Roman" w:eastAsiaTheme="minorEastAsia" w:hAnsi="Times New Roman" w:cs="Times New Roman"/>
          <w:sz w:val="24"/>
          <w:szCs w:val="24"/>
        </w:rPr>
        <w:t>mieszkaniowym zniechęca pary do </w:t>
      </w:r>
      <w:r w:rsidR="00297B79" w:rsidRPr="005E693D">
        <w:rPr>
          <w:rFonts w:ascii="Times New Roman" w:eastAsiaTheme="minorEastAsia" w:hAnsi="Times New Roman" w:cs="Times New Roman"/>
          <w:sz w:val="24"/>
          <w:szCs w:val="24"/>
        </w:rPr>
        <w:t>posiadania dzieci. Małżeństwa, które chcą kupić mieszkanie podczas gdy popyt na nie przewyższa podaż będą negatywnie patrzeć na wizję powiększania rodziny w dobie rosnących cen zakupu domu oraz wydłużających się kolejek po mieszkania socjalne.</w:t>
      </w:r>
      <w:r w:rsidR="00901A23" w:rsidRPr="005E693D">
        <w:rPr>
          <w:rFonts w:ascii="Times New Roman" w:eastAsiaTheme="minorEastAsia" w:hAnsi="Times New Roman" w:cs="Times New Roman"/>
          <w:sz w:val="24"/>
          <w:szCs w:val="24"/>
        </w:rPr>
        <w:t xml:space="preserve"> Podobny negatywny efekt cenowy wśród najemców </w:t>
      </w:r>
      <w:r w:rsidR="00510A1E" w:rsidRPr="005E693D">
        <w:rPr>
          <w:rFonts w:ascii="Times New Roman" w:eastAsiaTheme="minorEastAsia" w:hAnsi="Times New Roman" w:cs="Times New Roman"/>
          <w:sz w:val="24"/>
          <w:szCs w:val="24"/>
        </w:rPr>
        <w:t>zauważają Dettling i Kearney (2014).</w:t>
      </w:r>
      <w:r w:rsidR="00297B79" w:rsidRPr="005E693D">
        <w:rPr>
          <w:rFonts w:ascii="Times New Roman" w:eastAsiaTheme="minorEastAsia" w:hAnsi="Times New Roman" w:cs="Times New Roman"/>
          <w:sz w:val="24"/>
          <w:szCs w:val="24"/>
        </w:rPr>
        <w:t xml:space="preserve"> E</w:t>
      </w:r>
      <w:r w:rsidR="00510A1E" w:rsidRPr="005E693D">
        <w:rPr>
          <w:rFonts w:ascii="Times New Roman" w:eastAsiaTheme="minorEastAsia" w:hAnsi="Times New Roman" w:cs="Times New Roman"/>
          <w:sz w:val="24"/>
          <w:szCs w:val="24"/>
        </w:rPr>
        <w:t>rmisch (1988)</w:t>
      </w:r>
      <w:r w:rsidR="00297B79" w:rsidRPr="005E693D">
        <w:rPr>
          <w:rFonts w:ascii="Times New Roman" w:eastAsiaTheme="minorEastAsia" w:hAnsi="Times New Roman" w:cs="Times New Roman"/>
          <w:sz w:val="24"/>
          <w:szCs w:val="24"/>
        </w:rPr>
        <w:t xml:space="preserve"> jako wskaźnika presji na rynku mieszkaniowym używa średniej ceny nowego domu, w niniejszej pracy zaproponowano mierzyć ten efekt za pomocą mediany ceny za 1 m</w:t>
      </w:r>
      <w:r w:rsidR="00297B79" w:rsidRPr="004A163B">
        <w:rPr>
          <w:rFonts w:ascii="Times New Roman" w:eastAsiaTheme="minorEastAsia" w:hAnsi="Times New Roman" w:cs="Times New Roman"/>
          <w:sz w:val="24"/>
          <w:szCs w:val="24"/>
          <w:vertAlign w:val="superscript"/>
        </w:rPr>
        <w:t>2</w:t>
      </w:r>
      <w:r w:rsidR="004A163B">
        <w:rPr>
          <w:rFonts w:ascii="Times New Roman" w:eastAsiaTheme="minorEastAsia" w:hAnsi="Times New Roman" w:cs="Times New Roman"/>
          <w:sz w:val="24"/>
          <w:szCs w:val="24"/>
        </w:rPr>
        <w:t xml:space="preserve"> lokalu mieszkaniowego.</w:t>
      </w:r>
    </w:p>
    <w:p w:rsidR="0032439F" w:rsidRDefault="00510A1E" w:rsidP="009C4A67">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297B79" w:rsidRPr="005E693D">
        <w:rPr>
          <w:rFonts w:ascii="Times New Roman" w:eastAsiaTheme="minorEastAsia" w:hAnsi="Times New Roman" w:cs="Times New Roman"/>
          <w:sz w:val="24"/>
          <w:szCs w:val="24"/>
        </w:rPr>
        <w:t>Z drugiej strony,</w:t>
      </w:r>
      <w:r w:rsidR="004A163B">
        <w:rPr>
          <w:rFonts w:ascii="Times New Roman" w:eastAsiaTheme="minorEastAsia" w:hAnsi="Times New Roman" w:cs="Times New Roman"/>
          <w:sz w:val="24"/>
          <w:szCs w:val="24"/>
        </w:rPr>
        <w:t xml:space="preserve"> osoby</w:t>
      </w:r>
      <w:r w:rsidR="007D3BA4" w:rsidRPr="005E693D">
        <w:rPr>
          <w:rFonts w:ascii="Times New Roman" w:eastAsiaTheme="minorEastAsia" w:hAnsi="Times New Roman" w:cs="Times New Roman"/>
          <w:sz w:val="24"/>
          <w:szCs w:val="24"/>
        </w:rPr>
        <w:t xml:space="preserve"> które posiadają już własne domy</w:t>
      </w:r>
      <w:r w:rsidR="00297B79" w:rsidRPr="005E693D">
        <w:rPr>
          <w:rFonts w:ascii="Times New Roman" w:eastAsiaTheme="minorEastAsia" w:hAnsi="Times New Roman" w:cs="Times New Roman"/>
          <w:sz w:val="24"/>
          <w:szCs w:val="24"/>
        </w:rPr>
        <w:t xml:space="preserve"> w wyniku rosnących cen </w:t>
      </w:r>
      <w:r w:rsidR="007D3BA4" w:rsidRPr="005E693D">
        <w:rPr>
          <w:rFonts w:ascii="Times New Roman" w:eastAsiaTheme="minorEastAsia" w:hAnsi="Times New Roman" w:cs="Times New Roman"/>
          <w:sz w:val="24"/>
          <w:szCs w:val="24"/>
        </w:rPr>
        <w:t>mieszkań stają się bardz</w:t>
      </w:r>
      <w:r w:rsidR="009C4A67">
        <w:rPr>
          <w:rFonts w:ascii="Times New Roman" w:eastAsiaTheme="minorEastAsia" w:hAnsi="Times New Roman" w:cs="Times New Roman"/>
          <w:sz w:val="24"/>
          <w:szCs w:val="24"/>
        </w:rPr>
        <w:t>iej zamożne</w:t>
      </w:r>
      <w:r w:rsidR="007D3BA4" w:rsidRPr="005E693D">
        <w:rPr>
          <w:rFonts w:ascii="Times New Roman" w:eastAsiaTheme="minorEastAsia" w:hAnsi="Times New Roman" w:cs="Times New Roman"/>
          <w:sz w:val="24"/>
          <w:szCs w:val="24"/>
        </w:rPr>
        <w:t xml:space="preserve">, co może być </w:t>
      </w:r>
      <w:r w:rsidRPr="005E693D">
        <w:rPr>
          <w:rFonts w:ascii="Times New Roman" w:eastAsiaTheme="minorEastAsia" w:hAnsi="Times New Roman" w:cs="Times New Roman"/>
          <w:sz w:val="24"/>
          <w:szCs w:val="24"/>
        </w:rPr>
        <w:t>bodźcem do powiększania rodziny.</w:t>
      </w:r>
      <w:r w:rsidR="007D3BA4" w:rsidRPr="005E693D">
        <w:rPr>
          <w:rFonts w:ascii="Times New Roman" w:eastAsiaTheme="minorEastAsia" w:hAnsi="Times New Roman" w:cs="Times New Roman"/>
          <w:sz w:val="24"/>
          <w:szCs w:val="24"/>
        </w:rPr>
        <w:t xml:space="preserve"> </w:t>
      </w:r>
      <w:r w:rsidR="009C4A67">
        <w:rPr>
          <w:rFonts w:ascii="Times New Roman" w:eastAsiaTheme="minorEastAsia" w:hAnsi="Times New Roman" w:cs="Times New Roman"/>
          <w:sz w:val="24"/>
          <w:szCs w:val="24"/>
        </w:rPr>
        <w:t>Do </w:t>
      </w:r>
      <w:r w:rsidR="00AF2E9E" w:rsidRPr="005E693D">
        <w:rPr>
          <w:rFonts w:ascii="Times New Roman" w:eastAsiaTheme="minorEastAsia" w:hAnsi="Times New Roman" w:cs="Times New Roman"/>
          <w:sz w:val="24"/>
          <w:szCs w:val="24"/>
        </w:rPr>
        <w:t>innych wniosków dochodzą Black, Kolesnikova, Sanders i Taylor (2013), którzy stwierdzają, że małżeństwa żyjące w bogatych lokalizacjach</w:t>
      </w:r>
      <w:r w:rsidR="009C4A67">
        <w:rPr>
          <w:rFonts w:ascii="Times New Roman" w:eastAsiaTheme="minorEastAsia" w:hAnsi="Times New Roman" w:cs="Times New Roman"/>
          <w:sz w:val="24"/>
          <w:szCs w:val="24"/>
        </w:rPr>
        <w:t xml:space="preserve"> (czyli w przypadku tej pracy o </w:t>
      </w:r>
      <w:r w:rsidR="00AF2E9E" w:rsidRPr="005E693D">
        <w:rPr>
          <w:rFonts w:ascii="Times New Roman" w:eastAsiaTheme="minorEastAsia" w:hAnsi="Times New Roman" w:cs="Times New Roman"/>
          <w:sz w:val="24"/>
          <w:szCs w:val="24"/>
        </w:rPr>
        <w:t>wyższej medianie cen za m</w:t>
      </w:r>
      <w:r w:rsidR="00AF2E9E" w:rsidRPr="009C4A67">
        <w:rPr>
          <w:rFonts w:ascii="Times New Roman" w:eastAsiaTheme="minorEastAsia" w:hAnsi="Times New Roman" w:cs="Times New Roman"/>
          <w:sz w:val="24"/>
          <w:szCs w:val="24"/>
          <w:vertAlign w:val="superscript"/>
        </w:rPr>
        <w:t>2</w:t>
      </w:r>
      <w:r w:rsidR="00AF2E9E" w:rsidRPr="005E693D">
        <w:rPr>
          <w:rFonts w:ascii="Times New Roman" w:eastAsiaTheme="minorEastAsia" w:hAnsi="Times New Roman" w:cs="Times New Roman"/>
          <w:sz w:val="24"/>
          <w:szCs w:val="24"/>
        </w:rPr>
        <w:t xml:space="preserve"> lokalu mieszkaniowego) statystycznie mają mniejsze rodziny (współczynnik urodzeń jest mniejszy).</w:t>
      </w:r>
    </w:p>
    <w:p w:rsidR="009C4A67" w:rsidRPr="009C4A67" w:rsidRDefault="009C4A67" w:rsidP="009C4A67">
      <w:pPr>
        <w:spacing w:after="0" w:line="360" w:lineRule="auto"/>
        <w:jc w:val="center"/>
        <w:rPr>
          <w:rFonts w:ascii="Times New Roman" w:eastAsiaTheme="minorEastAsia" w:hAnsi="Times New Roman" w:cs="Times New Roman"/>
          <w:sz w:val="28"/>
          <w:szCs w:val="24"/>
        </w:rPr>
      </w:pPr>
    </w:p>
    <w:p w:rsidR="009C4A67" w:rsidRDefault="00944EA9"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R</w:t>
      </w:r>
      <w:r w:rsidR="00A55DA0">
        <w:rPr>
          <w:rFonts w:ascii="Times New Roman" w:eastAsiaTheme="minorEastAsia" w:hAnsi="Times New Roman" w:cs="Times New Roman"/>
          <w:b/>
          <w:sz w:val="24"/>
        </w:rPr>
        <w:t>OZDZIAŁ</w:t>
      </w:r>
      <w:r w:rsidR="00642FC3" w:rsidRPr="009C4A67">
        <w:rPr>
          <w:rFonts w:ascii="Times New Roman" w:eastAsiaTheme="minorEastAsia" w:hAnsi="Times New Roman" w:cs="Times New Roman"/>
          <w:b/>
          <w:sz w:val="24"/>
        </w:rPr>
        <w:t xml:space="preserve"> III</w:t>
      </w:r>
      <w:r w:rsidR="0032439F" w:rsidRPr="009C4A67">
        <w:rPr>
          <w:rFonts w:ascii="Times New Roman" w:eastAsiaTheme="minorEastAsia" w:hAnsi="Times New Roman" w:cs="Times New Roman"/>
          <w:b/>
          <w:sz w:val="24"/>
        </w:rPr>
        <w:t xml:space="preserve"> </w:t>
      </w:r>
    </w:p>
    <w:p w:rsidR="009C4A67" w:rsidRDefault="009C4A67" w:rsidP="009C4A67">
      <w:pPr>
        <w:spacing w:after="0"/>
        <w:jc w:val="center"/>
        <w:rPr>
          <w:rFonts w:ascii="Times New Roman" w:eastAsiaTheme="minorEastAsia" w:hAnsi="Times New Roman" w:cs="Times New Roman"/>
          <w:b/>
          <w:sz w:val="24"/>
        </w:rPr>
      </w:pPr>
    </w:p>
    <w:p w:rsidR="00642FC3" w:rsidRDefault="0032439F"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Analiza danych</w:t>
      </w:r>
    </w:p>
    <w:p w:rsidR="009C4A67" w:rsidRPr="009C4A67" w:rsidRDefault="009C4A67" w:rsidP="009C4A67">
      <w:pPr>
        <w:spacing w:after="0"/>
        <w:jc w:val="center"/>
        <w:rPr>
          <w:rFonts w:ascii="Times New Roman" w:eastAsiaTheme="minorEastAsia" w:hAnsi="Times New Roman" w:cs="Times New Roman"/>
          <w:b/>
          <w:sz w:val="24"/>
        </w:rPr>
      </w:pPr>
    </w:p>
    <w:p w:rsidR="00642FC3" w:rsidRPr="009C4A67" w:rsidRDefault="00642FC3" w:rsidP="009C4A67">
      <w:pPr>
        <w:rPr>
          <w:rFonts w:ascii="Times New Roman" w:eastAsiaTheme="minorEastAsia" w:hAnsi="Times New Roman" w:cs="Times New Roman"/>
          <w:b/>
          <w:sz w:val="24"/>
        </w:rPr>
      </w:pPr>
      <w:r w:rsidRPr="009C4A67">
        <w:rPr>
          <w:rFonts w:ascii="Times New Roman" w:eastAsiaTheme="minorEastAsia" w:hAnsi="Times New Roman" w:cs="Times New Roman"/>
          <w:b/>
          <w:sz w:val="24"/>
        </w:rPr>
        <w:t>3.1. Źródło danych</w:t>
      </w:r>
    </w:p>
    <w:p w:rsidR="00EB5696" w:rsidRPr="009C4A67" w:rsidRDefault="00642FC3" w:rsidP="009C4A67">
      <w:pPr>
        <w:spacing w:after="0" w:line="360" w:lineRule="auto"/>
        <w:jc w:val="both"/>
        <w:rPr>
          <w:rFonts w:ascii="Times New Roman" w:eastAsiaTheme="minorEastAsia" w:hAnsi="Times New Roman" w:cs="Times New Roman"/>
          <w:sz w:val="24"/>
          <w:szCs w:val="24"/>
        </w:rPr>
      </w:pPr>
      <w:r>
        <w:rPr>
          <w:rFonts w:eastAsiaTheme="minorEastAsia"/>
        </w:rPr>
        <w:tab/>
      </w:r>
      <w:r w:rsidR="002F7046" w:rsidRPr="009C4A67">
        <w:rPr>
          <w:rFonts w:ascii="Times New Roman" w:eastAsiaTheme="minorEastAsia" w:hAnsi="Times New Roman" w:cs="Times New Roman"/>
          <w:sz w:val="24"/>
          <w:szCs w:val="24"/>
        </w:rPr>
        <w:t>Dane przekrojowe wykorzystane w modelu ekonome</w:t>
      </w:r>
      <w:r w:rsidR="009C4A67">
        <w:rPr>
          <w:rFonts w:ascii="Times New Roman" w:eastAsiaTheme="minorEastAsia" w:hAnsi="Times New Roman" w:cs="Times New Roman"/>
          <w:sz w:val="24"/>
          <w:szCs w:val="24"/>
        </w:rPr>
        <w:t>trycznym dotyczą 380 powiatów i </w:t>
      </w:r>
      <w:r w:rsidR="002F7046" w:rsidRPr="009C4A67">
        <w:rPr>
          <w:rFonts w:ascii="Times New Roman" w:eastAsiaTheme="minorEastAsia" w:hAnsi="Times New Roman" w:cs="Times New Roman"/>
          <w:sz w:val="24"/>
          <w:szCs w:val="24"/>
        </w:rPr>
        <w:t xml:space="preserve">miast na prawach powiatu </w:t>
      </w:r>
      <w:r w:rsidR="009C4A67">
        <w:rPr>
          <w:rFonts w:ascii="Times New Roman" w:eastAsiaTheme="minorEastAsia" w:hAnsi="Times New Roman" w:cs="Times New Roman"/>
          <w:sz w:val="24"/>
          <w:szCs w:val="24"/>
        </w:rPr>
        <w:t xml:space="preserve">w Polsce i wyrażają stan na </w:t>
      </w:r>
      <w:r w:rsidR="002F7046" w:rsidRPr="009C4A67">
        <w:rPr>
          <w:rFonts w:ascii="Times New Roman" w:eastAsiaTheme="minorEastAsia" w:hAnsi="Times New Roman" w:cs="Times New Roman"/>
          <w:sz w:val="24"/>
          <w:szCs w:val="24"/>
        </w:rPr>
        <w:t>2020</w:t>
      </w:r>
      <w:r w:rsidR="009C4A67">
        <w:rPr>
          <w:rFonts w:ascii="Times New Roman" w:eastAsiaTheme="minorEastAsia" w:hAnsi="Times New Roman" w:cs="Times New Roman"/>
          <w:sz w:val="24"/>
          <w:szCs w:val="24"/>
        </w:rPr>
        <w:t xml:space="preserve"> rok</w:t>
      </w:r>
      <w:r w:rsidR="002F7046" w:rsidRPr="009C4A67">
        <w:rPr>
          <w:rFonts w:ascii="Times New Roman" w:eastAsiaTheme="minorEastAsia" w:hAnsi="Times New Roman" w:cs="Times New Roman"/>
          <w:sz w:val="24"/>
          <w:szCs w:val="24"/>
        </w:rPr>
        <w:t xml:space="preserve">. </w:t>
      </w:r>
      <w:r w:rsidR="00E43743" w:rsidRPr="009C4A67">
        <w:rPr>
          <w:rFonts w:ascii="Times New Roman" w:eastAsiaTheme="minorEastAsia" w:hAnsi="Times New Roman" w:cs="Times New Roman"/>
          <w:sz w:val="24"/>
          <w:szCs w:val="24"/>
        </w:rPr>
        <w:t xml:space="preserve">Do przeprowadzenia estymacji regresji liniowej za pomocą Metody Najmniejszych Kwadratów (MNK) i stworzenia wykresów i tabel znajdujących się w pracy wykorzystano język programowania R. </w:t>
      </w:r>
      <w:r w:rsidRPr="009C4A67">
        <w:rPr>
          <w:rFonts w:ascii="Times New Roman" w:eastAsiaTheme="minorEastAsia" w:hAnsi="Times New Roman" w:cs="Times New Roman"/>
          <w:sz w:val="24"/>
          <w:szCs w:val="24"/>
        </w:rPr>
        <w:t xml:space="preserve">Praca opiera się na danych pochodzących z trzech źródeł: Banku Danych Lokalnych, projektu Michała Rogalskiego – COVID-19 w Polsce oraz </w:t>
      </w:r>
      <w:r w:rsidR="00E65060" w:rsidRPr="009C4A67">
        <w:rPr>
          <w:rFonts w:ascii="Times New Roman" w:eastAsiaTheme="minorEastAsia" w:hAnsi="Times New Roman" w:cs="Times New Roman"/>
          <w:sz w:val="24"/>
          <w:szCs w:val="24"/>
        </w:rPr>
        <w:t xml:space="preserve">archiwalnych danych dla powiatów </w:t>
      </w:r>
      <w:r w:rsidR="009C4A67">
        <w:rPr>
          <w:rFonts w:ascii="Times New Roman" w:eastAsiaTheme="minorEastAsia" w:hAnsi="Times New Roman" w:cs="Times New Roman"/>
          <w:sz w:val="24"/>
          <w:szCs w:val="24"/>
        </w:rPr>
        <w:t>związanych z </w:t>
      </w:r>
      <w:r w:rsidR="00FC5805" w:rsidRPr="009C4A67">
        <w:rPr>
          <w:rFonts w:ascii="Times New Roman" w:eastAsiaTheme="minorEastAsia" w:hAnsi="Times New Roman" w:cs="Times New Roman"/>
          <w:sz w:val="24"/>
          <w:szCs w:val="24"/>
        </w:rPr>
        <w:t xml:space="preserve">koronawirusem COVID-19 </w:t>
      </w:r>
      <w:r w:rsidR="00E65060" w:rsidRPr="009C4A67">
        <w:rPr>
          <w:rFonts w:ascii="Times New Roman" w:eastAsiaTheme="minorEastAsia" w:hAnsi="Times New Roman" w:cs="Times New Roman"/>
          <w:sz w:val="24"/>
          <w:szCs w:val="24"/>
        </w:rPr>
        <w:t>udostępnionych przez Ministerstwo Zdrowia.</w:t>
      </w:r>
      <w:r w:rsidR="00FC5805" w:rsidRPr="009C4A67">
        <w:rPr>
          <w:rFonts w:ascii="Times New Roman" w:eastAsiaTheme="minorEastAsia" w:hAnsi="Times New Roman" w:cs="Times New Roman"/>
          <w:sz w:val="24"/>
          <w:szCs w:val="24"/>
        </w:rPr>
        <w:t xml:space="preserve"> </w:t>
      </w:r>
    </w:p>
    <w:p w:rsidR="00E65060" w:rsidRPr="009C4A67" w:rsidRDefault="00E65060"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Wskaźniki i dane dotyczą</w:t>
      </w:r>
      <w:r w:rsidR="00FC5805" w:rsidRPr="009C4A67">
        <w:rPr>
          <w:rFonts w:ascii="Times New Roman" w:eastAsiaTheme="minorEastAsia" w:hAnsi="Times New Roman" w:cs="Times New Roman"/>
          <w:sz w:val="24"/>
          <w:szCs w:val="24"/>
        </w:rPr>
        <w:t xml:space="preserve">ce sytuacji gospodarczej, demograficznej, społecznej powiatów zostały pobrane z Banku Danych Lokalnych, za którego prowadzenie i rozwój odpowiedzialny jest Główny Urząd </w:t>
      </w:r>
      <w:r w:rsidR="007A23D1" w:rsidRPr="009C4A67">
        <w:rPr>
          <w:rFonts w:ascii="Times New Roman" w:eastAsiaTheme="minorEastAsia" w:hAnsi="Times New Roman" w:cs="Times New Roman"/>
          <w:sz w:val="24"/>
          <w:szCs w:val="24"/>
        </w:rPr>
        <w:t>Statystyczny w Polsce.</w:t>
      </w:r>
      <w:r w:rsidR="002F7046" w:rsidRPr="009C4A67">
        <w:rPr>
          <w:rFonts w:ascii="Times New Roman" w:eastAsiaTheme="minorEastAsia" w:hAnsi="Times New Roman" w:cs="Times New Roman"/>
          <w:sz w:val="24"/>
          <w:szCs w:val="24"/>
        </w:rPr>
        <w:t xml:space="preserve"> </w:t>
      </w:r>
    </w:p>
    <w:p w:rsidR="0039793C" w:rsidRPr="009C4A67" w:rsidRDefault="007A23D1"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Baza danych COVID-19 w Polsce stworzona przez Michała Rogalskiego na podstawie raportów Ministerstwa Zdrowia, Wojewódzkich Stacji Sanitarno-Epidemiologicznych</w:t>
      </w:r>
      <w:r w:rsidR="002E2D8D" w:rsidRPr="009C4A67">
        <w:rPr>
          <w:rFonts w:ascii="Times New Roman" w:eastAsiaTheme="minorEastAsia" w:hAnsi="Times New Roman" w:cs="Times New Roman"/>
          <w:sz w:val="24"/>
          <w:szCs w:val="24"/>
        </w:rPr>
        <w:t xml:space="preserve"> (WSSE)</w:t>
      </w:r>
      <w:r w:rsidRPr="009C4A67">
        <w:rPr>
          <w:rFonts w:ascii="Times New Roman" w:eastAsiaTheme="minorEastAsia" w:hAnsi="Times New Roman" w:cs="Times New Roman"/>
          <w:sz w:val="24"/>
          <w:szCs w:val="24"/>
        </w:rPr>
        <w:t>, Powiatowych Stacji Sanitarno-Epidemiologicznych</w:t>
      </w:r>
      <w:r w:rsidR="002E2D8D" w:rsidRPr="009C4A67">
        <w:rPr>
          <w:rFonts w:ascii="Times New Roman" w:eastAsiaTheme="minorEastAsia" w:hAnsi="Times New Roman" w:cs="Times New Roman"/>
          <w:sz w:val="24"/>
          <w:szCs w:val="24"/>
        </w:rPr>
        <w:t xml:space="preserve"> (PSSE)</w:t>
      </w:r>
      <w:r w:rsidRPr="009C4A67">
        <w:rPr>
          <w:rFonts w:ascii="Times New Roman" w:eastAsiaTheme="minorEastAsia" w:hAnsi="Times New Roman" w:cs="Times New Roman"/>
          <w:sz w:val="24"/>
          <w:szCs w:val="24"/>
        </w:rPr>
        <w:t xml:space="preserve"> i Urzędów Wojewódzki</w:t>
      </w:r>
      <w:r w:rsidR="009C4A67">
        <w:rPr>
          <w:rFonts w:ascii="Times New Roman" w:eastAsiaTheme="minorEastAsia" w:hAnsi="Times New Roman" w:cs="Times New Roman"/>
          <w:sz w:val="24"/>
          <w:szCs w:val="24"/>
        </w:rPr>
        <w:t>ch</w:t>
      </w:r>
      <w:r w:rsidRPr="009C4A67">
        <w:rPr>
          <w:rFonts w:ascii="Times New Roman" w:eastAsiaTheme="minorEastAsia" w:hAnsi="Times New Roman" w:cs="Times New Roman"/>
          <w:sz w:val="24"/>
          <w:szCs w:val="24"/>
        </w:rPr>
        <w:t xml:space="preserve"> została wykorzystana do pobrania danych </w:t>
      </w:r>
      <w:r w:rsidR="009C4A67">
        <w:rPr>
          <w:rFonts w:ascii="Times New Roman" w:eastAsiaTheme="minorEastAsia" w:hAnsi="Times New Roman" w:cs="Times New Roman"/>
          <w:sz w:val="24"/>
          <w:szCs w:val="24"/>
        </w:rPr>
        <w:t xml:space="preserve">dla powiatów (i miast na prawach powiatu) </w:t>
      </w:r>
      <w:r w:rsidRPr="009C4A67">
        <w:rPr>
          <w:rFonts w:ascii="Times New Roman" w:eastAsiaTheme="minorEastAsia" w:hAnsi="Times New Roman" w:cs="Times New Roman"/>
          <w:sz w:val="24"/>
          <w:szCs w:val="24"/>
        </w:rPr>
        <w:t xml:space="preserve">dotyczących sumy </w:t>
      </w:r>
      <w:r w:rsidR="002E2D8D" w:rsidRPr="009C4A67">
        <w:rPr>
          <w:rFonts w:ascii="Times New Roman" w:eastAsiaTheme="minorEastAsia" w:hAnsi="Times New Roman" w:cs="Times New Roman"/>
          <w:sz w:val="24"/>
          <w:szCs w:val="24"/>
        </w:rPr>
        <w:t>przypadków zakażeń koronawiru</w:t>
      </w:r>
      <w:r w:rsidR="009C4A67">
        <w:rPr>
          <w:rFonts w:ascii="Times New Roman" w:eastAsiaTheme="minorEastAsia" w:hAnsi="Times New Roman" w:cs="Times New Roman"/>
          <w:sz w:val="24"/>
          <w:szCs w:val="24"/>
        </w:rPr>
        <w:t>sem i zgonów nim spowodowanych</w:t>
      </w:r>
      <w:r w:rsidR="002E2D8D" w:rsidRPr="009C4A67">
        <w:rPr>
          <w:rFonts w:ascii="Times New Roman" w:eastAsiaTheme="minorEastAsia" w:hAnsi="Times New Roman" w:cs="Times New Roman"/>
          <w:sz w:val="24"/>
          <w:szCs w:val="24"/>
        </w:rPr>
        <w:t>. Okres sumowania zgonów jest różny dla ró</w:t>
      </w:r>
      <w:r w:rsidR="009C4A67">
        <w:rPr>
          <w:rFonts w:ascii="Times New Roman" w:eastAsiaTheme="minorEastAsia" w:hAnsi="Times New Roman" w:cs="Times New Roman"/>
          <w:sz w:val="24"/>
          <w:szCs w:val="24"/>
        </w:rPr>
        <w:t>żnych województw i zależy od </w:t>
      </w:r>
      <w:r w:rsidR="002E2D8D" w:rsidRPr="009C4A67">
        <w:rPr>
          <w:rFonts w:ascii="Times New Roman" w:eastAsiaTheme="minorEastAsia" w:hAnsi="Times New Roman" w:cs="Times New Roman"/>
          <w:sz w:val="24"/>
          <w:szCs w:val="24"/>
        </w:rPr>
        <w:t>daty zaprzestania publikowania danych dotyczących p</w:t>
      </w:r>
      <w:r w:rsidR="0039793C" w:rsidRPr="009C4A67">
        <w:rPr>
          <w:rFonts w:ascii="Times New Roman" w:eastAsiaTheme="minorEastAsia" w:hAnsi="Times New Roman" w:cs="Times New Roman"/>
          <w:sz w:val="24"/>
          <w:szCs w:val="24"/>
        </w:rPr>
        <w:t>andemii przez PSSE i WSSE.</w:t>
      </w:r>
    </w:p>
    <w:p w:rsidR="0039793C" w:rsidRPr="009C4A67" w:rsidRDefault="0039793C"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Dane archiwalne dotyczące zarażeń koronawirusem dla powiatów</w:t>
      </w:r>
      <w:r w:rsidR="00437373" w:rsidRPr="009C4A67">
        <w:rPr>
          <w:rFonts w:ascii="Times New Roman" w:eastAsiaTheme="minorEastAsia" w:hAnsi="Times New Roman" w:cs="Times New Roman"/>
          <w:sz w:val="24"/>
          <w:szCs w:val="24"/>
        </w:rPr>
        <w:t xml:space="preserve"> opublikowane przez Ministerstwo Zdrowia (MZ)</w:t>
      </w:r>
      <w:r w:rsidRPr="009C4A67">
        <w:rPr>
          <w:rFonts w:ascii="Times New Roman" w:eastAsiaTheme="minorEastAsia" w:hAnsi="Times New Roman" w:cs="Times New Roman"/>
          <w:sz w:val="24"/>
          <w:szCs w:val="24"/>
        </w:rPr>
        <w:t xml:space="preserve"> posłużyły do oszacowania łączne</w:t>
      </w:r>
      <w:r w:rsidR="009C4A67">
        <w:rPr>
          <w:rFonts w:ascii="Times New Roman" w:eastAsiaTheme="minorEastAsia" w:hAnsi="Times New Roman" w:cs="Times New Roman"/>
          <w:sz w:val="24"/>
          <w:szCs w:val="24"/>
        </w:rPr>
        <w:t>j liczby osób przebywających na </w:t>
      </w:r>
      <w:r w:rsidRPr="009C4A67">
        <w:rPr>
          <w:rFonts w:ascii="Times New Roman" w:eastAsiaTheme="minorEastAsia" w:hAnsi="Times New Roman" w:cs="Times New Roman"/>
          <w:sz w:val="24"/>
          <w:szCs w:val="24"/>
        </w:rPr>
        <w:t xml:space="preserve">kwarantannie </w:t>
      </w:r>
      <w:r w:rsidR="009C4A67">
        <w:rPr>
          <w:rFonts w:ascii="Times New Roman" w:eastAsiaTheme="minorEastAsia" w:hAnsi="Times New Roman" w:cs="Times New Roman"/>
          <w:sz w:val="24"/>
          <w:szCs w:val="24"/>
        </w:rPr>
        <w:t xml:space="preserve">w 2020 roku </w:t>
      </w:r>
      <w:r w:rsidRPr="009C4A67">
        <w:rPr>
          <w:rFonts w:ascii="Times New Roman" w:eastAsiaTheme="minorEastAsia" w:hAnsi="Times New Roman" w:cs="Times New Roman"/>
          <w:sz w:val="24"/>
          <w:szCs w:val="24"/>
        </w:rPr>
        <w:t xml:space="preserve">dla poszczególnych powiatów. W archiwum znajdują się statystyki dotyczące COVID-19 w przedziale </w:t>
      </w:r>
      <w:r w:rsidR="009C4A67">
        <w:rPr>
          <w:rFonts w:ascii="Times New Roman" w:eastAsiaTheme="minorEastAsia" w:hAnsi="Times New Roman" w:cs="Times New Roman"/>
          <w:sz w:val="24"/>
          <w:szCs w:val="24"/>
        </w:rPr>
        <w:t xml:space="preserve">czasowym </w:t>
      </w:r>
      <w:r w:rsidRPr="009C4A67">
        <w:rPr>
          <w:rFonts w:ascii="Times New Roman" w:eastAsiaTheme="minorEastAsia" w:hAnsi="Times New Roman" w:cs="Times New Roman"/>
          <w:sz w:val="24"/>
          <w:szCs w:val="24"/>
        </w:rPr>
        <w:t xml:space="preserve">od 24.11.2020 do </w:t>
      </w:r>
      <w:r w:rsidR="00437373" w:rsidRPr="009C4A67">
        <w:rPr>
          <w:rFonts w:ascii="Times New Roman" w:eastAsiaTheme="minorEastAsia" w:hAnsi="Times New Roman" w:cs="Times New Roman"/>
          <w:sz w:val="24"/>
          <w:szCs w:val="24"/>
        </w:rPr>
        <w:t xml:space="preserve">31.12.2020 roku. </w:t>
      </w:r>
      <w:r w:rsidR="00A55DA0">
        <w:rPr>
          <w:rFonts w:ascii="Times New Roman" w:eastAsiaTheme="minorEastAsia" w:hAnsi="Times New Roman" w:cs="Times New Roman"/>
          <w:sz w:val="24"/>
          <w:szCs w:val="24"/>
        </w:rPr>
        <w:tab/>
      </w:r>
      <w:r w:rsidR="00437373" w:rsidRPr="009C4A67">
        <w:rPr>
          <w:rFonts w:ascii="Times New Roman" w:eastAsiaTheme="minorEastAsia" w:hAnsi="Times New Roman" w:cs="Times New Roman"/>
          <w:sz w:val="24"/>
          <w:szCs w:val="24"/>
        </w:rPr>
        <w:t>Sposób szacowania</w:t>
      </w:r>
      <w:r w:rsidR="00A55DA0">
        <w:rPr>
          <w:rFonts w:ascii="Times New Roman" w:eastAsiaTheme="minorEastAsia" w:hAnsi="Times New Roman" w:cs="Times New Roman"/>
          <w:sz w:val="24"/>
          <w:szCs w:val="24"/>
        </w:rPr>
        <w:t xml:space="preserve"> łącznej liczby osób przebywających na kwarantannie</w:t>
      </w:r>
      <w:r w:rsidR="00437373" w:rsidRPr="009C4A67">
        <w:rPr>
          <w:rFonts w:ascii="Times New Roman" w:eastAsiaTheme="minorEastAsia" w:hAnsi="Times New Roman" w:cs="Times New Roman"/>
          <w:sz w:val="24"/>
          <w:szCs w:val="24"/>
        </w:rPr>
        <w:t>:</w:t>
      </w:r>
    </w:p>
    <w:p w:rsidR="00437373"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1. Na podstawie danych z okresu 23.11.2020 – 31.12.2020 wyliczono średnią dzienną liczbę osób objętych kwarantanną.</w:t>
      </w:r>
    </w:p>
    <w:p w:rsidR="00BD09CA"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2. </w:t>
      </w:r>
      <w:r w:rsidR="00E62360" w:rsidRPr="009C4A67">
        <w:rPr>
          <w:rFonts w:ascii="Times New Roman" w:eastAsiaTheme="minorEastAsia" w:hAnsi="Times New Roman" w:cs="Times New Roman"/>
          <w:sz w:val="24"/>
          <w:szCs w:val="24"/>
        </w:rPr>
        <w:t>Zgodnie z rozporządzeniem Ministra Zdrowia, stan epidemii koronawirusa w Polsce obowiązuje od 20.03.2020 roku</w:t>
      </w:r>
      <w:r w:rsidR="00BD09CA" w:rsidRPr="009C4A67">
        <w:rPr>
          <w:rFonts w:ascii="Times New Roman" w:eastAsiaTheme="minorEastAsia" w:hAnsi="Times New Roman" w:cs="Times New Roman"/>
          <w:sz w:val="24"/>
          <w:szCs w:val="24"/>
        </w:rPr>
        <w:t>. Średnią dzienną liczbę osób objętych kwarantanną wyliczoną w punkcie 1. pomnożono przez liczbę dni objętych stanem epidem</w:t>
      </w:r>
      <w:r w:rsidR="00A55DA0">
        <w:rPr>
          <w:rFonts w:ascii="Times New Roman" w:eastAsiaTheme="minorEastAsia" w:hAnsi="Times New Roman" w:cs="Times New Roman"/>
          <w:sz w:val="24"/>
          <w:szCs w:val="24"/>
        </w:rPr>
        <w:t>ii (286 dni) i zaokrąglono do </w:t>
      </w:r>
      <w:r w:rsidR="00BD09CA" w:rsidRPr="009C4A67">
        <w:rPr>
          <w:rFonts w:ascii="Times New Roman" w:eastAsiaTheme="minorEastAsia" w:hAnsi="Times New Roman" w:cs="Times New Roman"/>
          <w:sz w:val="24"/>
          <w:szCs w:val="24"/>
        </w:rPr>
        <w:t>liczb całkowitych.</w:t>
      </w:r>
    </w:p>
    <w:p w:rsidR="00437373" w:rsidRDefault="00BD09CA"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3. </w:t>
      </w:r>
      <w:r w:rsidR="00E62360" w:rsidRPr="009C4A67">
        <w:rPr>
          <w:rFonts w:ascii="Times New Roman" w:eastAsiaTheme="minorEastAsia" w:hAnsi="Times New Roman" w:cs="Times New Roman"/>
          <w:sz w:val="24"/>
          <w:szCs w:val="24"/>
        </w:rPr>
        <w:t xml:space="preserve"> </w:t>
      </w:r>
      <w:r w:rsidRPr="009C4A67">
        <w:rPr>
          <w:rFonts w:ascii="Times New Roman" w:eastAsiaTheme="minorEastAsia" w:hAnsi="Times New Roman" w:cs="Times New Roman"/>
          <w:sz w:val="24"/>
          <w:szCs w:val="24"/>
        </w:rPr>
        <w:t>Jeżeli dany powiat nie został uwzględniony w zestawieniu Ministerstwa Zdrowia, to dane dotyczące kwarantann na jego obszarze zostały wyliczone na podstawie średniej dziennej liczby osób objętych kwarantanną dla całego kraju.</w:t>
      </w:r>
    </w:p>
    <w:p w:rsidR="00A55DA0" w:rsidRPr="009C4A67" w:rsidRDefault="00A55DA0" w:rsidP="009C4A67">
      <w:pPr>
        <w:spacing w:after="0" w:line="360" w:lineRule="auto"/>
        <w:jc w:val="both"/>
        <w:rPr>
          <w:rFonts w:ascii="Times New Roman" w:eastAsiaTheme="minorEastAsia" w:hAnsi="Times New Roman" w:cs="Times New Roman"/>
          <w:sz w:val="24"/>
          <w:szCs w:val="24"/>
        </w:rPr>
      </w:pPr>
    </w:p>
    <w:p w:rsidR="00BD09CA" w:rsidRDefault="00BD09CA" w:rsidP="00A55DA0">
      <w:pPr>
        <w:spacing w:after="0"/>
        <w:rPr>
          <w:rFonts w:ascii="Times New Roman" w:eastAsiaTheme="minorEastAsia" w:hAnsi="Times New Roman" w:cs="Times New Roman"/>
          <w:b/>
          <w:sz w:val="24"/>
        </w:rPr>
      </w:pPr>
      <w:r w:rsidRPr="00A55DA0">
        <w:rPr>
          <w:rFonts w:ascii="Times New Roman" w:eastAsiaTheme="minorEastAsia" w:hAnsi="Times New Roman" w:cs="Times New Roman"/>
          <w:b/>
          <w:sz w:val="24"/>
        </w:rPr>
        <w:t>3.2. Opis zmiennych</w:t>
      </w:r>
    </w:p>
    <w:p w:rsidR="00A55DA0" w:rsidRPr="00A55DA0" w:rsidRDefault="00A55DA0" w:rsidP="00A55DA0">
      <w:pPr>
        <w:spacing w:after="0"/>
        <w:rPr>
          <w:rFonts w:ascii="Times New Roman" w:eastAsiaTheme="minorEastAsia" w:hAnsi="Times New Roman" w:cs="Times New Roman"/>
          <w:b/>
          <w:sz w:val="24"/>
        </w:rPr>
      </w:pPr>
    </w:p>
    <w:p w:rsidR="00E43743" w:rsidRPr="00A55DA0" w:rsidRDefault="00E43743">
      <w:pPr>
        <w:rPr>
          <w:rFonts w:ascii="Times New Roman" w:eastAsiaTheme="minorEastAsia" w:hAnsi="Times New Roman" w:cs="Times New Roman"/>
          <w:b/>
          <w:sz w:val="24"/>
        </w:rPr>
      </w:pPr>
      <w:r w:rsidRPr="00A55DA0">
        <w:rPr>
          <w:rFonts w:ascii="Times New Roman" w:eastAsiaTheme="minorEastAsia" w:hAnsi="Times New Roman" w:cs="Times New Roman"/>
          <w:b/>
          <w:sz w:val="24"/>
        </w:rPr>
        <w:t>3.2.1. Zmienna objaśniana</w:t>
      </w:r>
    </w:p>
    <w:p w:rsidR="00572B40" w:rsidRPr="00A55DA0" w:rsidRDefault="00E43743" w:rsidP="00052555">
      <w:p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sz w:val="24"/>
        </w:rPr>
        <w:tab/>
        <w:t>Zmienną zależną w szacowanym modelu jest współczynnik urodzeń</w:t>
      </w:r>
      <w:r w:rsidR="00F25307" w:rsidRPr="00A55DA0">
        <w:rPr>
          <w:rFonts w:ascii="Times New Roman" w:eastAsiaTheme="minorEastAsia" w:hAnsi="Times New Roman" w:cs="Times New Roman"/>
          <w:sz w:val="24"/>
        </w:rPr>
        <w:t xml:space="preserve"> (</w:t>
      </w:r>
      <w:r w:rsidR="00A55DA0">
        <w:rPr>
          <w:rFonts w:ascii="Times New Roman" w:eastAsiaTheme="minorEastAsia" w:hAnsi="Times New Roman" w:cs="Times New Roman"/>
          <w:i/>
          <w:sz w:val="24"/>
        </w:rPr>
        <w:t>birth_</w:t>
      </w:r>
      <w:r w:rsidR="00F25307" w:rsidRPr="00A55DA0">
        <w:rPr>
          <w:rFonts w:ascii="Times New Roman" w:eastAsiaTheme="minorEastAsia" w:hAnsi="Times New Roman" w:cs="Times New Roman"/>
          <w:i/>
          <w:sz w:val="24"/>
        </w:rPr>
        <w:t>rate</w:t>
      </w:r>
      <w:r w:rsidR="00F25307" w:rsidRPr="00A55DA0">
        <w:rPr>
          <w:rFonts w:ascii="Times New Roman" w:eastAsiaTheme="minorEastAsia" w:hAnsi="Times New Roman" w:cs="Times New Roman"/>
          <w:sz w:val="24"/>
        </w:rPr>
        <w:t>)</w:t>
      </w:r>
      <w:r w:rsidRPr="00A55DA0">
        <w:rPr>
          <w:rFonts w:ascii="Times New Roman" w:eastAsiaTheme="minorEastAsia" w:hAnsi="Times New Roman" w:cs="Times New Roman"/>
          <w:sz w:val="24"/>
        </w:rPr>
        <w:t xml:space="preserve">, który określa liczbę żywych urodzeń na 1000 </w:t>
      </w:r>
      <w:r w:rsidR="00944EA9" w:rsidRPr="00A55DA0">
        <w:rPr>
          <w:rFonts w:ascii="Times New Roman" w:eastAsiaTheme="minorEastAsia" w:hAnsi="Times New Roman" w:cs="Times New Roman"/>
          <w:sz w:val="24"/>
        </w:rPr>
        <w:t>ludności</w:t>
      </w:r>
      <w:r w:rsidRPr="00A55DA0">
        <w:rPr>
          <w:rFonts w:ascii="Times New Roman" w:eastAsiaTheme="minorEastAsia" w:hAnsi="Times New Roman" w:cs="Times New Roman"/>
          <w:sz w:val="24"/>
        </w:rPr>
        <w:t>.</w:t>
      </w:r>
    </w:p>
    <w:p w:rsidR="00572B40" w:rsidRPr="002257F0" w:rsidRDefault="00F25307">
      <w:pPr>
        <w:rPr>
          <w:rFonts w:eastAsiaTheme="minorEastAsia"/>
        </w:rPr>
      </w:pPr>
      <m:oMathPara>
        <m:oMath>
          <m:r>
            <w:rPr>
              <w:rFonts w:ascii="Cambria Math" w:hAnsi="Cambria Math"/>
            </w:rPr>
            <m:t>birth.rate=</m:t>
          </m:r>
          <m:f>
            <m:fPr>
              <m:ctrlPr>
                <w:rPr>
                  <w:rFonts w:ascii="Cambria Math" w:hAnsi="Cambria Math"/>
                  <w:i/>
                </w:rPr>
              </m:ctrlPr>
            </m:fPr>
            <m:num>
              <m:r>
                <w:rPr>
                  <w:rFonts w:ascii="Cambria Math" w:hAnsi="Cambria Math"/>
                </w:rPr>
                <m:t>liczba urodzeń żywych</m:t>
              </m:r>
            </m:num>
            <m:den>
              <m:r>
                <w:rPr>
                  <w:rFonts w:ascii="Cambria Math" w:hAnsi="Cambria Math"/>
                </w:rPr>
                <m:t>1000 ludności</m:t>
              </m:r>
            </m:den>
          </m:f>
        </m:oMath>
      </m:oMathPara>
    </w:p>
    <w:p w:rsidR="008A38F9" w:rsidRDefault="008A38F9" w:rsidP="00A55DA0">
      <w:pPr>
        <w:spacing w:line="360" w:lineRule="auto"/>
        <w:rPr>
          <w:rFonts w:ascii="Times New Roman" w:eastAsiaTheme="minorEastAsia" w:hAnsi="Times New Roman" w:cs="Times New Roman"/>
          <w:b/>
          <w:sz w:val="24"/>
        </w:rPr>
      </w:pPr>
    </w:p>
    <w:p w:rsidR="00F25307" w:rsidRPr="00A55DA0" w:rsidRDefault="00F25307" w:rsidP="00A55DA0">
      <w:pPr>
        <w:spacing w:line="360" w:lineRule="auto"/>
        <w:rPr>
          <w:rFonts w:ascii="Times New Roman" w:eastAsiaTheme="minorEastAsia" w:hAnsi="Times New Roman" w:cs="Times New Roman"/>
          <w:b/>
          <w:sz w:val="24"/>
        </w:rPr>
      </w:pPr>
      <w:r w:rsidRPr="00A55DA0">
        <w:rPr>
          <w:rFonts w:ascii="Times New Roman" w:eastAsiaTheme="minorEastAsia" w:hAnsi="Times New Roman" w:cs="Times New Roman"/>
          <w:b/>
          <w:sz w:val="24"/>
        </w:rPr>
        <w:t>3.2.2. Zmienne objaśniające</w:t>
      </w:r>
    </w:p>
    <w:p w:rsidR="00064470" w:rsidRPr="008A38F9" w:rsidRDefault="0006447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Wszystkie zmienne niezależne użyte w modelu są zmiennymi ciągłymi.</w:t>
      </w:r>
    </w:p>
    <w:p w:rsidR="00F25307"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covid19_cases</w:t>
      </w:r>
      <w:r w:rsidRPr="008A38F9">
        <w:rPr>
          <w:rFonts w:ascii="Times New Roman" w:eastAsiaTheme="minorEastAsia" w:hAnsi="Times New Roman" w:cs="Times New Roman"/>
          <w:sz w:val="24"/>
        </w:rPr>
        <w:t xml:space="preserve"> - </w:t>
      </w:r>
      <w:r w:rsidR="001B4B57" w:rsidRPr="008A38F9">
        <w:rPr>
          <w:rFonts w:ascii="Times New Roman" w:eastAsiaTheme="minorEastAsia" w:hAnsi="Times New Roman" w:cs="Times New Roman"/>
          <w:sz w:val="24"/>
        </w:rPr>
        <w:t xml:space="preserve">suma przypadków </w:t>
      </w:r>
      <w:r w:rsidRPr="008A38F9">
        <w:rPr>
          <w:rFonts w:ascii="Times New Roman" w:eastAsiaTheme="minorEastAsia" w:hAnsi="Times New Roman" w:cs="Times New Roman"/>
          <w:sz w:val="24"/>
        </w:rPr>
        <w:t>zachorowań na chorobę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covid19_deaths</w:t>
      </w:r>
      <w:r w:rsidRPr="008A38F9">
        <w:rPr>
          <w:rFonts w:ascii="Times New Roman" w:eastAsiaTheme="minorEastAsia" w:hAnsi="Times New Roman" w:cs="Times New Roman"/>
          <w:sz w:val="24"/>
        </w:rPr>
        <w:t xml:space="preserve"> – suma zgonów wywołanych chorobą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covid19_quarantine</w:t>
      </w:r>
      <w:r w:rsidRPr="008A38F9">
        <w:rPr>
          <w:rFonts w:ascii="Times New Roman" w:eastAsiaTheme="minorEastAsia" w:hAnsi="Times New Roman" w:cs="Times New Roman"/>
          <w:sz w:val="24"/>
        </w:rPr>
        <w:t xml:space="preserve"> – suma osób przebywających na kwarantannie z powodu kontaktu z osobą chorą na COVID-19</w:t>
      </w:r>
      <w:r w:rsidR="0014577B" w:rsidRPr="008A38F9">
        <w:rPr>
          <w:rFonts w:ascii="Times New Roman" w:eastAsiaTheme="minorEastAsia" w:hAnsi="Times New Roman" w:cs="Times New Roman"/>
          <w:sz w:val="24"/>
        </w:rPr>
        <w:t>.</w:t>
      </w:r>
    </w:p>
    <w:p w:rsidR="00572B40"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marriage_rate</w:t>
      </w:r>
      <w:r w:rsidRPr="008A38F9">
        <w:rPr>
          <w:rFonts w:ascii="Times New Roman" w:eastAsiaTheme="minorEastAsia" w:hAnsi="Times New Roman" w:cs="Times New Roman"/>
          <w:sz w:val="24"/>
        </w:rPr>
        <w:t xml:space="preserve"> – współczynnik małżeństw</w:t>
      </w:r>
      <w:r w:rsidR="00944EA9" w:rsidRPr="008A38F9">
        <w:rPr>
          <w:rFonts w:ascii="Times New Roman" w:eastAsiaTheme="minorEastAsia" w:hAnsi="Times New Roman" w:cs="Times New Roman"/>
          <w:sz w:val="24"/>
        </w:rPr>
        <w:t xml:space="preserve"> określając</w:t>
      </w:r>
      <w:r w:rsidR="008A38F9">
        <w:rPr>
          <w:rFonts w:ascii="Times New Roman" w:eastAsiaTheme="minorEastAsia" w:hAnsi="Times New Roman" w:cs="Times New Roman"/>
          <w:sz w:val="24"/>
        </w:rPr>
        <w:t>y liczbę zawartych małżeństw na </w:t>
      </w:r>
      <w:r w:rsidR="00944EA9" w:rsidRPr="008A38F9">
        <w:rPr>
          <w:rFonts w:ascii="Times New Roman" w:eastAsiaTheme="minorEastAsia" w:hAnsi="Times New Roman" w:cs="Times New Roman"/>
          <w:sz w:val="24"/>
        </w:rPr>
        <w:t>1000 ludności</w:t>
      </w:r>
      <w:r w:rsidR="0014577B" w:rsidRPr="008A38F9">
        <w:rPr>
          <w:rFonts w:ascii="Times New Roman" w:eastAsiaTheme="minorEastAsia" w:hAnsi="Times New Roman" w:cs="Times New Roman"/>
          <w:sz w:val="24"/>
        </w:rPr>
        <w:t>.</w:t>
      </w:r>
    </w:p>
    <w:p w:rsidR="00572B40" w:rsidRDefault="00044B51" w:rsidP="00A55DA0">
      <w:pPr>
        <w:pStyle w:val="Akapitzlist"/>
        <w:spacing w:after="0" w:line="360" w:lineRule="auto"/>
        <w:rPr>
          <w:rFonts w:eastAsiaTheme="minorEastAsia"/>
        </w:rPr>
      </w:pPr>
      <m:oMathPara>
        <m:oMath>
          <m:r>
            <w:rPr>
              <w:rFonts w:ascii="Cambria Math" w:hAnsi="Cambria Math"/>
              <w:sz w:val="24"/>
            </w:rPr>
            <m:t xml:space="preserve">marriage.rate= </m:t>
          </m:r>
          <m:f>
            <m:fPr>
              <m:ctrlPr>
                <w:rPr>
                  <w:rFonts w:ascii="Cambria Math" w:hAnsi="Cambria Math"/>
                  <w:i/>
                  <w:sz w:val="24"/>
                </w:rPr>
              </m:ctrlPr>
            </m:fPr>
            <m:num>
              <m:r>
                <w:rPr>
                  <w:rFonts w:ascii="Cambria Math" w:hAnsi="Cambria Math"/>
                  <w:sz w:val="24"/>
                </w:rPr>
                <m:t>liczba zawartych małżeństw</m:t>
              </m:r>
            </m:num>
            <m:den>
              <m:r>
                <w:rPr>
                  <w:rFonts w:ascii="Cambria Math" w:hAnsi="Cambria Math"/>
                  <w:sz w:val="24"/>
                </w:rPr>
                <m:t>1000 ludności</m:t>
              </m:r>
            </m:den>
          </m:f>
        </m:oMath>
      </m:oMathPara>
    </w:p>
    <w:p w:rsidR="00572B40" w:rsidRPr="008A38F9" w:rsidRDefault="00044B51" w:rsidP="008A38F9">
      <w:pPr>
        <w:pStyle w:val="Akapitzlist"/>
        <w:numPr>
          <w:ilvl w:val="0"/>
          <w:numId w:val="1"/>
        </w:numPr>
        <w:spacing w:before="240"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divorce_rate</w:t>
      </w:r>
      <w:r w:rsidR="00944EA9" w:rsidRPr="008A38F9">
        <w:rPr>
          <w:rFonts w:ascii="Times New Roman" w:eastAsiaTheme="minorEastAsia" w:hAnsi="Times New Roman" w:cs="Times New Roman"/>
          <w:sz w:val="24"/>
        </w:rPr>
        <w:t xml:space="preserve"> – współczynnik rozwodów, który jest stosunkiem liczby orzeczonych rozwodów na 1000 ludności</w:t>
      </w:r>
      <w:r w:rsidR="0014577B" w:rsidRPr="008A38F9">
        <w:rPr>
          <w:rFonts w:ascii="Times New Roman" w:eastAsiaTheme="minorEastAsia" w:hAnsi="Times New Roman" w:cs="Times New Roman"/>
          <w:sz w:val="24"/>
        </w:rPr>
        <w:t>.</w:t>
      </w:r>
    </w:p>
    <w:p w:rsidR="00572B40" w:rsidRPr="008A38F9" w:rsidRDefault="00944EA9" w:rsidP="00A55DA0">
      <w:pPr>
        <w:spacing w:line="360" w:lineRule="auto"/>
        <w:rPr>
          <w:rFonts w:eastAsiaTheme="minorEastAsia"/>
          <w:sz w:val="24"/>
        </w:rPr>
      </w:pPr>
      <m:oMathPara>
        <m:oMath>
          <m:r>
            <w:rPr>
              <w:rFonts w:ascii="Cambria Math" w:hAnsi="Cambria Math"/>
              <w:sz w:val="24"/>
            </w:rPr>
            <m:t xml:space="preserve">divorce.rate= </m:t>
          </m:r>
          <m:f>
            <m:fPr>
              <m:ctrlPr>
                <w:rPr>
                  <w:rFonts w:ascii="Cambria Math" w:hAnsi="Cambria Math"/>
                  <w:i/>
                  <w:sz w:val="24"/>
                </w:rPr>
              </m:ctrlPr>
            </m:fPr>
            <m:num>
              <m:r>
                <w:rPr>
                  <w:rFonts w:ascii="Cambria Math" w:hAnsi="Cambria Math"/>
                  <w:sz w:val="24"/>
                </w:rPr>
                <m:t>liczba rozwodów</m:t>
              </m:r>
            </m:num>
            <m:den>
              <m:r>
                <w:rPr>
                  <w:rFonts w:ascii="Cambria Math" w:hAnsi="Cambria Math"/>
                  <w:sz w:val="24"/>
                </w:rPr>
                <m:t>1000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budget_reve_pc</w:t>
      </w:r>
      <w:r w:rsidR="00944EA9" w:rsidRPr="00A55DA0">
        <w:rPr>
          <w:rFonts w:ascii="Times New Roman" w:eastAsiaTheme="minorEastAsia" w:hAnsi="Times New Roman" w:cs="Times New Roman"/>
          <w:sz w:val="24"/>
        </w:rPr>
        <w:t xml:space="preserve"> – dochody budżetów powiatów (</w:t>
      </w:r>
      <w:r w:rsidR="00A55DA0">
        <w:rPr>
          <w:rFonts w:ascii="Times New Roman" w:eastAsiaTheme="minorEastAsia" w:hAnsi="Times New Roman" w:cs="Times New Roman"/>
          <w:sz w:val="24"/>
        </w:rPr>
        <w:t>lub miast na prawach powiatu) w </w:t>
      </w:r>
      <w:r w:rsidR="00944EA9" w:rsidRPr="00A55DA0">
        <w:rPr>
          <w:rFonts w:ascii="Times New Roman" w:eastAsiaTheme="minorEastAsia" w:hAnsi="Times New Roman" w:cs="Times New Roman"/>
          <w:sz w:val="24"/>
        </w:rPr>
        <w:t xml:space="preserve">przeliczeniu na jednego mieszkańca. </w:t>
      </w:r>
      <w:r w:rsidR="0014577B" w:rsidRPr="00A55DA0">
        <w:rPr>
          <w:rFonts w:ascii="Times New Roman" w:eastAsiaTheme="minorEastAsia" w:hAnsi="Times New Roman" w:cs="Times New Roman"/>
          <w:sz w:val="24"/>
        </w:rPr>
        <w:t>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unemployment_rate</w:t>
      </w:r>
      <w:r w:rsidR="00944EA9" w:rsidRPr="00A55DA0">
        <w:rPr>
          <w:rFonts w:ascii="Times New Roman" w:eastAsiaTheme="minorEastAsia" w:hAnsi="Times New Roman" w:cs="Times New Roman"/>
          <w:sz w:val="24"/>
        </w:rPr>
        <w:t xml:space="preserve"> – stopa bezrobocia rejestrowanego</w:t>
      </w:r>
      <w:r w:rsidR="0014577B" w:rsidRPr="00A55DA0">
        <w:rPr>
          <w:rFonts w:ascii="Times New Roman" w:eastAsiaTheme="minorEastAsia" w:hAnsi="Times New Roman" w:cs="Times New Roman"/>
          <w:sz w:val="24"/>
        </w:rPr>
        <w:t xml:space="preserve"> wyrażona w procentach.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women_reproductive</w:t>
      </w:r>
      <w:r w:rsidR="0014577B" w:rsidRPr="00A55DA0">
        <w:rPr>
          <w:rFonts w:ascii="Times New Roman" w:eastAsiaTheme="minorEastAsia" w:hAnsi="Times New Roman" w:cs="Times New Roman"/>
          <w:sz w:val="24"/>
        </w:rPr>
        <w:t xml:space="preserve"> – liczba kobiet w wieku reprodukcyjnym, czyl</w:t>
      </w:r>
      <w:r w:rsidR="00ED5505" w:rsidRPr="00A55DA0">
        <w:rPr>
          <w:rFonts w:ascii="Times New Roman" w:eastAsiaTheme="minorEastAsia" w:hAnsi="Times New Roman" w:cs="Times New Roman"/>
          <w:sz w:val="24"/>
        </w:rPr>
        <w:t>i między 15. a 49. rokiem życia w stosunku do liczby kobiet w danym powiecie (lub mieście na prawach powiatu).</w:t>
      </w:r>
    </w:p>
    <w:p w:rsidR="00572B40" w:rsidRPr="00A55DA0" w:rsidRDefault="00044B51" w:rsidP="008A38F9">
      <w:pPr>
        <w:pStyle w:val="Akapitzlist"/>
        <w:numPr>
          <w:ilvl w:val="0"/>
          <w:numId w:val="1"/>
        </w:numPr>
        <w:spacing w:after="0"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femininity_ratio</w:t>
      </w:r>
      <w:r w:rsidR="0014577B" w:rsidRPr="00A55DA0">
        <w:rPr>
          <w:rFonts w:ascii="Times New Roman" w:eastAsiaTheme="minorEastAsia" w:hAnsi="Times New Roman" w:cs="Times New Roman"/>
          <w:sz w:val="24"/>
        </w:rPr>
        <w:t xml:space="preserve"> – współczynnik feminizacji określając</w:t>
      </w:r>
      <w:r w:rsidR="008A38F9">
        <w:rPr>
          <w:rFonts w:ascii="Times New Roman" w:eastAsiaTheme="minorEastAsia" w:hAnsi="Times New Roman" w:cs="Times New Roman"/>
          <w:sz w:val="24"/>
        </w:rPr>
        <w:t>y liczbę kobiet przypadającą na </w:t>
      </w:r>
      <w:r w:rsidR="0014577B" w:rsidRPr="00A55DA0">
        <w:rPr>
          <w:rFonts w:ascii="Times New Roman" w:eastAsiaTheme="minorEastAsia" w:hAnsi="Times New Roman" w:cs="Times New Roman"/>
          <w:sz w:val="24"/>
        </w:rPr>
        <w:t>100 mężczyzn.</w:t>
      </w:r>
    </w:p>
    <w:p w:rsidR="00572B40" w:rsidRPr="00A55DA0" w:rsidRDefault="0014577B" w:rsidP="008A38F9">
      <w:pPr>
        <w:pStyle w:val="Akapitzlist"/>
        <w:spacing w:after="0" w:line="360" w:lineRule="auto"/>
        <w:rPr>
          <w:rFonts w:eastAsiaTheme="minorEastAsia"/>
          <w:sz w:val="24"/>
          <w:szCs w:val="24"/>
        </w:rPr>
      </w:pPr>
      <m:oMathPara>
        <m:oMath>
          <m:r>
            <w:rPr>
              <w:rFonts w:ascii="Cambria Math" w:hAnsi="Cambria Math"/>
              <w:sz w:val="24"/>
              <w:szCs w:val="24"/>
            </w:rPr>
            <m:t xml:space="preserve"> femininity.ratio= </m:t>
          </m:r>
          <m:f>
            <m:fPr>
              <m:ctrlPr>
                <w:rPr>
                  <w:rFonts w:ascii="Cambria Math" w:hAnsi="Cambria Math"/>
                  <w:i/>
                  <w:sz w:val="24"/>
                  <w:szCs w:val="24"/>
                </w:rPr>
              </m:ctrlPr>
            </m:fPr>
            <m:num>
              <m:r>
                <w:rPr>
                  <w:rFonts w:ascii="Cambria Math" w:hAnsi="Cambria Math"/>
                  <w:sz w:val="24"/>
                  <w:szCs w:val="24"/>
                </w:rPr>
                <m:t>liczba kobiet</m:t>
              </m:r>
            </m:num>
            <m:den>
              <m:r>
                <w:rPr>
                  <w:rFonts w:ascii="Cambria Math" w:hAnsi="Cambria Math"/>
                  <w:sz w:val="24"/>
                  <w:szCs w:val="24"/>
                </w:rPr>
                <m:t>100 mężczyzn</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avg_salary</w:t>
      </w:r>
      <w:r w:rsidR="0014577B" w:rsidRPr="00A55DA0">
        <w:rPr>
          <w:rFonts w:ascii="Times New Roman" w:eastAsiaTheme="minorEastAsia" w:hAnsi="Times New Roman" w:cs="Times New Roman"/>
          <w:sz w:val="24"/>
        </w:rPr>
        <w:t xml:space="preserve"> – średnie wynagrodzenie brutto. Zmienna wyrażona w złotych polskich.</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women_working</w:t>
      </w:r>
      <w:r w:rsidR="0014577B" w:rsidRPr="00A55DA0">
        <w:rPr>
          <w:rFonts w:ascii="Times New Roman" w:eastAsiaTheme="minorEastAsia" w:hAnsi="Times New Roman" w:cs="Times New Roman"/>
          <w:sz w:val="24"/>
        </w:rPr>
        <w:t xml:space="preserve"> – odsetek kobiet pracujących jako stosunek liczby pracujących kobiet do liczby kobiet w danym powiecie.</w:t>
      </w:r>
    </w:p>
    <w:p w:rsidR="00572B40" w:rsidRPr="00A55DA0" w:rsidRDefault="0014577B" w:rsidP="00A55DA0">
      <w:pPr>
        <w:pStyle w:val="Akapitzlist"/>
        <w:spacing w:line="360" w:lineRule="auto"/>
        <w:rPr>
          <w:rFonts w:eastAsiaTheme="minorEastAsia"/>
          <w:sz w:val="24"/>
          <w:szCs w:val="24"/>
        </w:rPr>
      </w:pPr>
      <m:oMathPara>
        <m:oMath>
          <m:r>
            <w:rPr>
              <w:rFonts w:ascii="Cambria Math" w:hAnsi="Cambria Math"/>
              <w:sz w:val="24"/>
              <w:szCs w:val="24"/>
            </w:rPr>
            <m:t xml:space="preserve"> women.working= </m:t>
          </m:r>
          <m:f>
            <m:fPr>
              <m:ctrlPr>
                <w:rPr>
                  <w:rFonts w:ascii="Cambria Math" w:hAnsi="Cambria Math"/>
                  <w:i/>
                  <w:sz w:val="24"/>
                  <w:szCs w:val="24"/>
                </w:rPr>
              </m:ctrlPr>
            </m:fPr>
            <m:num>
              <m:r>
                <w:rPr>
                  <w:rFonts w:ascii="Cambria Math" w:hAnsi="Cambria Math"/>
                  <w:sz w:val="24"/>
                  <w:szCs w:val="24"/>
                </w:rPr>
                <m:t>liczba pracujących kobiet</m:t>
              </m:r>
            </m:num>
            <m:den>
              <m:r>
                <w:rPr>
                  <w:rFonts w:ascii="Cambria Math" w:hAnsi="Cambria Math"/>
                  <w:sz w:val="24"/>
                  <w:szCs w:val="24"/>
                </w:rPr>
                <m:t>liczba kobiet</m:t>
              </m:r>
            </m:den>
          </m:f>
        </m:oMath>
      </m:oMathPara>
    </w:p>
    <w:p w:rsidR="005E61B7"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men_working</w:t>
      </w:r>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w:t>
      </w:r>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odsetek mężczyzn pracujących jako stosunek liczby pracujących mężczyzn do liczby mężczyzn w powiecie.</w:t>
      </w:r>
    </w:p>
    <w:p w:rsidR="00572B40" w:rsidRPr="00A55DA0" w:rsidRDefault="005E61B7" w:rsidP="00A55DA0">
      <w:pPr>
        <w:pStyle w:val="Akapitzlist"/>
        <w:spacing w:line="360" w:lineRule="auto"/>
        <w:rPr>
          <w:rFonts w:eastAsiaTheme="minorEastAsia"/>
          <w:sz w:val="24"/>
          <w:szCs w:val="24"/>
        </w:rPr>
      </w:pPr>
      <m:oMathPara>
        <m:oMath>
          <m:r>
            <w:rPr>
              <w:rFonts w:ascii="Cambria Math" w:hAnsi="Cambria Math"/>
              <w:sz w:val="24"/>
              <w:szCs w:val="24"/>
            </w:rPr>
            <m:t xml:space="preserve">men.working= </m:t>
          </m:r>
          <m:f>
            <m:fPr>
              <m:ctrlPr>
                <w:rPr>
                  <w:rFonts w:ascii="Cambria Math" w:hAnsi="Cambria Math"/>
                  <w:i/>
                  <w:sz w:val="24"/>
                  <w:szCs w:val="24"/>
                </w:rPr>
              </m:ctrlPr>
            </m:fPr>
            <m:num>
              <m:r>
                <w:rPr>
                  <w:rFonts w:ascii="Cambria Math" w:hAnsi="Cambria Math"/>
                  <w:sz w:val="24"/>
                  <w:szCs w:val="24"/>
                </w:rPr>
                <m:t>liczba pracujących mężczyzn</m:t>
              </m:r>
            </m:num>
            <m:den>
              <m:r>
                <w:rPr>
                  <w:rFonts w:ascii="Cambria Math" w:hAnsi="Cambria Math"/>
                  <w:sz w:val="24"/>
                  <w:szCs w:val="24"/>
                </w:rPr>
                <m:t>liczba kobiet</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median_house_price</w:t>
      </w:r>
      <w:r w:rsidR="00005CDD" w:rsidRPr="00A55DA0">
        <w:rPr>
          <w:rFonts w:ascii="Times New Roman" w:eastAsiaTheme="minorEastAsia" w:hAnsi="Times New Roman" w:cs="Times New Roman"/>
          <w:sz w:val="24"/>
        </w:rPr>
        <w:t xml:space="preserve"> – mediana cen za 1 m</w:t>
      </w:r>
      <w:r w:rsidR="00005CDD" w:rsidRPr="00A55DA0">
        <w:rPr>
          <w:rFonts w:ascii="Times New Roman" w:eastAsiaTheme="minorEastAsia" w:hAnsi="Times New Roman" w:cs="Times New Roman"/>
          <w:sz w:val="24"/>
          <w:vertAlign w:val="superscript"/>
        </w:rPr>
        <w:t>2</w:t>
      </w:r>
      <w:r w:rsidR="00005CDD" w:rsidRPr="00A55DA0">
        <w:rPr>
          <w:rFonts w:ascii="Times New Roman" w:eastAsiaTheme="minorEastAsia" w:hAnsi="Times New Roman" w:cs="Times New Roman"/>
          <w:sz w:val="24"/>
        </w:rPr>
        <w:t xml:space="preserve"> lokali mieszkaniowych</w:t>
      </w:r>
      <w:r w:rsidR="00A55DA0">
        <w:rPr>
          <w:rFonts w:ascii="Times New Roman" w:eastAsiaTheme="minorEastAsia" w:hAnsi="Times New Roman" w:cs="Times New Roman"/>
          <w:sz w:val="24"/>
        </w:rPr>
        <w:t xml:space="preserve"> sprzedanych w </w:t>
      </w:r>
      <w:r w:rsidR="00742D6A" w:rsidRPr="00A55DA0">
        <w:rPr>
          <w:rFonts w:ascii="Times New Roman" w:eastAsiaTheme="minorEastAsia" w:hAnsi="Times New Roman" w:cs="Times New Roman"/>
          <w:sz w:val="24"/>
        </w:rPr>
        <w:t>ramach transakcji rynkowych</w:t>
      </w:r>
      <w:r w:rsidR="00005CDD" w:rsidRPr="00A55DA0">
        <w:rPr>
          <w:rFonts w:ascii="Times New Roman" w:eastAsiaTheme="minorEastAsia" w:hAnsi="Times New Roman" w:cs="Times New Roman"/>
          <w:sz w:val="24"/>
        </w:rPr>
        <w:t>. 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house_ratio</w:t>
      </w:r>
      <w:r w:rsidR="00005CDD" w:rsidRPr="00A55DA0">
        <w:rPr>
          <w:rFonts w:ascii="Times New Roman" w:eastAsiaTheme="minorEastAsia" w:hAnsi="Times New Roman" w:cs="Times New Roman"/>
          <w:sz w:val="24"/>
        </w:rPr>
        <w:t xml:space="preserve"> – mieszkania oddane do użytkowania na 1000 ludności.</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houses_area_pc</w:t>
      </w:r>
      <w:r w:rsidR="005E61B7" w:rsidRPr="00A55DA0">
        <w:rPr>
          <w:rFonts w:ascii="Times New Roman" w:eastAsiaTheme="minorEastAsia" w:hAnsi="Times New Roman" w:cs="Times New Roman"/>
          <w:sz w:val="24"/>
        </w:rPr>
        <w:t xml:space="preserve"> – stosunek powierzchni użytkow</w:t>
      </w:r>
      <w:r w:rsidR="00A55DA0">
        <w:rPr>
          <w:rFonts w:ascii="Times New Roman" w:eastAsiaTheme="minorEastAsia" w:hAnsi="Times New Roman" w:cs="Times New Roman"/>
          <w:sz w:val="24"/>
        </w:rPr>
        <w:t>ej mieszkań w danym powiecie do </w:t>
      </w:r>
      <w:r w:rsidR="005E61B7" w:rsidRPr="00A55DA0">
        <w:rPr>
          <w:rFonts w:ascii="Times New Roman" w:eastAsiaTheme="minorEastAsia" w:hAnsi="Times New Roman" w:cs="Times New Roman"/>
          <w:sz w:val="24"/>
        </w:rPr>
        <w:t xml:space="preserve">jego populacji. Zmienna </w:t>
      </w:r>
      <w:r w:rsidR="00A55DA0" w:rsidRPr="00A55DA0">
        <w:rPr>
          <w:rFonts w:ascii="Times New Roman" w:eastAsiaTheme="minorEastAsia" w:hAnsi="Times New Roman" w:cs="Times New Roman"/>
          <w:sz w:val="24"/>
        </w:rPr>
        <w:t>wyrażona w metrach kwadratowych.</w:t>
      </w:r>
    </w:p>
    <w:p w:rsidR="00572B40" w:rsidRPr="005E61B7" w:rsidRDefault="005E61B7" w:rsidP="00A55DA0">
      <w:pPr>
        <w:pStyle w:val="Akapitzlist"/>
        <w:spacing w:line="360" w:lineRule="auto"/>
        <w:rPr>
          <w:rFonts w:eastAsiaTheme="minorEastAsia"/>
        </w:rPr>
      </w:pPr>
      <m:oMathPara>
        <m:oMath>
          <m:r>
            <w:rPr>
              <w:rFonts w:ascii="Cambria Math" w:hAnsi="Cambria Math"/>
              <w:sz w:val="24"/>
            </w:rPr>
            <m:t xml:space="preserve">houses.area.pc= </m:t>
          </m:r>
          <m:f>
            <m:fPr>
              <m:ctrlPr>
                <w:rPr>
                  <w:rFonts w:ascii="Cambria Math" w:hAnsi="Cambria Math"/>
                  <w:i/>
                  <w:sz w:val="24"/>
                </w:rPr>
              </m:ctrlPr>
            </m:fPr>
            <m:num>
              <m:r>
                <w:rPr>
                  <w:rFonts w:ascii="Cambria Math" w:hAnsi="Cambria Math"/>
                  <w:sz w:val="24"/>
                </w:rPr>
                <m:t>łączna powierzchnia użytkowa mieszkań</m:t>
              </m:r>
            </m:num>
            <m:den>
              <m:r>
                <w:rPr>
                  <w:rFonts w:ascii="Cambria Math" w:hAnsi="Cambria Math"/>
                  <w:sz w:val="24"/>
                </w:rPr>
                <m:t>populacja</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rPr>
      </w:pPr>
      <w:r w:rsidRPr="00A55DA0">
        <w:rPr>
          <w:rFonts w:ascii="Times New Roman" w:eastAsiaTheme="minorEastAsia" w:hAnsi="Times New Roman" w:cs="Times New Roman"/>
          <w:i/>
          <w:sz w:val="24"/>
        </w:rPr>
        <w:t>avg_people_per_house</w:t>
      </w:r>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średnia liczba osób przypadająca na jedno mieszkanie.</w:t>
      </w:r>
    </w:p>
    <w:p w:rsidR="00572B40" w:rsidRPr="001816E0" w:rsidRDefault="001816E0" w:rsidP="00A55DA0">
      <w:pPr>
        <w:pStyle w:val="Akapitzlist"/>
        <w:spacing w:line="360" w:lineRule="auto"/>
        <w:rPr>
          <w:rFonts w:eastAsiaTheme="minorEastAsia"/>
        </w:rPr>
      </w:pPr>
      <m:oMathPara>
        <m:oMath>
          <m:r>
            <w:rPr>
              <w:rFonts w:ascii="Cambria Math" w:hAnsi="Cambria Math"/>
              <w:sz w:val="24"/>
            </w:rPr>
            <m:t xml:space="preserve">avg.people.per.house= </m:t>
          </m:r>
          <m:f>
            <m:fPr>
              <m:ctrlPr>
                <w:rPr>
                  <w:rFonts w:ascii="Cambria Math" w:hAnsi="Cambria Math"/>
                  <w:i/>
                  <w:sz w:val="24"/>
                </w:rPr>
              </m:ctrlPr>
            </m:fPr>
            <m:num>
              <m:r>
                <w:rPr>
                  <w:rFonts w:ascii="Cambria Math" w:hAnsi="Cambria Math"/>
                  <w:sz w:val="24"/>
                </w:rPr>
                <m:t>populacja</m:t>
              </m:r>
            </m:num>
            <m:den>
              <m:r>
                <w:rPr>
                  <w:rFonts w:ascii="Cambria Math" w:hAnsi="Cambria Math"/>
                  <w:sz w:val="24"/>
                </w:rPr>
                <m:t>liczba mieszkań</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education_expenditure</w:t>
      </w:r>
      <w:r w:rsidR="00005CDD" w:rsidRPr="00A55DA0">
        <w:rPr>
          <w:rFonts w:ascii="Times New Roman" w:eastAsiaTheme="minorEastAsia" w:hAnsi="Times New Roman" w:cs="Times New Roman"/>
          <w:sz w:val="24"/>
        </w:rPr>
        <w:t xml:space="preserve"> - wydatki budżetów powiatów (i miast </w:t>
      </w:r>
      <w:r w:rsidR="00A55DA0">
        <w:rPr>
          <w:rFonts w:ascii="Times New Roman" w:eastAsiaTheme="minorEastAsia" w:hAnsi="Times New Roman" w:cs="Times New Roman"/>
          <w:sz w:val="24"/>
        </w:rPr>
        <w:t>na prawach powiatu) w </w:t>
      </w:r>
      <w:r w:rsidR="00742D6A" w:rsidRPr="00A55DA0">
        <w:rPr>
          <w:rFonts w:ascii="Times New Roman" w:eastAsiaTheme="minorEastAsia" w:hAnsi="Times New Roman" w:cs="Times New Roman"/>
          <w:sz w:val="24"/>
        </w:rPr>
        <w:t>dziale 80</w:t>
      </w:r>
      <w:r w:rsidR="00005CDD" w:rsidRPr="00A55DA0">
        <w:rPr>
          <w:rFonts w:ascii="Times New Roman" w:eastAsiaTheme="minorEastAsia" w:hAnsi="Times New Roman" w:cs="Times New Roman"/>
          <w:sz w:val="24"/>
        </w:rPr>
        <w:t xml:space="preserve">1 – </w:t>
      </w:r>
      <w:r w:rsidR="00742D6A" w:rsidRPr="00A55DA0">
        <w:rPr>
          <w:rFonts w:ascii="Times New Roman" w:eastAsiaTheme="minorEastAsia" w:hAnsi="Times New Roman" w:cs="Times New Roman"/>
          <w:sz w:val="24"/>
        </w:rPr>
        <w:t>Oświata i wychowanie</w:t>
      </w:r>
      <w:r w:rsidR="00005CDD" w:rsidRPr="00A55DA0">
        <w:rPr>
          <w:rFonts w:ascii="Times New Roman" w:eastAsiaTheme="minorEastAsia" w:hAnsi="Times New Roman" w:cs="Times New Roman"/>
          <w:sz w:val="24"/>
        </w:rPr>
        <w:t xml:space="preserve"> w przeliczeniu na jednego mieszkańca.</w:t>
      </w:r>
      <w:r w:rsidR="00742D6A" w:rsidRPr="00A55DA0">
        <w:rPr>
          <w:rFonts w:ascii="Times New Roman" w:eastAsiaTheme="minorEastAsia" w:hAnsi="Times New Roman" w:cs="Times New Roman"/>
          <w:sz w:val="24"/>
        </w:rPr>
        <w:t xml:space="preserve"> Zmienna wyrażona w złotych polskich.</w:t>
      </w:r>
    </w:p>
    <w:p w:rsidR="00572B40" w:rsidRPr="00742D6A" w:rsidRDefault="00742D6A" w:rsidP="00A55DA0">
      <w:pPr>
        <w:pStyle w:val="Akapitzlist"/>
        <w:spacing w:line="360" w:lineRule="auto"/>
        <w:rPr>
          <w:rFonts w:eastAsiaTheme="minorEastAsia"/>
        </w:rPr>
      </w:pPr>
      <m:oMathPara>
        <m:oMath>
          <m:r>
            <w:rPr>
              <w:rFonts w:ascii="Cambria Math" w:hAnsi="Cambria Math"/>
              <w:sz w:val="24"/>
            </w:rPr>
            <m:t xml:space="preserve">education.expenditure= </m:t>
          </m:r>
          <m:f>
            <m:fPr>
              <m:ctrlPr>
                <w:rPr>
                  <w:rFonts w:ascii="Cambria Math" w:hAnsi="Cambria Math"/>
                  <w:i/>
                  <w:sz w:val="24"/>
                </w:rPr>
              </m:ctrlPr>
            </m:fPr>
            <m:num>
              <m:r>
                <w:rPr>
                  <w:rFonts w:ascii="Cambria Math" w:hAnsi="Cambria Math"/>
                  <w:sz w:val="24"/>
                </w:rPr>
                <m:t>wydatki na oświatę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before="240" w:line="360" w:lineRule="auto"/>
        <w:jc w:val="both"/>
        <w:rPr>
          <w:rFonts w:ascii="Times New Roman" w:eastAsiaTheme="minorEastAsia" w:hAnsi="Times New Roman" w:cs="Times New Roman"/>
          <w:sz w:val="24"/>
          <w:szCs w:val="24"/>
        </w:rPr>
      </w:pPr>
      <w:r w:rsidRPr="00A55DA0">
        <w:rPr>
          <w:rFonts w:ascii="Times New Roman" w:eastAsiaTheme="minorEastAsia" w:hAnsi="Times New Roman" w:cs="Times New Roman"/>
          <w:i/>
          <w:sz w:val="24"/>
          <w:szCs w:val="24"/>
        </w:rPr>
        <w:t>health_expenditure</w:t>
      </w:r>
      <w:r w:rsidR="00005CDD" w:rsidRPr="00A55DA0">
        <w:rPr>
          <w:rFonts w:ascii="Times New Roman" w:eastAsiaTheme="minorEastAsia" w:hAnsi="Times New Roman" w:cs="Times New Roman"/>
          <w:sz w:val="24"/>
          <w:szCs w:val="24"/>
        </w:rPr>
        <w:t xml:space="preserve"> - wydatki budżetów powiatów (i mias</w:t>
      </w:r>
      <w:r w:rsidR="00A55DA0">
        <w:rPr>
          <w:rFonts w:ascii="Times New Roman" w:eastAsiaTheme="minorEastAsia" w:hAnsi="Times New Roman" w:cs="Times New Roman"/>
          <w:sz w:val="24"/>
          <w:szCs w:val="24"/>
        </w:rPr>
        <w:t>t na prawach powiatu) w </w:t>
      </w:r>
      <w:r w:rsidR="00005CDD" w:rsidRPr="00A55DA0">
        <w:rPr>
          <w:rFonts w:ascii="Times New Roman" w:eastAsiaTheme="minorEastAsia" w:hAnsi="Times New Roman" w:cs="Times New Roman"/>
          <w:sz w:val="24"/>
          <w:szCs w:val="24"/>
        </w:rPr>
        <w:t>dziale 851 – Ochrona zdrowia w przeliczeniu na jednego mieszkańca.</w:t>
      </w:r>
      <w:r w:rsidR="00742D6A" w:rsidRPr="00A55DA0">
        <w:rPr>
          <w:rFonts w:ascii="Times New Roman" w:eastAsiaTheme="minorEastAsia" w:hAnsi="Times New Roman" w:cs="Times New Roman"/>
          <w:sz w:val="24"/>
          <w:szCs w:val="24"/>
        </w:rPr>
        <w:t xml:space="preserve"> Zmienna wyrażona w złotych polskich.</w:t>
      </w:r>
    </w:p>
    <w:p w:rsidR="00572B40" w:rsidRPr="00A55DA0" w:rsidRDefault="00742D6A" w:rsidP="00A55DA0">
      <w:pPr>
        <w:pStyle w:val="Akapitzlist"/>
        <w:spacing w:line="360" w:lineRule="auto"/>
        <w:rPr>
          <w:rFonts w:eastAsiaTheme="minorEastAsia"/>
          <w:sz w:val="24"/>
          <w:szCs w:val="24"/>
        </w:rPr>
      </w:pPr>
      <m:oMathPara>
        <m:oMath>
          <m:r>
            <w:rPr>
              <w:rFonts w:ascii="Cambria Math" w:hAnsi="Cambria Math"/>
              <w:sz w:val="24"/>
              <w:szCs w:val="24"/>
            </w:rPr>
            <m:t xml:space="preserve">health.expenditure= </m:t>
          </m:r>
          <m:f>
            <m:fPr>
              <m:ctrlPr>
                <w:rPr>
                  <w:rFonts w:ascii="Cambria Math" w:hAnsi="Cambria Math"/>
                  <w:i/>
                  <w:sz w:val="24"/>
                  <w:szCs w:val="24"/>
                </w:rPr>
              </m:ctrlPr>
            </m:fPr>
            <m:num>
              <m:r>
                <w:rPr>
                  <w:rFonts w:ascii="Cambria Math" w:hAnsi="Cambria Math"/>
                  <w:sz w:val="24"/>
                  <w:szCs w:val="24"/>
                </w:rPr>
                <m:t>wydatki na ochronę zdrowia ogółem</m:t>
              </m:r>
            </m:num>
            <m:den>
              <m:r>
                <w:rPr>
                  <w:rFonts w:ascii="Cambria Math" w:hAnsi="Cambria Math"/>
                  <w:sz w:val="24"/>
                  <w:szCs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social_expenditure</w:t>
      </w:r>
      <w:r w:rsidR="001816E0" w:rsidRPr="00A55DA0">
        <w:rPr>
          <w:rFonts w:ascii="Times New Roman" w:eastAsiaTheme="minorEastAsia" w:hAnsi="Times New Roman" w:cs="Times New Roman"/>
          <w:sz w:val="24"/>
        </w:rPr>
        <w:t xml:space="preserve"> – wydatki budżetów powiatów</w:t>
      </w:r>
      <w:r w:rsidR="00A55DA0">
        <w:rPr>
          <w:rFonts w:ascii="Times New Roman" w:eastAsiaTheme="minorEastAsia" w:hAnsi="Times New Roman" w:cs="Times New Roman"/>
          <w:sz w:val="24"/>
        </w:rPr>
        <w:t xml:space="preserve"> (i miast na prawach powiatu) w </w:t>
      </w:r>
      <w:r w:rsidR="001816E0" w:rsidRPr="00A55DA0">
        <w:rPr>
          <w:rFonts w:ascii="Times New Roman" w:eastAsiaTheme="minorEastAsia" w:hAnsi="Times New Roman" w:cs="Times New Roman"/>
          <w:sz w:val="24"/>
        </w:rPr>
        <w:t>dziale 852 – Pomoc społeczna w przeliczeniu na jednego mieszkańca. Zmienna wyrażona w złotych polskich.</w:t>
      </w:r>
    </w:p>
    <w:p w:rsidR="00572B40" w:rsidRPr="00A55DA0" w:rsidRDefault="001816E0" w:rsidP="00A55DA0">
      <w:pPr>
        <w:pStyle w:val="Akapitzlist"/>
        <w:spacing w:line="360" w:lineRule="auto"/>
        <w:rPr>
          <w:rFonts w:eastAsiaTheme="minorEastAsia"/>
          <w:sz w:val="24"/>
        </w:rPr>
      </w:pPr>
      <m:oMathPara>
        <m:oMath>
          <m:r>
            <w:rPr>
              <w:rFonts w:ascii="Cambria Math" w:hAnsi="Cambria Math"/>
              <w:sz w:val="24"/>
            </w:rPr>
            <m:t xml:space="preserve">social.expenditure= </m:t>
          </m:r>
          <m:f>
            <m:fPr>
              <m:ctrlPr>
                <w:rPr>
                  <w:rFonts w:ascii="Cambria Math" w:hAnsi="Cambria Math"/>
                  <w:i/>
                  <w:sz w:val="24"/>
                </w:rPr>
              </m:ctrlPr>
            </m:fPr>
            <m:num>
              <m:r>
                <w:rPr>
                  <w:rFonts w:ascii="Cambria Math" w:hAnsi="Cambria Math"/>
                  <w:sz w:val="24"/>
                </w:rPr>
                <m:t>wydatki na pomoc społeczną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szCs w:val="24"/>
        </w:rPr>
      </w:pPr>
      <w:r w:rsidRPr="00A55DA0">
        <w:rPr>
          <w:rFonts w:ascii="Times New Roman" w:eastAsiaTheme="minorEastAsia" w:hAnsi="Times New Roman" w:cs="Times New Roman"/>
          <w:i/>
          <w:sz w:val="24"/>
          <w:szCs w:val="24"/>
        </w:rPr>
        <w:t>family_expenditure</w:t>
      </w:r>
      <w:r w:rsidR="00005CDD" w:rsidRPr="00A55DA0">
        <w:rPr>
          <w:rFonts w:ascii="Times New Roman" w:eastAsiaTheme="minorEastAsia" w:hAnsi="Times New Roman" w:cs="Times New Roman"/>
          <w:sz w:val="24"/>
          <w:szCs w:val="24"/>
        </w:rPr>
        <w:t xml:space="preserve"> – wydatki budżetów powiatów</w:t>
      </w:r>
      <w:r w:rsidR="00A55DA0">
        <w:rPr>
          <w:rFonts w:ascii="Times New Roman" w:eastAsiaTheme="minorEastAsia" w:hAnsi="Times New Roman" w:cs="Times New Roman"/>
          <w:sz w:val="24"/>
          <w:szCs w:val="24"/>
        </w:rPr>
        <w:t xml:space="preserve"> (i miast na prawach powiatu) w </w:t>
      </w:r>
      <w:r w:rsidR="00005CDD" w:rsidRPr="00A55DA0">
        <w:rPr>
          <w:rFonts w:ascii="Times New Roman" w:eastAsiaTheme="minorEastAsia" w:hAnsi="Times New Roman" w:cs="Times New Roman"/>
          <w:sz w:val="24"/>
          <w:szCs w:val="24"/>
        </w:rPr>
        <w:t>dziale 855 – Rodzina w przeliczeniu na jednego mieszkańca.</w:t>
      </w:r>
      <w:r w:rsidR="00A55DA0">
        <w:rPr>
          <w:rFonts w:ascii="Times New Roman" w:eastAsiaTheme="minorEastAsia" w:hAnsi="Times New Roman" w:cs="Times New Roman"/>
          <w:sz w:val="24"/>
          <w:szCs w:val="24"/>
        </w:rPr>
        <w:t xml:space="preserve"> Zmienna wyrażona w </w:t>
      </w:r>
      <w:r w:rsidR="00742D6A" w:rsidRPr="00A55DA0">
        <w:rPr>
          <w:rFonts w:ascii="Times New Roman" w:eastAsiaTheme="minorEastAsia" w:hAnsi="Times New Roman" w:cs="Times New Roman"/>
          <w:sz w:val="24"/>
          <w:szCs w:val="24"/>
        </w:rPr>
        <w:t>złotych polskich.</w:t>
      </w:r>
    </w:p>
    <w:p w:rsidR="00572B40" w:rsidRPr="008A38F9" w:rsidRDefault="00005CDD" w:rsidP="008A38F9">
      <w:pPr>
        <w:pStyle w:val="Akapitzlist"/>
        <w:spacing w:line="360" w:lineRule="auto"/>
        <w:rPr>
          <w:rFonts w:eastAsiaTheme="minorEastAsia"/>
          <w:sz w:val="24"/>
        </w:rPr>
      </w:pPr>
      <m:oMathPara>
        <m:oMath>
          <m:r>
            <w:rPr>
              <w:rFonts w:ascii="Cambria Math" w:hAnsi="Cambria Math"/>
              <w:sz w:val="24"/>
            </w:rPr>
            <m:t xml:space="preserve">family.expenditure= </m:t>
          </m:r>
          <m:f>
            <m:fPr>
              <m:ctrlPr>
                <w:rPr>
                  <w:rFonts w:ascii="Cambria Math" w:hAnsi="Cambria Math"/>
                  <w:i/>
                  <w:sz w:val="24"/>
                </w:rPr>
              </m:ctrlPr>
            </m:fPr>
            <m:num>
              <m:r>
                <w:rPr>
                  <w:rFonts w:ascii="Cambria Math" w:hAnsi="Cambria Math"/>
                  <w:sz w:val="24"/>
                </w:rPr>
                <m:t>wydatki na rodzinę ogółem</m:t>
              </m:r>
            </m:num>
            <m:den>
              <m:r>
                <w:rPr>
                  <w:rFonts w:ascii="Cambria Math" w:hAnsi="Cambria Math"/>
                  <w:sz w:val="24"/>
                </w:rPr>
                <m:t>liczba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children</w:t>
      </w:r>
      <w:r w:rsidR="00005CDD" w:rsidRPr="00A55DA0">
        <w:rPr>
          <w:rFonts w:ascii="Times New Roman" w:eastAsiaTheme="minorEastAsia" w:hAnsi="Times New Roman" w:cs="Times New Roman"/>
          <w:sz w:val="24"/>
        </w:rPr>
        <w:t xml:space="preserve"> – liczba osób w przedziale wiekowym 0 – 2  w danym powiecie.</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nursery_places</w:t>
      </w:r>
      <w:r w:rsidR="00005CDD" w:rsidRPr="00A55DA0">
        <w:rPr>
          <w:rFonts w:ascii="Times New Roman" w:eastAsiaTheme="minorEastAsia" w:hAnsi="Times New Roman" w:cs="Times New Roman"/>
          <w:sz w:val="24"/>
        </w:rPr>
        <w:t xml:space="preserve"> – miejsca w żłobkach, oddziałach żłobków i klubach dziecięcych.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doctors</w:t>
      </w:r>
      <w:r w:rsidR="00005CDD" w:rsidRPr="00A55DA0">
        <w:rPr>
          <w:rFonts w:ascii="Times New Roman" w:eastAsiaTheme="minorEastAsia" w:hAnsi="Times New Roman" w:cs="Times New Roman"/>
          <w:sz w:val="24"/>
        </w:rPr>
        <w:t xml:space="preserve"> – personel pracujący w sektorze ochrony zdrowia na 10 tysięcy ludności.</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urbanisation_rate</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współczynnik urbanizacji określa</w:t>
      </w:r>
      <w:r w:rsidR="00A55DA0">
        <w:rPr>
          <w:rFonts w:ascii="Times New Roman" w:eastAsiaTheme="minorEastAsia" w:hAnsi="Times New Roman" w:cs="Times New Roman"/>
          <w:sz w:val="24"/>
        </w:rPr>
        <w:t>jący udział mieszkańców miast w </w:t>
      </w:r>
      <w:r w:rsidR="00742D6A" w:rsidRPr="00A55DA0">
        <w:rPr>
          <w:rFonts w:ascii="Times New Roman" w:eastAsiaTheme="minorEastAsia" w:hAnsi="Times New Roman" w:cs="Times New Roman"/>
          <w:sz w:val="24"/>
        </w:rPr>
        <w:t>liczbie ludności powiatu (lub miasta na prawach powiatu).</w:t>
      </w:r>
    </w:p>
    <w:p w:rsid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i/>
          <w:sz w:val="24"/>
        </w:rPr>
        <w:t>bus_stops</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liczba przystanków autobusowych (z trolejbusowymi) i tramwajowych.</w:t>
      </w:r>
    </w:p>
    <w:p w:rsidR="008A38F9" w:rsidRPr="008A38F9" w:rsidRDefault="008A38F9" w:rsidP="008A38F9">
      <w:pPr>
        <w:pStyle w:val="Akapitzlist"/>
        <w:spacing w:line="360" w:lineRule="auto"/>
        <w:jc w:val="both"/>
        <w:rPr>
          <w:rFonts w:ascii="Times New Roman" w:eastAsiaTheme="minorEastAsia" w:hAnsi="Times New Roman" w:cs="Times New Roman"/>
          <w:sz w:val="24"/>
        </w:rPr>
      </w:pPr>
    </w:p>
    <w:p w:rsidR="00802A8B" w:rsidRDefault="002119C2" w:rsidP="008A38F9">
      <w:pPr>
        <w:spacing w:after="0"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 xml:space="preserve">3.3. </w:t>
      </w:r>
      <w:r w:rsidR="00064470" w:rsidRPr="008A38F9">
        <w:rPr>
          <w:rFonts w:ascii="Times New Roman" w:eastAsiaTheme="minorEastAsia" w:hAnsi="Times New Roman" w:cs="Times New Roman"/>
          <w:b/>
          <w:sz w:val="24"/>
        </w:rPr>
        <w:t xml:space="preserve">Statystyczna analiza </w:t>
      </w:r>
      <w:r w:rsidR="00A90BC0" w:rsidRPr="008A38F9">
        <w:rPr>
          <w:rFonts w:ascii="Times New Roman" w:eastAsiaTheme="minorEastAsia" w:hAnsi="Times New Roman" w:cs="Times New Roman"/>
          <w:b/>
          <w:sz w:val="24"/>
        </w:rPr>
        <w:t xml:space="preserve">wybranych </w:t>
      </w:r>
      <w:r w:rsidR="00064470" w:rsidRPr="008A38F9">
        <w:rPr>
          <w:rFonts w:ascii="Times New Roman" w:eastAsiaTheme="minorEastAsia" w:hAnsi="Times New Roman" w:cs="Times New Roman"/>
          <w:b/>
          <w:sz w:val="24"/>
        </w:rPr>
        <w:t>zmiennych</w:t>
      </w:r>
    </w:p>
    <w:p w:rsidR="008A38F9" w:rsidRPr="008A38F9" w:rsidRDefault="008A38F9" w:rsidP="008A38F9">
      <w:pPr>
        <w:spacing w:after="0" w:line="360" w:lineRule="auto"/>
        <w:jc w:val="both"/>
        <w:rPr>
          <w:rFonts w:ascii="Times New Roman" w:eastAsiaTheme="minorEastAsia" w:hAnsi="Times New Roman" w:cs="Times New Roman"/>
          <w:b/>
          <w:sz w:val="24"/>
        </w:rPr>
      </w:pPr>
    </w:p>
    <w:p w:rsidR="00064470" w:rsidRPr="008A38F9" w:rsidRDefault="002119C2" w:rsidP="008A38F9">
      <w:pPr>
        <w:spacing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3.3</w:t>
      </w:r>
      <w:r w:rsidR="00064470" w:rsidRPr="008A38F9">
        <w:rPr>
          <w:rFonts w:ascii="Times New Roman" w:eastAsiaTheme="minorEastAsia" w:hAnsi="Times New Roman" w:cs="Times New Roman"/>
          <w:b/>
          <w:sz w:val="24"/>
        </w:rPr>
        <w:t>.</w:t>
      </w:r>
      <w:r w:rsidRPr="008A38F9">
        <w:rPr>
          <w:rFonts w:ascii="Times New Roman" w:eastAsiaTheme="minorEastAsia" w:hAnsi="Times New Roman" w:cs="Times New Roman"/>
          <w:b/>
          <w:sz w:val="24"/>
        </w:rPr>
        <w:t>1.</w:t>
      </w:r>
      <w:r w:rsidR="00064470" w:rsidRPr="008A38F9">
        <w:rPr>
          <w:rFonts w:ascii="Times New Roman" w:eastAsiaTheme="minorEastAsia" w:hAnsi="Times New Roman" w:cs="Times New Roman"/>
          <w:b/>
          <w:sz w:val="24"/>
        </w:rPr>
        <w:t xml:space="preserve"> Zmienna objaśniana – współczynnik urodzeń</w:t>
      </w:r>
      <w:r w:rsidR="00B1700A" w:rsidRPr="008A38F9">
        <w:rPr>
          <w:rFonts w:ascii="Times New Roman" w:eastAsiaTheme="minorEastAsia" w:hAnsi="Times New Roman" w:cs="Times New Roman"/>
          <w:b/>
          <w:sz w:val="24"/>
        </w:rPr>
        <w:t xml:space="preserve"> (</w:t>
      </w:r>
      <w:r w:rsidR="00B1700A" w:rsidRPr="008A38F9">
        <w:rPr>
          <w:rFonts w:ascii="Times New Roman" w:eastAsiaTheme="minorEastAsia" w:hAnsi="Times New Roman" w:cs="Times New Roman"/>
          <w:b/>
          <w:i/>
          <w:sz w:val="24"/>
        </w:rPr>
        <w:t>birth_rate</w:t>
      </w:r>
      <w:r w:rsidR="00B1700A" w:rsidRPr="008A38F9">
        <w:rPr>
          <w:rFonts w:ascii="Times New Roman" w:eastAsiaTheme="minorEastAsia" w:hAnsi="Times New Roman" w:cs="Times New Roman"/>
          <w:b/>
          <w:sz w:val="24"/>
        </w:rPr>
        <w:t>)</w:t>
      </w:r>
    </w:p>
    <w:p w:rsidR="00B1700A" w:rsidRPr="008A38F9" w:rsidRDefault="005B270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r>
      <w:r w:rsidR="008A38F9">
        <w:rPr>
          <w:rFonts w:ascii="Times New Roman" w:eastAsiaTheme="minorEastAsia" w:hAnsi="Times New Roman" w:cs="Times New Roman"/>
          <w:sz w:val="24"/>
        </w:rPr>
        <w:t>Rysunek 2</w:t>
      </w:r>
      <w:r w:rsidR="00A3190D" w:rsidRPr="008A38F9">
        <w:rPr>
          <w:rFonts w:ascii="Times New Roman" w:eastAsiaTheme="minorEastAsia" w:hAnsi="Times New Roman" w:cs="Times New Roman"/>
          <w:sz w:val="24"/>
        </w:rPr>
        <w:t>. przedstawia histogramy zmiennej objaśnianej modelu ekonometrycznego</w:t>
      </w:r>
      <w:r w:rsidR="008A38F9">
        <w:rPr>
          <w:rFonts w:ascii="Times New Roman" w:eastAsiaTheme="minorEastAsia" w:hAnsi="Times New Roman" w:cs="Times New Roman"/>
          <w:sz w:val="24"/>
        </w:rPr>
        <w:t xml:space="preserve"> w </w:t>
      </w:r>
      <w:r w:rsidR="00A3190D" w:rsidRPr="008A38F9">
        <w:rPr>
          <w:rFonts w:ascii="Times New Roman" w:eastAsiaTheme="minorEastAsia" w:hAnsi="Times New Roman" w:cs="Times New Roman"/>
          <w:sz w:val="24"/>
        </w:rPr>
        <w:t xml:space="preserve">wersji podstawowej </w:t>
      </w:r>
      <w:r w:rsidR="00A3190D" w:rsidRPr="008A38F9">
        <w:rPr>
          <w:rFonts w:ascii="Times New Roman" w:eastAsiaTheme="minorEastAsia" w:hAnsi="Times New Roman" w:cs="Times New Roman"/>
          <w:i/>
          <w:sz w:val="24"/>
        </w:rPr>
        <w:t>birth_rate</w:t>
      </w:r>
      <w:r w:rsidR="00A3190D" w:rsidRPr="008A38F9">
        <w:rPr>
          <w:rFonts w:ascii="Times New Roman" w:eastAsiaTheme="minorEastAsia" w:hAnsi="Times New Roman" w:cs="Times New Roman"/>
          <w:sz w:val="24"/>
        </w:rPr>
        <w:t xml:space="preserve"> oraz</w:t>
      </w:r>
      <w:r w:rsidR="009C249B" w:rsidRPr="008A38F9">
        <w:rPr>
          <w:rFonts w:ascii="Times New Roman" w:eastAsiaTheme="minorEastAsia" w:hAnsi="Times New Roman" w:cs="Times New Roman"/>
          <w:sz w:val="24"/>
        </w:rPr>
        <w:t xml:space="preserve"> zlogarytmowanej </w:t>
      </w:r>
      <w:r w:rsidR="009C249B" w:rsidRPr="008A38F9">
        <w:rPr>
          <w:rFonts w:ascii="Times New Roman" w:eastAsiaTheme="minorEastAsia" w:hAnsi="Times New Roman" w:cs="Times New Roman"/>
          <w:i/>
          <w:sz w:val="24"/>
        </w:rPr>
        <w:t>ln_birth_rate</w:t>
      </w:r>
      <w:r w:rsidR="009C249B" w:rsidRPr="008A38F9">
        <w:rPr>
          <w:rFonts w:ascii="Times New Roman" w:eastAsiaTheme="minorEastAsia" w:hAnsi="Times New Roman" w:cs="Times New Roman"/>
          <w:sz w:val="24"/>
        </w:rPr>
        <w:t>.</w:t>
      </w:r>
      <w:r w:rsidR="0034165C" w:rsidRPr="008A38F9">
        <w:rPr>
          <w:rFonts w:ascii="Times New Roman" w:eastAsiaTheme="minorEastAsia" w:hAnsi="Times New Roman" w:cs="Times New Roman"/>
          <w:sz w:val="24"/>
        </w:rPr>
        <w:t xml:space="preserve"> Zmienna przyjmuje wartości od 5,45 do 15,43 (co możemy odczytać z tabeli z podstawowymi statystkami zmiennych umieszczonej w Załączniku 1.), natomiast najczęściej odnotowywane wartości znajdują się w przedziale od 8 do 9.</w:t>
      </w:r>
      <w:r w:rsidR="00802A8B" w:rsidRPr="008A38F9">
        <w:rPr>
          <w:rFonts w:ascii="Times New Roman" w:eastAsiaTheme="minorEastAsia" w:hAnsi="Times New Roman" w:cs="Times New Roman"/>
          <w:sz w:val="24"/>
        </w:rPr>
        <w:t xml:space="preserve"> </w:t>
      </w:r>
      <w:r w:rsidR="00E27D5A" w:rsidRPr="008A38F9">
        <w:rPr>
          <w:rFonts w:ascii="Times New Roman" w:eastAsiaTheme="minorEastAsia" w:hAnsi="Times New Roman" w:cs="Times New Roman"/>
          <w:sz w:val="24"/>
        </w:rPr>
        <w:tab/>
      </w:r>
      <w:r w:rsidR="00802A8B" w:rsidRPr="008A38F9">
        <w:rPr>
          <w:rFonts w:ascii="Times New Roman" w:eastAsiaTheme="minorEastAsia" w:hAnsi="Times New Roman" w:cs="Times New Roman"/>
          <w:sz w:val="24"/>
        </w:rPr>
        <w:t>Oba histogramy są zbliżone do rozkładu normalnego, dlatego</w:t>
      </w:r>
      <w:r w:rsidR="006F479C" w:rsidRPr="008A38F9">
        <w:rPr>
          <w:rFonts w:ascii="Times New Roman" w:eastAsiaTheme="minorEastAsia" w:hAnsi="Times New Roman" w:cs="Times New Roman"/>
          <w:sz w:val="24"/>
        </w:rPr>
        <w:t xml:space="preserve"> zmienna zależna w wersji podstawowej i zlogarytmo</w:t>
      </w:r>
      <w:r w:rsidR="008A38F9">
        <w:rPr>
          <w:rFonts w:ascii="Times New Roman" w:eastAsiaTheme="minorEastAsia" w:hAnsi="Times New Roman" w:cs="Times New Roman"/>
          <w:sz w:val="24"/>
        </w:rPr>
        <w:t>wanej została przetestowana pod </w:t>
      </w:r>
      <w:r w:rsidR="006F479C" w:rsidRPr="008A38F9">
        <w:rPr>
          <w:rFonts w:ascii="Times New Roman" w:eastAsiaTheme="minorEastAsia" w:hAnsi="Times New Roman" w:cs="Times New Roman"/>
          <w:sz w:val="24"/>
        </w:rPr>
        <w:t>względem dopasowania do rozkładu normalnego za pomocą testu Jarque-Bera.</w:t>
      </w:r>
      <w:r w:rsidR="00802A8B" w:rsidRPr="008A38F9">
        <w:rPr>
          <w:rFonts w:ascii="Times New Roman" w:eastAsiaTheme="minorEastAsia" w:hAnsi="Times New Roman" w:cs="Times New Roman"/>
          <w:sz w:val="24"/>
        </w:rPr>
        <w:t xml:space="preserve"> </w:t>
      </w:r>
      <w:r w:rsidR="006F479C" w:rsidRPr="008A38F9">
        <w:rPr>
          <w:rFonts w:ascii="Times New Roman" w:eastAsiaTheme="minorEastAsia" w:hAnsi="Times New Roman" w:cs="Times New Roman"/>
          <w:sz w:val="24"/>
        </w:rPr>
        <w:t>Wyniki</w:t>
      </w:r>
      <w:r w:rsidR="00497F39" w:rsidRPr="008A38F9">
        <w:rPr>
          <w:rFonts w:ascii="Times New Roman" w:eastAsiaTheme="minorEastAsia" w:hAnsi="Times New Roman" w:cs="Times New Roman"/>
          <w:sz w:val="24"/>
        </w:rPr>
        <w:t xml:space="preserve"> przeprowadzonych testów wskazały, że nie ma podstaw do odrzucenia hipotezy zerowej stanowiącej o rozkładzie normalnym dla zmiennej w postaci zlogarytmowanej –</w:t>
      </w:r>
      <w:r w:rsidR="00497F39" w:rsidRPr="008A38F9">
        <w:rPr>
          <w:rFonts w:ascii="Times New Roman" w:eastAsiaTheme="minorEastAsia" w:hAnsi="Times New Roman" w:cs="Times New Roman"/>
          <w:i/>
          <w:sz w:val="24"/>
        </w:rPr>
        <w:t xml:space="preserve"> ln_birth_rate </w:t>
      </w:r>
      <w:r w:rsidR="00497F39" w:rsidRPr="008A38F9">
        <w:rPr>
          <w:rFonts w:ascii="Times New Roman" w:eastAsiaTheme="minorEastAsia" w:hAnsi="Times New Roman" w:cs="Times New Roman"/>
          <w:sz w:val="24"/>
        </w:rPr>
        <w:t xml:space="preserve">(p-value = 0.06457). W przypadku zmiennej </w:t>
      </w:r>
      <w:r w:rsidR="00497F39" w:rsidRPr="008A38F9">
        <w:rPr>
          <w:rFonts w:ascii="Times New Roman" w:eastAsiaTheme="minorEastAsia" w:hAnsi="Times New Roman" w:cs="Times New Roman"/>
          <w:i/>
          <w:sz w:val="24"/>
        </w:rPr>
        <w:t>birth_rate</w:t>
      </w:r>
      <w:r w:rsidR="00497F39" w:rsidRPr="008A38F9">
        <w:rPr>
          <w:rFonts w:ascii="Times New Roman" w:eastAsiaTheme="minorEastAsia" w:hAnsi="Times New Roman" w:cs="Times New Roman"/>
          <w:sz w:val="24"/>
        </w:rPr>
        <w:t xml:space="preserve"> hipoteza została odrzucona.</w:t>
      </w:r>
      <w:r w:rsidR="00174B5A" w:rsidRPr="008A38F9">
        <w:rPr>
          <w:rFonts w:ascii="Times New Roman" w:eastAsiaTheme="minorEastAsia" w:hAnsi="Times New Roman" w:cs="Times New Roman"/>
          <w:sz w:val="24"/>
        </w:rPr>
        <w:t xml:space="preserve"> Zatem w modelu wykorzystano zmienną </w:t>
      </w:r>
      <w:r w:rsidR="00174B5A" w:rsidRPr="008A38F9">
        <w:rPr>
          <w:rFonts w:ascii="Times New Roman" w:eastAsiaTheme="minorEastAsia" w:hAnsi="Times New Roman" w:cs="Times New Roman"/>
          <w:i/>
          <w:sz w:val="24"/>
        </w:rPr>
        <w:t>ln_birth_rate</w:t>
      </w:r>
      <w:r w:rsidR="00174B5A" w:rsidRPr="008A38F9">
        <w:rPr>
          <w:rFonts w:ascii="Times New Roman" w:eastAsiaTheme="minorEastAsia" w:hAnsi="Times New Roman" w:cs="Times New Roman"/>
          <w:sz w:val="24"/>
        </w:rPr>
        <w:t>.</w:t>
      </w:r>
    </w:p>
    <w:p w:rsidR="00BD1EB4" w:rsidRDefault="00BD1EB4" w:rsidP="008A38F9">
      <w:p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 xml:space="preserve">Warto zaznaczyć, że Dettling i Kearney (2014) w swoim równaniu regresji </w:t>
      </w:r>
      <w:r w:rsidR="00666289" w:rsidRPr="008A38F9">
        <w:rPr>
          <w:rFonts w:ascii="Times New Roman" w:eastAsiaTheme="minorEastAsia" w:hAnsi="Times New Roman" w:cs="Times New Roman"/>
          <w:sz w:val="24"/>
        </w:rPr>
        <w:t xml:space="preserve">używają logarytmu ze </w:t>
      </w:r>
      <w:r w:rsidRPr="008A38F9">
        <w:rPr>
          <w:rFonts w:ascii="Times New Roman" w:eastAsiaTheme="minorEastAsia" w:hAnsi="Times New Roman" w:cs="Times New Roman"/>
          <w:sz w:val="24"/>
        </w:rPr>
        <w:t xml:space="preserve">współczynnika dzietności </w:t>
      </w:r>
      <w:r w:rsidR="00666289" w:rsidRPr="008A38F9">
        <w:rPr>
          <w:rFonts w:ascii="Times New Roman" w:eastAsiaTheme="minorEastAsia" w:hAnsi="Times New Roman" w:cs="Times New Roman"/>
          <w:sz w:val="24"/>
        </w:rPr>
        <w:t>jako zmiennej objaśnianej, dlatego warto wykorzystać tę myśl i użyć podobnego rozumowania w niniejszej pracy w kontekście modelowania logarytmu współczynnika urodzeń.</w:t>
      </w:r>
    </w:p>
    <w:p w:rsidR="008A38F9" w:rsidRPr="008A38F9" w:rsidRDefault="008A38F9" w:rsidP="008A38F9">
      <w:pPr>
        <w:spacing w:line="360" w:lineRule="auto"/>
        <w:jc w:val="both"/>
        <w:rPr>
          <w:rFonts w:ascii="Times New Roman" w:eastAsiaTheme="minorEastAsia" w:hAnsi="Times New Roman" w:cs="Times New Roman"/>
          <w:sz w:val="24"/>
        </w:rPr>
      </w:pPr>
    </w:p>
    <w:p w:rsidR="00B1700A" w:rsidRDefault="008A38F9"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8A38F9">
        <w:rPr>
          <w:rFonts w:ascii="Times New Roman" w:eastAsia="Times New Roman" w:hAnsi="Times New Roman" w:cs="Times New Roman"/>
          <w:sz w:val="24"/>
          <w:szCs w:val="24"/>
          <w:lang w:eastAsia="pl-PL"/>
        </w:rPr>
        <w:t>Rys. 2</w:t>
      </w:r>
      <w:r w:rsidR="00B1700A" w:rsidRPr="008A38F9">
        <w:rPr>
          <w:rFonts w:ascii="Times New Roman" w:eastAsia="Times New Roman" w:hAnsi="Times New Roman" w:cs="Times New Roman"/>
          <w:sz w:val="24"/>
          <w:szCs w:val="24"/>
          <w:lang w:eastAsia="pl-PL"/>
        </w:rPr>
        <w:t xml:space="preserve">. Histogramy współczynnika urodzeń (zmienna bez logarytmu – </w:t>
      </w:r>
      <w:r w:rsidR="00B1700A" w:rsidRPr="008A38F9">
        <w:rPr>
          <w:rFonts w:ascii="Times New Roman" w:eastAsia="Times New Roman" w:hAnsi="Times New Roman" w:cs="Times New Roman"/>
          <w:i/>
          <w:sz w:val="24"/>
          <w:szCs w:val="24"/>
          <w:lang w:eastAsia="pl-PL"/>
        </w:rPr>
        <w:t>birth_rate</w:t>
      </w:r>
      <w:r w:rsidR="00B1700A" w:rsidRPr="008A38F9">
        <w:rPr>
          <w:rFonts w:ascii="Times New Roman" w:eastAsia="Times New Roman" w:hAnsi="Times New Roman" w:cs="Times New Roman"/>
          <w:sz w:val="24"/>
          <w:szCs w:val="24"/>
          <w:lang w:eastAsia="pl-PL"/>
        </w:rPr>
        <w:t xml:space="preserve"> i  zmienna zlogarytmowana – </w:t>
      </w:r>
      <w:r w:rsidR="00B1700A" w:rsidRPr="008A38F9">
        <w:rPr>
          <w:rFonts w:ascii="Times New Roman" w:eastAsia="Times New Roman" w:hAnsi="Times New Roman" w:cs="Times New Roman"/>
          <w:i/>
          <w:sz w:val="24"/>
          <w:szCs w:val="24"/>
          <w:lang w:eastAsia="pl-PL"/>
        </w:rPr>
        <w:t>ln_birth_rate</w:t>
      </w:r>
      <w:r w:rsidR="00B1700A" w:rsidRPr="008A38F9">
        <w:rPr>
          <w:rFonts w:ascii="Times New Roman" w:eastAsia="Times New Roman" w:hAnsi="Times New Roman" w:cs="Times New Roman"/>
          <w:sz w:val="24"/>
          <w:szCs w:val="24"/>
          <w:lang w:eastAsia="pl-PL"/>
        </w:rPr>
        <w:t>)</w:t>
      </w:r>
    </w:p>
    <w:p w:rsidR="008A38F9" w:rsidRPr="008A38F9" w:rsidRDefault="008A38F9"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B1700A" w:rsidRDefault="00B1700A" w:rsidP="00B1700A">
      <w:pPr>
        <w:rPr>
          <w:rFonts w:eastAsiaTheme="minorEastAsia"/>
        </w:rPr>
      </w:pPr>
      <w:r>
        <w:rPr>
          <w:rFonts w:eastAsiaTheme="minorEastAsia"/>
          <w:noProof/>
          <w:lang w:eastAsia="pl-PL"/>
        </w:rPr>
        <w:drawing>
          <wp:inline distT="0" distB="0" distL="0" distR="0">
            <wp:extent cx="5760720" cy="28803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th 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5429B8" w:rsidRDefault="00B1700A" w:rsidP="00497F39">
      <w:pPr>
        <w:tabs>
          <w:tab w:val="left" w:pos="8738"/>
        </w:tabs>
        <w:ind w:left="720" w:hanging="720"/>
        <w:jc w:val="both"/>
        <w:rPr>
          <w:rFonts w:ascii="Times New Roman" w:hAnsi="Times New Roman" w:cs="Times New Roman"/>
          <w:sz w:val="20"/>
          <w:szCs w:val="20"/>
        </w:rPr>
      </w:pPr>
      <w:r w:rsidRPr="008A38F9">
        <w:rPr>
          <w:rFonts w:ascii="Times New Roman" w:hAnsi="Times New Roman" w:cs="Times New Roman"/>
          <w:i/>
          <w:sz w:val="20"/>
          <w:szCs w:val="20"/>
        </w:rPr>
        <w:t xml:space="preserve">Źródło: </w:t>
      </w:r>
      <w:r w:rsidR="005B2700" w:rsidRPr="008A38F9">
        <w:rPr>
          <w:rFonts w:ascii="Times New Roman" w:hAnsi="Times New Roman" w:cs="Times New Roman"/>
          <w:sz w:val="20"/>
          <w:szCs w:val="20"/>
        </w:rPr>
        <w:t xml:space="preserve">Opracowanie własne na podstawie danych </w:t>
      </w:r>
      <w:r w:rsidR="005B2700" w:rsidRPr="008A38F9">
        <w:rPr>
          <w:rFonts w:ascii="Times New Roman" w:hAnsi="Times New Roman" w:cs="Times New Roman"/>
          <w:i/>
          <w:sz w:val="20"/>
          <w:szCs w:val="20"/>
        </w:rPr>
        <w:t>Banku Danych Lokalnych</w:t>
      </w:r>
      <w:r w:rsidR="009C249B" w:rsidRPr="008A38F9">
        <w:rPr>
          <w:rFonts w:ascii="Times New Roman" w:hAnsi="Times New Roman" w:cs="Times New Roman"/>
          <w:sz w:val="20"/>
          <w:szCs w:val="20"/>
        </w:rPr>
        <w:t xml:space="preserve"> z wykorzystaniem biblioteki </w:t>
      </w:r>
      <w:r w:rsidR="009C249B" w:rsidRPr="008A38F9">
        <w:rPr>
          <w:rFonts w:ascii="Times New Roman" w:hAnsi="Times New Roman" w:cs="Times New Roman"/>
          <w:i/>
          <w:sz w:val="20"/>
          <w:szCs w:val="20"/>
        </w:rPr>
        <w:t>rcompanion</w:t>
      </w:r>
      <w:r w:rsidR="009C249B" w:rsidRPr="008A38F9">
        <w:rPr>
          <w:rFonts w:ascii="Times New Roman" w:hAnsi="Times New Roman" w:cs="Times New Roman"/>
          <w:sz w:val="20"/>
          <w:szCs w:val="20"/>
        </w:rPr>
        <w:t>.</w:t>
      </w:r>
    </w:p>
    <w:p w:rsidR="008A38F9" w:rsidRPr="008A38F9" w:rsidRDefault="008A38F9" w:rsidP="00497F39">
      <w:pPr>
        <w:tabs>
          <w:tab w:val="left" w:pos="8738"/>
        </w:tabs>
        <w:ind w:left="720" w:hanging="720"/>
        <w:jc w:val="both"/>
        <w:rPr>
          <w:rFonts w:ascii="Times New Roman" w:hAnsi="Times New Roman" w:cs="Times New Roman"/>
          <w:sz w:val="20"/>
          <w:szCs w:val="20"/>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C62F74" w:rsidRPr="00287406" w:rsidRDefault="002119C2" w:rsidP="00287406">
      <w:pPr>
        <w:spacing w:line="360" w:lineRule="auto"/>
        <w:jc w:val="both"/>
        <w:rPr>
          <w:rFonts w:ascii="Times New Roman" w:eastAsiaTheme="minorEastAsia" w:hAnsi="Times New Roman" w:cs="Times New Roman"/>
          <w:b/>
          <w:sz w:val="24"/>
        </w:rPr>
      </w:pPr>
      <w:r w:rsidRPr="00287406">
        <w:rPr>
          <w:rFonts w:ascii="Times New Roman" w:eastAsiaTheme="minorEastAsia" w:hAnsi="Times New Roman" w:cs="Times New Roman"/>
          <w:b/>
          <w:sz w:val="24"/>
        </w:rPr>
        <w:t>3.3.2.</w:t>
      </w:r>
      <w:r w:rsidR="00C62F74" w:rsidRPr="00287406">
        <w:rPr>
          <w:rFonts w:ascii="Times New Roman" w:eastAsiaTheme="minorEastAsia" w:hAnsi="Times New Roman" w:cs="Times New Roman"/>
          <w:b/>
          <w:sz w:val="24"/>
        </w:rPr>
        <w:t xml:space="preserve"> Zmienne objaśniające</w:t>
      </w:r>
    </w:p>
    <w:p w:rsidR="00497F39" w:rsidRPr="00287406" w:rsidRDefault="00AE4F69" w:rsidP="00287406">
      <w:pPr>
        <w:spacing w:line="360" w:lineRule="auto"/>
        <w:jc w:val="both"/>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84582E" w:rsidRPr="00287406">
        <w:rPr>
          <w:rFonts w:ascii="Times New Roman" w:eastAsiaTheme="minorEastAsia" w:hAnsi="Times New Roman" w:cs="Times New Roman"/>
          <w:sz w:val="24"/>
          <w:u w:val="single"/>
        </w:rPr>
        <w:t xml:space="preserve"> pandemię COVID-19 </w:t>
      </w:r>
      <w:r w:rsidR="00174B5A" w:rsidRPr="00287406">
        <w:rPr>
          <w:rFonts w:ascii="Times New Roman" w:eastAsiaTheme="minorEastAsia" w:hAnsi="Times New Roman" w:cs="Times New Roman"/>
          <w:sz w:val="24"/>
          <w:u w:val="single"/>
        </w:rPr>
        <w:t>(</w:t>
      </w:r>
      <w:r w:rsidR="0084582E" w:rsidRPr="00287406">
        <w:rPr>
          <w:rFonts w:ascii="Times New Roman" w:eastAsiaTheme="minorEastAsia" w:hAnsi="Times New Roman" w:cs="Times New Roman"/>
          <w:i/>
          <w:sz w:val="24"/>
          <w:u w:val="single"/>
        </w:rPr>
        <w:t>covid19_deaths</w:t>
      </w:r>
      <w:r w:rsidR="00174B5A" w:rsidRPr="00287406">
        <w:rPr>
          <w:rFonts w:ascii="Times New Roman" w:eastAsiaTheme="minorEastAsia" w:hAnsi="Times New Roman" w:cs="Times New Roman"/>
          <w:sz w:val="24"/>
          <w:u w:val="single"/>
        </w:rPr>
        <w:t>)</w:t>
      </w:r>
    </w:p>
    <w:p w:rsidR="00203B29" w:rsidRPr="00287406" w:rsidRDefault="00203B29" w:rsidP="00287406">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Jako jedną ze zmiennych objaśniających wpływ pandemii COVID-19 na współczynnik urodzeń zaproponowano sumę przypadków zachorowań na chorobę wywołaną wirusem SARS-CoV-2 w danym powiecie (lub mieście na prawach powiatu).</w:t>
      </w:r>
    </w:p>
    <w:p w:rsidR="00883A8B" w:rsidRDefault="00203B29" w:rsidP="00052555">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 xml:space="preserve">Na podstawie histogramu (Rys. 3.) można zaobserwować, że </w:t>
      </w:r>
      <w:r w:rsidR="00883A8B" w:rsidRPr="00287406">
        <w:rPr>
          <w:rFonts w:ascii="Times New Roman" w:eastAsiaTheme="minorEastAsia" w:hAnsi="Times New Roman" w:cs="Times New Roman"/>
          <w:sz w:val="24"/>
        </w:rPr>
        <w:t xml:space="preserve">mediana zmiennej znajdują </w:t>
      </w:r>
      <w:r w:rsidR="002014E5" w:rsidRPr="00287406">
        <w:rPr>
          <w:rFonts w:ascii="Times New Roman" w:eastAsiaTheme="minorEastAsia" w:hAnsi="Times New Roman" w:cs="Times New Roman"/>
          <w:sz w:val="24"/>
        </w:rPr>
        <w:t xml:space="preserve">się w przedziale między 0 a 18.75, </w:t>
      </w:r>
      <w:r w:rsidR="005A324C" w:rsidRPr="00287406">
        <w:rPr>
          <w:rFonts w:ascii="Times New Roman" w:eastAsiaTheme="minorEastAsia" w:hAnsi="Times New Roman" w:cs="Times New Roman"/>
          <w:sz w:val="24"/>
        </w:rPr>
        <w:t xml:space="preserve">a dokładniej wynosi 15. </w:t>
      </w:r>
      <w:r w:rsidR="002014E5" w:rsidRPr="00287406">
        <w:rPr>
          <w:rFonts w:ascii="Times New Roman" w:eastAsiaTheme="minorEastAsia" w:hAnsi="Times New Roman" w:cs="Times New Roman"/>
          <w:sz w:val="24"/>
        </w:rPr>
        <w:t xml:space="preserve">Średnia liczba zgonów w badanej próbce to 23.38. </w:t>
      </w:r>
      <w:r w:rsidR="005A324C" w:rsidRPr="00287406">
        <w:rPr>
          <w:rFonts w:ascii="Times New Roman" w:eastAsiaTheme="minorEastAsia" w:hAnsi="Times New Roman" w:cs="Times New Roman"/>
          <w:sz w:val="24"/>
        </w:rPr>
        <w:t xml:space="preserve">W przypadku zmiennej </w:t>
      </w:r>
      <w:r w:rsidR="005A324C" w:rsidRPr="00287406">
        <w:rPr>
          <w:rFonts w:ascii="Times New Roman" w:eastAsiaTheme="minorEastAsia" w:hAnsi="Times New Roman" w:cs="Times New Roman"/>
          <w:i/>
          <w:sz w:val="24"/>
        </w:rPr>
        <w:t xml:space="preserve">covid19_deaths </w:t>
      </w:r>
      <w:r w:rsidR="005A324C" w:rsidRPr="00287406">
        <w:rPr>
          <w:rFonts w:ascii="Times New Roman" w:eastAsiaTheme="minorEastAsia" w:hAnsi="Times New Roman" w:cs="Times New Roman"/>
          <w:sz w:val="24"/>
        </w:rPr>
        <w:t xml:space="preserve">obserwacje przyjmują wartości 0, a różnica między minimalną a maksymalną wartością wynosi 243. </w:t>
      </w:r>
      <w:r w:rsidR="006D7740" w:rsidRPr="00287406">
        <w:rPr>
          <w:rFonts w:ascii="Times New Roman" w:eastAsiaTheme="minorEastAsia" w:hAnsi="Times New Roman" w:cs="Times New Roman"/>
          <w:sz w:val="24"/>
        </w:rPr>
        <w:t>Może być to spowodowane zjawiskiem związanym z niedoszacowaniem wartości dla niektórych powiatów (lub miast na prawach powiatu).</w:t>
      </w:r>
    </w:p>
    <w:p w:rsidR="00287406" w:rsidRPr="00287406" w:rsidRDefault="00287406" w:rsidP="00052555">
      <w:pPr>
        <w:spacing w:after="0" w:line="360" w:lineRule="auto"/>
        <w:jc w:val="both"/>
        <w:rPr>
          <w:rFonts w:ascii="Times New Roman" w:eastAsiaTheme="minorEastAsia" w:hAnsi="Times New Roman" w:cs="Times New Roman"/>
          <w:sz w:val="24"/>
        </w:rPr>
      </w:pPr>
    </w:p>
    <w:p w:rsidR="00203B29" w:rsidRPr="00856532" w:rsidRDefault="00287406"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3</w:t>
      </w:r>
      <w:r w:rsidR="005A324C" w:rsidRPr="00856532">
        <w:rPr>
          <w:rFonts w:ascii="Times New Roman" w:eastAsia="Times New Roman" w:hAnsi="Times New Roman" w:cs="Times New Roman"/>
          <w:sz w:val="24"/>
          <w:szCs w:val="24"/>
          <w:lang w:eastAsia="pl-PL"/>
        </w:rPr>
        <w:t>. Histogram</w:t>
      </w:r>
      <w:r w:rsidR="002014E5" w:rsidRPr="00856532">
        <w:rPr>
          <w:rFonts w:ascii="Times New Roman" w:eastAsia="Times New Roman" w:hAnsi="Times New Roman" w:cs="Times New Roman"/>
          <w:sz w:val="24"/>
          <w:szCs w:val="24"/>
          <w:lang w:eastAsia="pl-PL"/>
        </w:rPr>
        <w:t xml:space="preserve"> zmiennej</w:t>
      </w:r>
      <w:r w:rsidR="005A324C" w:rsidRPr="00856532">
        <w:rPr>
          <w:rFonts w:ascii="Times New Roman" w:eastAsia="Times New Roman" w:hAnsi="Times New Roman" w:cs="Times New Roman"/>
          <w:sz w:val="24"/>
          <w:szCs w:val="24"/>
          <w:lang w:eastAsia="pl-PL"/>
        </w:rPr>
        <w:t>: covid19_deaths</w:t>
      </w:r>
    </w:p>
    <w:p w:rsidR="00203B29" w:rsidRPr="002014E5" w:rsidRDefault="002014E5" w:rsidP="00203B29">
      <w:pPr>
        <w:tabs>
          <w:tab w:val="left" w:pos="8738"/>
        </w:tabs>
        <w:ind w:left="720" w:hanging="720"/>
        <w:jc w:val="both"/>
        <w:rPr>
          <w:sz w:val="20"/>
          <w:szCs w:val="20"/>
          <w:lang w:val="en-GB"/>
        </w:rPr>
      </w:pPr>
      <w:r>
        <w:rPr>
          <w:noProof/>
          <w:sz w:val="20"/>
          <w:szCs w:val="20"/>
          <w:lang w:eastAsia="pl-PL"/>
        </w:rPr>
        <w:drawing>
          <wp:inline distT="0" distB="0" distL="0" distR="0">
            <wp:extent cx="5760720" cy="2880360"/>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vid19 death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03B29" w:rsidRPr="00287406" w:rsidRDefault="00203B29" w:rsidP="00287406">
      <w:pPr>
        <w:tabs>
          <w:tab w:val="left" w:pos="8738"/>
        </w:tabs>
        <w:spacing w:after="0"/>
        <w:ind w:left="720" w:hanging="720"/>
        <w:jc w:val="both"/>
        <w:rPr>
          <w:rFonts w:ascii="Times New Roman" w:hAnsi="Times New Roman" w:cs="Times New Roman"/>
          <w:sz w:val="20"/>
          <w:szCs w:val="20"/>
        </w:rPr>
      </w:pPr>
      <w:r w:rsidRPr="00287406">
        <w:rPr>
          <w:rFonts w:ascii="Times New Roman" w:hAnsi="Times New Roman" w:cs="Times New Roman"/>
          <w:i/>
          <w:sz w:val="20"/>
          <w:szCs w:val="20"/>
        </w:rPr>
        <w:t xml:space="preserve">Źródło: </w:t>
      </w:r>
      <w:r w:rsidRPr="00287406">
        <w:rPr>
          <w:rFonts w:ascii="Times New Roman" w:hAnsi="Times New Roman" w:cs="Times New Roman"/>
          <w:sz w:val="20"/>
          <w:szCs w:val="20"/>
        </w:rPr>
        <w:t xml:space="preserve">Opracowanie własne na podstawie danych </w:t>
      </w:r>
      <w:r w:rsidRPr="00287406">
        <w:rPr>
          <w:rFonts w:ascii="Times New Roman" w:hAnsi="Times New Roman" w:cs="Times New Roman"/>
          <w:i/>
          <w:sz w:val="20"/>
          <w:szCs w:val="20"/>
        </w:rPr>
        <w:t>Ministerstwa Zdrowia</w:t>
      </w:r>
      <w:r w:rsidRPr="00287406">
        <w:rPr>
          <w:rFonts w:ascii="Times New Roman" w:hAnsi="Times New Roman" w:cs="Times New Roman"/>
          <w:sz w:val="20"/>
          <w:szCs w:val="20"/>
        </w:rPr>
        <w:t xml:space="preserve"> z wykorzystaniem biblioteki </w:t>
      </w:r>
      <w:r w:rsidRPr="00287406">
        <w:rPr>
          <w:rFonts w:ascii="Times New Roman" w:hAnsi="Times New Roman" w:cs="Times New Roman"/>
          <w:i/>
          <w:sz w:val="20"/>
          <w:szCs w:val="20"/>
        </w:rPr>
        <w:t>rcompanion</w:t>
      </w:r>
      <w:r w:rsidRPr="00287406">
        <w:rPr>
          <w:rFonts w:ascii="Times New Roman" w:hAnsi="Times New Roman" w:cs="Times New Roman"/>
          <w:sz w:val="20"/>
          <w:szCs w:val="20"/>
        </w:rPr>
        <w:t>.</w:t>
      </w:r>
    </w:p>
    <w:p w:rsidR="00287406" w:rsidRPr="00287406" w:rsidRDefault="00287406" w:rsidP="00287406">
      <w:pPr>
        <w:tabs>
          <w:tab w:val="left" w:pos="8738"/>
        </w:tabs>
        <w:spacing w:after="0" w:line="360" w:lineRule="auto"/>
        <w:ind w:left="720" w:hanging="720"/>
        <w:jc w:val="both"/>
        <w:rPr>
          <w:rFonts w:ascii="Times New Roman" w:hAnsi="Times New Roman" w:cs="Times New Roman"/>
          <w:sz w:val="24"/>
          <w:szCs w:val="24"/>
        </w:rPr>
      </w:pPr>
    </w:p>
    <w:p w:rsidR="00287406" w:rsidRDefault="001C5341" w:rsidP="00D66922">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W celu zbadani</w:t>
      </w:r>
      <w:r w:rsidR="002014E5" w:rsidRPr="00287406">
        <w:rPr>
          <w:rFonts w:ascii="Times New Roman" w:eastAsiaTheme="minorEastAsia" w:hAnsi="Times New Roman" w:cs="Times New Roman"/>
          <w:sz w:val="24"/>
          <w:szCs w:val="24"/>
        </w:rPr>
        <w:t>a normalności rozkładu zmiennej związanej ze zgonami spowodowanymi wystąpieniem choroby COVID-19</w:t>
      </w:r>
      <w:r w:rsidRPr="00287406">
        <w:rPr>
          <w:rFonts w:ascii="Times New Roman" w:eastAsiaTheme="minorEastAsia" w:hAnsi="Times New Roman" w:cs="Times New Roman"/>
          <w:sz w:val="24"/>
          <w:szCs w:val="24"/>
        </w:rPr>
        <w:t xml:space="preserve"> </w:t>
      </w:r>
      <w:r w:rsidR="002014E5" w:rsidRPr="00287406">
        <w:rPr>
          <w:rFonts w:ascii="Times New Roman" w:eastAsiaTheme="minorEastAsia" w:hAnsi="Times New Roman" w:cs="Times New Roman"/>
          <w:sz w:val="24"/>
          <w:szCs w:val="24"/>
        </w:rPr>
        <w:t>przeprowadzono test Jarque-Bera</w:t>
      </w:r>
      <w:r w:rsidRPr="00287406">
        <w:rPr>
          <w:rFonts w:ascii="Times New Roman" w:eastAsiaTheme="minorEastAsia" w:hAnsi="Times New Roman" w:cs="Times New Roman"/>
          <w:sz w:val="24"/>
          <w:szCs w:val="24"/>
        </w:rPr>
        <w:t xml:space="preserve">. </w:t>
      </w:r>
      <w:r w:rsidR="00287406">
        <w:rPr>
          <w:rFonts w:ascii="Times New Roman" w:eastAsiaTheme="minorEastAsia" w:hAnsi="Times New Roman" w:cs="Times New Roman"/>
          <w:sz w:val="24"/>
          <w:szCs w:val="24"/>
        </w:rPr>
        <w:t>Przy </w:t>
      </w:r>
      <w:r w:rsidR="002014E5" w:rsidRPr="00287406">
        <w:rPr>
          <w:rFonts w:ascii="Times New Roman" w:eastAsiaTheme="minorEastAsia" w:hAnsi="Times New Roman" w:cs="Times New Roman"/>
          <w:sz w:val="24"/>
          <w:szCs w:val="24"/>
        </w:rPr>
        <w:t>założonym poziomie istotności α = 0.05, hipoteza zerowa o rozkładzie normalnym zmiennej została odrzucona.</w:t>
      </w:r>
    </w:p>
    <w:p w:rsidR="00052555" w:rsidRDefault="00052555" w:rsidP="00D66922">
      <w:pPr>
        <w:spacing w:after="0" w:line="360" w:lineRule="auto"/>
        <w:jc w:val="both"/>
        <w:rPr>
          <w:rFonts w:ascii="Times New Roman" w:eastAsiaTheme="minorEastAsia" w:hAnsi="Times New Roman" w:cs="Times New Roman"/>
          <w:sz w:val="24"/>
          <w:szCs w:val="24"/>
        </w:rPr>
      </w:pPr>
    </w:p>
    <w:p w:rsidR="00052555" w:rsidRDefault="00052555" w:rsidP="00D66922">
      <w:pPr>
        <w:spacing w:after="0" w:line="360" w:lineRule="auto"/>
        <w:jc w:val="both"/>
        <w:rPr>
          <w:rFonts w:ascii="Times New Roman" w:eastAsiaTheme="minorEastAsia" w:hAnsi="Times New Roman" w:cs="Times New Roman"/>
          <w:sz w:val="24"/>
          <w:szCs w:val="24"/>
        </w:rPr>
      </w:pPr>
    </w:p>
    <w:p w:rsidR="00052555" w:rsidRPr="00287406" w:rsidRDefault="00052555" w:rsidP="00D66922">
      <w:pPr>
        <w:spacing w:after="0" w:line="360" w:lineRule="auto"/>
        <w:jc w:val="both"/>
        <w:rPr>
          <w:rFonts w:ascii="Times New Roman" w:eastAsiaTheme="minorEastAsia" w:hAnsi="Times New Roman" w:cs="Times New Roman"/>
          <w:sz w:val="24"/>
          <w:szCs w:val="24"/>
        </w:rPr>
      </w:pPr>
    </w:p>
    <w:p w:rsidR="00497F39" w:rsidRPr="00287406" w:rsidRDefault="00174B5A" w:rsidP="00287406">
      <w:pPr>
        <w:spacing w:line="360" w:lineRule="auto"/>
        <w:jc w:val="both"/>
        <w:rPr>
          <w:rFonts w:ascii="Times New Roman" w:eastAsiaTheme="minorEastAsia" w:hAnsi="Times New Roman" w:cs="Times New Roman"/>
          <w:sz w:val="24"/>
          <w:szCs w:val="24"/>
          <w:u w:val="single"/>
        </w:rPr>
      </w:pPr>
      <w:r w:rsidRPr="00287406">
        <w:rPr>
          <w:rFonts w:ascii="Times New Roman" w:eastAsiaTheme="minorEastAsia" w:hAnsi="Times New Roman" w:cs="Times New Roman"/>
          <w:sz w:val="24"/>
          <w:szCs w:val="24"/>
          <w:u w:val="single"/>
        </w:rPr>
        <w:t>Stopa bezrobocia rejestrowanego (</w:t>
      </w:r>
      <w:r w:rsidRPr="00287406">
        <w:rPr>
          <w:rFonts w:ascii="Times New Roman" w:eastAsiaTheme="minorEastAsia" w:hAnsi="Times New Roman" w:cs="Times New Roman"/>
          <w:i/>
          <w:sz w:val="24"/>
          <w:szCs w:val="24"/>
          <w:u w:val="single"/>
        </w:rPr>
        <w:t>unemployment_rate</w:t>
      </w:r>
      <w:r w:rsidRPr="00287406">
        <w:rPr>
          <w:rFonts w:ascii="Times New Roman" w:eastAsiaTheme="minorEastAsia" w:hAnsi="Times New Roman" w:cs="Times New Roman"/>
          <w:sz w:val="24"/>
          <w:szCs w:val="24"/>
          <w:u w:val="single"/>
        </w:rPr>
        <w:t>)</w:t>
      </w:r>
    </w:p>
    <w:p w:rsidR="005429B8" w:rsidRPr="00287406" w:rsidRDefault="00E94AF6"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John Ermisch</w:t>
      </w:r>
      <w:r w:rsidR="00E27D5A" w:rsidRPr="00287406">
        <w:rPr>
          <w:rFonts w:ascii="Times New Roman" w:eastAsiaTheme="minorEastAsia" w:hAnsi="Times New Roman" w:cs="Times New Roman"/>
          <w:sz w:val="24"/>
          <w:szCs w:val="24"/>
        </w:rPr>
        <w:t xml:space="preserve"> (1988)</w:t>
      </w:r>
      <w:r w:rsidRPr="00287406">
        <w:rPr>
          <w:rFonts w:ascii="Times New Roman" w:eastAsiaTheme="minorEastAsia" w:hAnsi="Times New Roman" w:cs="Times New Roman"/>
          <w:sz w:val="24"/>
          <w:szCs w:val="24"/>
        </w:rPr>
        <w:t xml:space="preserve"> w swoim modelu zastosował logarytm ze zmiennej dotyczącej stopy bezrobocia wśród mężczyzn. W szacowan</w:t>
      </w:r>
      <w:r w:rsidR="00A41780" w:rsidRPr="00287406">
        <w:rPr>
          <w:rFonts w:ascii="Times New Roman" w:eastAsiaTheme="minorEastAsia" w:hAnsi="Times New Roman" w:cs="Times New Roman"/>
          <w:sz w:val="24"/>
          <w:szCs w:val="24"/>
        </w:rPr>
        <w:t>ym modelu wykorzystano pomysł i </w:t>
      </w:r>
      <w:r w:rsidRPr="00287406">
        <w:rPr>
          <w:rFonts w:ascii="Times New Roman" w:eastAsiaTheme="minorEastAsia" w:hAnsi="Times New Roman" w:cs="Times New Roman"/>
          <w:sz w:val="24"/>
          <w:szCs w:val="24"/>
        </w:rPr>
        <w:t>zaproponowano logarytmowanie zmiennej mierzącej st</w:t>
      </w:r>
      <w:r w:rsidR="00A41780" w:rsidRPr="00287406">
        <w:rPr>
          <w:rFonts w:ascii="Times New Roman" w:eastAsiaTheme="minorEastAsia" w:hAnsi="Times New Roman" w:cs="Times New Roman"/>
          <w:sz w:val="24"/>
          <w:szCs w:val="24"/>
        </w:rPr>
        <w:t>opę bezrobocia rejestrowanego w </w:t>
      </w:r>
      <w:r w:rsidRPr="00287406">
        <w:rPr>
          <w:rFonts w:ascii="Times New Roman" w:eastAsiaTheme="minorEastAsia" w:hAnsi="Times New Roman" w:cs="Times New Roman"/>
          <w:sz w:val="24"/>
          <w:szCs w:val="24"/>
        </w:rPr>
        <w:t>każdym z powiatów (i miast na prawach powiatu).</w:t>
      </w:r>
    </w:p>
    <w:p w:rsidR="00C26253" w:rsidRPr="00287406" w:rsidRDefault="00C26253"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r>
      <w:r w:rsidR="00287406">
        <w:rPr>
          <w:rFonts w:ascii="Times New Roman" w:eastAsiaTheme="minorEastAsia" w:hAnsi="Times New Roman" w:cs="Times New Roman"/>
          <w:sz w:val="24"/>
          <w:szCs w:val="24"/>
        </w:rPr>
        <w:t>Na podstawie histogramów (Rys. 4</w:t>
      </w:r>
      <w:r w:rsidRPr="00287406">
        <w:rPr>
          <w:rFonts w:ascii="Times New Roman" w:eastAsiaTheme="minorEastAsia" w:hAnsi="Times New Roman" w:cs="Times New Roman"/>
          <w:sz w:val="24"/>
          <w:szCs w:val="24"/>
        </w:rPr>
        <w:t>.) możemy zauważyć, iż zaproponowana zlogarytmowana zmienna w większym stopniu przypomina zmienną o rozkładzie normalnym. Sprawdzając przypuszczenia z</w:t>
      </w:r>
      <w:r w:rsidR="00287406">
        <w:rPr>
          <w:rFonts w:ascii="Times New Roman" w:eastAsiaTheme="minorEastAsia" w:hAnsi="Times New Roman" w:cs="Times New Roman"/>
          <w:sz w:val="24"/>
          <w:szCs w:val="24"/>
        </w:rPr>
        <w:t>a pomocą testu Jarque-Bera okaz</w:t>
      </w:r>
      <w:r w:rsidRPr="00287406">
        <w:rPr>
          <w:rFonts w:ascii="Times New Roman" w:eastAsiaTheme="minorEastAsia" w:hAnsi="Times New Roman" w:cs="Times New Roman"/>
          <w:sz w:val="24"/>
          <w:szCs w:val="24"/>
        </w:rPr>
        <w:t xml:space="preserve">uje się, że w przypadku obu wersji odrzucamy hipotezę o normalności rozkładu, jednak dla </w:t>
      </w:r>
      <w:r w:rsidRPr="00287406">
        <w:rPr>
          <w:rFonts w:ascii="Times New Roman" w:eastAsiaTheme="minorEastAsia" w:hAnsi="Times New Roman" w:cs="Times New Roman"/>
          <w:i/>
          <w:sz w:val="24"/>
          <w:szCs w:val="24"/>
        </w:rPr>
        <w:t>ln_unemployment_rate</w:t>
      </w:r>
      <w:r w:rsidRPr="00287406">
        <w:rPr>
          <w:rFonts w:ascii="Times New Roman" w:eastAsiaTheme="minorEastAsia" w:hAnsi="Times New Roman" w:cs="Times New Roman"/>
          <w:sz w:val="24"/>
          <w:szCs w:val="24"/>
        </w:rPr>
        <w:t xml:space="preserve"> p-value jest znacznie wyższe i prawie osiąga zakładany poziom istotności α = 0.05, ponieważ wynosi 4.807%.</w:t>
      </w:r>
    </w:p>
    <w:p w:rsidR="00C26253" w:rsidRDefault="00C26253" w:rsidP="00A41780">
      <w:pPr>
        <w:spacing w:after="0" w:line="360" w:lineRule="auto"/>
        <w:jc w:val="both"/>
        <w:rPr>
          <w:rFonts w:ascii="Times New Roman" w:eastAsiaTheme="minorEastAsia" w:hAnsi="Times New Roman" w:cs="Times New Roman"/>
          <w:sz w:val="24"/>
        </w:rPr>
      </w:pPr>
      <w:r w:rsidRPr="00A41780">
        <w:rPr>
          <w:rFonts w:ascii="Times New Roman" w:eastAsiaTheme="minorEastAsia" w:hAnsi="Times New Roman" w:cs="Times New Roman"/>
          <w:sz w:val="24"/>
        </w:rPr>
        <w:tab/>
        <w:t>Jeżeli przyjrzymy się histogramowi dla stopy bezrobocia w powiatach, to dla większości przyjmuje wartość z</w:t>
      </w:r>
      <w:r w:rsidR="005D0726" w:rsidRPr="00A41780">
        <w:rPr>
          <w:rFonts w:ascii="Times New Roman" w:eastAsiaTheme="minorEastAsia" w:hAnsi="Times New Roman" w:cs="Times New Roman"/>
          <w:sz w:val="24"/>
        </w:rPr>
        <w:t>najdującą się w przedziale od 4 do 8 procent. Zmienna ma rozkład asymetryczny prawostronny, a jej najwyższa wartość to 23.7%.</w:t>
      </w:r>
    </w:p>
    <w:p w:rsidR="00A41780" w:rsidRPr="00A41780" w:rsidRDefault="00A41780" w:rsidP="00A41780">
      <w:pPr>
        <w:spacing w:after="0" w:line="360" w:lineRule="auto"/>
        <w:jc w:val="both"/>
        <w:rPr>
          <w:rFonts w:ascii="Times New Roman" w:hAnsi="Times New Roman" w:cs="Times New Roman"/>
          <w:sz w:val="24"/>
          <w:szCs w:val="20"/>
        </w:rPr>
      </w:pPr>
    </w:p>
    <w:p w:rsidR="00E94AF6" w:rsidRPr="00A41780" w:rsidRDefault="00287406" w:rsidP="00A41780">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4</w:t>
      </w:r>
      <w:r w:rsidR="00E94AF6" w:rsidRPr="00A41780">
        <w:rPr>
          <w:rFonts w:ascii="Times New Roman" w:hAnsi="Times New Roman" w:cs="Times New Roman"/>
          <w:sz w:val="24"/>
          <w:szCs w:val="20"/>
        </w:rPr>
        <w:t>. Histogram dla zmiennej opisującej stopę bezrobocia rejestrowanego w wersji podstawowej (</w:t>
      </w:r>
      <w:r w:rsidR="00E94AF6" w:rsidRPr="00A41780">
        <w:rPr>
          <w:rFonts w:ascii="Times New Roman" w:hAnsi="Times New Roman" w:cs="Times New Roman"/>
          <w:i/>
          <w:sz w:val="24"/>
          <w:szCs w:val="20"/>
        </w:rPr>
        <w:t>unemployment_rate</w:t>
      </w:r>
      <w:r w:rsidR="00E94AF6" w:rsidRPr="00A41780">
        <w:rPr>
          <w:rFonts w:ascii="Times New Roman" w:hAnsi="Times New Roman" w:cs="Times New Roman"/>
          <w:sz w:val="24"/>
          <w:szCs w:val="20"/>
        </w:rPr>
        <w:t>) oraz zlogarytmowanej (</w:t>
      </w:r>
      <w:r w:rsidR="00E94AF6" w:rsidRPr="00A41780">
        <w:rPr>
          <w:rFonts w:ascii="Times New Roman" w:hAnsi="Times New Roman" w:cs="Times New Roman"/>
          <w:i/>
          <w:sz w:val="24"/>
          <w:szCs w:val="20"/>
        </w:rPr>
        <w:t>ln_unemployment_rate</w:t>
      </w:r>
      <w:r w:rsidR="00E94AF6" w:rsidRPr="00A41780">
        <w:rPr>
          <w:rFonts w:ascii="Times New Roman" w:hAnsi="Times New Roman" w:cs="Times New Roman"/>
          <w:sz w:val="24"/>
          <w:szCs w:val="20"/>
        </w:rPr>
        <w:t>)</w:t>
      </w:r>
    </w:p>
    <w:p w:rsidR="00E94AF6" w:rsidRPr="00B1700A" w:rsidRDefault="00E94AF6" w:rsidP="00E94AF6">
      <w:pPr>
        <w:tabs>
          <w:tab w:val="left" w:pos="8738"/>
        </w:tabs>
        <w:jc w:val="both"/>
      </w:pPr>
      <w:r>
        <w:rPr>
          <w:noProof/>
          <w:lang w:eastAsia="pl-PL"/>
        </w:rPr>
        <w:drawing>
          <wp:inline distT="0" distB="0" distL="0" distR="0">
            <wp:extent cx="5760720" cy="28803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employment rate h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497F39" w:rsidRDefault="00E94AF6" w:rsidP="00916383">
      <w:pPr>
        <w:tabs>
          <w:tab w:val="left" w:pos="8738"/>
        </w:tabs>
        <w:ind w:left="720" w:hanging="720"/>
        <w:jc w:val="both"/>
        <w:rPr>
          <w:rFonts w:ascii="Times New Roman" w:hAnsi="Times New Roman" w:cs="Times New Roman"/>
          <w:sz w:val="20"/>
          <w:szCs w:val="20"/>
        </w:rPr>
      </w:pPr>
      <w:r w:rsidRPr="00A41780">
        <w:rPr>
          <w:rFonts w:ascii="Times New Roman" w:hAnsi="Times New Roman" w:cs="Times New Roman"/>
          <w:i/>
          <w:sz w:val="20"/>
          <w:szCs w:val="20"/>
        </w:rPr>
        <w:t xml:space="preserve">Źródło: </w:t>
      </w:r>
      <w:r w:rsidRPr="00A41780">
        <w:rPr>
          <w:rFonts w:ascii="Times New Roman" w:hAnsi="Times New Roman" w:cs="Times New Roman"/>
          <w:sz w:val="20"/>
          <w:szCs w:val="20"/>
        </w:rPr>
        <w:t xml:space="preserve">Opracowanie własne na podstawie danych </w:t>
      </w:r>
      <w:r w:rsidRPr="00A41780">
        <w:rPr>
          <w:rFonts w:ascii="Times New Roman" w:hAnsi="Times New Roman" w:cs="Times New Roman"/>
          <w:i/>
          <w:sz w:val="20"/>
          <w:szCs w:val="20"/>
        </w:rPr>
        <w:t>Banku Danych Lokalnych</w:t>
      </w:r>
      <w:r w:rsidRPr="00A41780">
        <w:rPr>
          <w:rFonts w:ascii="Times New Roman" w:hAnsi="Times New Roman" w:cs="Times New Roman"/>
          <w:sz w:val="20"/>
          <w:szCs w:val="20"/>
        </w:rPr>
        <w:t xml:space="preserve"> z wykorzystaniem biblioteki </w:t>
      </w:r>
      <w:r w:rsidRPr="00A41780">
        <w:rPr>
          <w:rFonts w:ascii="Times New Roman" w:hAnsi="Times New Roman" w:cs="Times New Roman"/>
          <w:i/>
          <w:sz w:val="20"/>
          <w:szCs w:val="20"/>
        </w:rPr>
        <w:t>rcompanion</w:t>
      </w:r>
      <w:r w:rsidRPr="00A41780">
        <w:rPr>
          <w:rFonts w:ascii="Times New Roman" w:hAnsi="Times New Roman" w:cs="Times New Roman"/>
          <w:sz w:val="20"/>
          <w:szCs w:val="20"/>
        </w:rPr>
        <w:t>.</w:t>
      </w:r>
    </w:p>
    <w:p w:rsidR="00287406" w:rsidRDefault="00287406" w:rsidP="00916383">
      <w:pPr>
        <w:tabs>
          <w:tab w:val="left" w:pos="8738"/>
        </w:tabs>
        <w:ind w:left="720" w:hanging="720"/>
        <w:jc w:val="both"/>
        <w:rPr>
          <w:rFonts w:ascii="Times New Roman" w:hAnsi="Times New Roman" w:cs="Times New Roman"/>
          <w:szCs w:val="20"/>
          <w:u w:val="single"/>
        </w:rPr>
      </w:pPr>
    </w:p>
    <w:p w:rsidR="00052555" w:rsidRDefault="00052555" w:rsidP="00916383">
      <w:pPr>
        <w:tabs>
          <w:tab w:val="left" w:pos="8738"/>
        </w:tabs>
        <w:ind w:left="720" w:hanging="720"/>
        <w:jc w:val="both"/>
        <w:rPr>
          <w:rFonts w:ascii="Times New Roman" w:hAnsi="Times New Roman" w:cs="Times New Roman"/>
          <w:szCs w:val="20"/>
          <w:u w:val="single"/>
        </w:rPr>
      </w:pPr>
    </w:p>
    <w:p w:rsidR="00052555" w:rsidRPr="00287406" w:rsidRDefault="00052555" w:rsidP="00916383">
      <w:pPr>
        <w:tabs>
          <w:tab w:val="left" w:pos="8738"/>
        </w:tabs>
        <w:ind w:left="720" w:hanging="720"/>
        <w:jc w:val="both"/>
        <w:rPr>
          <w:rFonts w:ascii="Times New Roman" w:hAnsi="Times New Roman" w:cs="Times New Roman"/>
          <w:szCs w:val="20"/>
          <w:u w:val="single"/>
        </w:rPr>
      </w:pPr>
    </w:p>
    <w:p w:rsidR="00497F39" w:rsidRPr="00287406" w:rsidRDefault="00AE4F69" w:rsidP="00497F39">
      <w:pPr>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5A324C" w:rsidRPr="00287406">
        <w:rPr>
          <w:rFonts w:ascii="Times New Roman" w:eastAsiaTheme="minorEastAsia" w:hAnsi="Times New Roman" w:cs="Times New Roman"/>
          <w:sz w:val="24"/>
          <w:u w:val="single"/>
        </w:rPr>
        <w:t xml:space="preserve"> rynek mieszkaniowy</w:t>
      </w:r>
      <w:r w:rsidR="006D4B10" w:rsidRPr="00287406">
        <w:rPr>
          <w:rFonts w:ascii="Times New Roman" w:eastAsiaTheme="minorEastAsia" w:hAnsi="Times New Roman" w:cs="Times New Roman"/>
          <w:sz w:val="24"/>
          <w:u w:val="single"/>
        </w:rPr>
        <w:t xml:space="preserve"> (</w:t>
      </w:r>
      <w:r w:rsidR="006D4B10" w:rsidRPr="00287406">
        <w:rPr>
          <w:rFonts w:ascii="Times New Roman" w:eastAsiaTheme="minorEastAsia" w:hAnsi="Times New Roman" w:cs="Times New Roman"/>
          <w:i/>
          <w:sz w:val="24"/>
          <w:u w:val="single"/>
        </w:rPr>
        <w:t>median_house_price</w:t>
      </w:r>
      <w:r w:rsidR="006D4B10" w:rsidRPr="00287406">
        <w:rPr>
          <w:rFonts w:ascii="Times New Roman" w:eastAsiaTheme="minorEastAsia" w:hAnsi="Times New Roman" w:cs="Times New Roman"/>
          <w:sz w:val="24"/>
          <w:u w:val="single"/>
        </w:rPr>
        <w:t>)</w:t>
      </w:r>
    </w:p>
    <w:p w:rsidR="005A324C" w:rsidRPr="00B34D52" w:rsidRDefault="005A324C" w:rsidP="00704294">
      <w:pPr>
        <w:spacing w:after="0" w:line="360" w:lineRule="auto"/>
        <w:jc w:val="both"/>
        <w:rPr>
          <w:rFonts w:ascii="Times New Roman" w:eastAsiaTheme="minorEastAsia" w:hAnsi="Times New Roman" w:cs="Times New Roman"/>
          <w:sz w:val="24"/>
        </w:rPr>
      </w:pPr>
      <w:r w:rsidRPr="00B34D52">
        <w:rPr>
          <w:rFonts w:ascii="Times New Roman" w:eastAsiaTheme="minorEastAsia" w:hAnsi="Times New Roman" w:cs="Times New Roman"/>
          <w:sz w:val="24"/>
        </w:rPr>
        <w:tab/>
      </w:r>
      <w:r w:rsidR="00AE4F69" w:rsidRPr="00B34D52">
        <w:rPr>
          <w:rFonts w:ascii="Times New Roman" w:eastAsiaTheme="minorEastAsia" w:hAnsi="Times New Roman" w:cs="Times New Roman"/>
          <w:sz w:val="24"/>
        </w:rPr>
        <w:t xml:space="preserve">Jako zmienną opisującą </w:t>
      </w:r>
      <w:r w:rsidRPr="00B34D52">
        <w:rPr>
          <w:rFonts w:ascii="Times New Roman" w:eastAsiaTheme="minorEastAsia" w:hAnsi="Times New Roman" w:cs="Times New Roman"/>
          <w:sz w:val="24"/>
        </w:rPr>
        <w:t>rynek mieszkaniowy zaproponowano medianę cen za 1 m</w:t>
      </w:r>
      <w:r w:rsidRPr="00B34D52">
        <w:rPr>
          <w:rFonts w:ascii="Times New Roman" w:eastAsiaTheme="minorEastAsia" w:hAnsi="Times New Roman" w:cs="Times New Roman"/>
          <w:sz w:val="24"/>
          <w:vertAlign w:val="superscript"/>
        </w:rPr>
        <w:t xml:space="preserve">2 </w:t>
      </w:r>
      <w:r w:rsidRPr="00B34D52">
        <w:rPr>
          <w:rFonts w:ascii="Times New Roman" w:eastAsiaTheme="minorEastAsia" w:hAnsi="Times New Roman" w:cs="Times New Roman"/>
          <w:sz w:val="24"/>
        </w:rPr>
        <w:t>lokali mieszkaniowych sprzedanych w ramach transakcji rynkowych</w:t>
      </w:r>
      <w:r w:rsidR="00AE4F69" w:rsidRPr="00B34D52">
        <w:rPr>
          <w:rFonts w:ascii="Times New Roman" w:eastAsiaTheme="minorEastAsia" w:hAnsi="Times New Roman" w:cs="Times New Roman"/>
          <w:sz w:val="24"/>
        </w:rPr>
        <w:t>.</w:t>
      </w:r>
    </w:p>
    <w:p w:rsidR="000B683F" w:rsidRPr="00B34D52" w:rsidRDefault="00793B08" w:rsidP="00704294">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Na podstawie histogramu (Rys. 5</w:t>
      </w:r>
      <w:r w:rsidR="000B683F" w:rsidRPr="00B34D52">
        <w:rPr>
          <w:rFonts w:ascii="Times New Roman" w:eastAsiaTheme="minorEastAsia" w:hAnsi="Times New Roman" w:cs="Times New Roman"/>
          <w:sz w:val="24"/>
        </w:rPr>
        <w:t xml:space="preserve">.) dla zmiennej </w:t>
      </w:r>
      <w:r w:rsidR="000B683F" w:rsidRPr="00B34D52">
        <w:rPr>
          <w:rFonts w:ascii="Times New Roman" w:eastAsiaTheme="minorEastAsia" w:hAnsi="Times New Roman" w:cs="Times New Roman"/>
          <w:i/>
          <w:sz w:val="24"/>
        </w:rPr>
        <w:t>median_house_price</w:t>
      </w:r>
      <w:r w:rsidR="000B683F" w:rsidRPr="00B34D52">
        <w:rPr>
          <w:rFonts w:ascii="Times New Roman" w:eastAsiaTheme="minorEastAsia" w:hAnsi="Times New Roman" w:cs="Times New Roman"/>
          <w:sz w:val="24"/>
        </w:rPr>
        <w:t xml:space="preserve"> możemy wnioskować, że w większości powiatów najczęściej występująca cena za metr kwadratowy lokalu mieszkaniowego mieści się w przedziale od 3000 zł do 4000 zł. Średnia wartość zmiennej wynosi 3786,32 zł</w:t>
      </w:r>
      <w:r w:rsidR="00A34D08" w:rsidRPr="00B34D52">
        <w:rPr>
          <w:rFonts w:ascii="Times New Roman" w:eastAsiaTheme="minorEastAsia" w:hAnsi="Times New Roman" w:cs="Times New Roman"/>
          <w:sz w:val="24"/>
        </w:rPr>
        <w:t xml:space="preserve">. Rozstrzał cenowy jeśli chodzi o mieszkania jest duży, ponieważ różnica między maksymalną a minimalną wartością </w:t>
      </w:r>
      <w:r w:rsidR="00A34D08" w:rsidRPr="00704294">
        <w:rPr>
          <w:rFonts w:ascii="Times New Roman" w:eastAsiaTheme="minorEastAsia" w:hAnsi="Times New Roman" w:cs="Times New Roman"/>
          <w:i/>
          <w:sz w:val="24"/>
        </w:rPr>
        <w:t>median_house_price</w:t>
      </w:r>
      <w:r w:rsidR="00A34D08" w:rsidRPr="00B34D52">
        <w:rPr>
          <w:rFonts w:ascii="Times New Roman" w:eastAsiaTheme="minorEastAsia" w:hAnsi="Times New Roman" w:cs="Times New Roman"/>
          <w:sz w:val="24"/>
        </w:rPr>
        <w:t xml:space="preserve"> wynosi 10 663 złote. Najwyższe ceny notuje się w miastach, na przykład według strony muratorplus.pl przeciętna cena mieszkania w I półroczu 2020 roku wynosiła 10 800 zł za m</w:t>
      </w:r>
      <w:r w:rsidR="00A34D08" w:rsidRPr="00704294">
        <w:rPr>
          <w:rFonts w:ascii="Times New Roman" w:eastAsiaTheme="minorEastAsia" w:hAnsi="Times New Roman" w:cs="Times New Roman"/>
          <w:sz w:val="24"/>
          <w:vertAlign w:val="superscript"/>
        </w:rPr>
        <w:t>2</w:t>
      </w:r>
      <w:r w:rsidR="00A34D08" w:rsidRPr="00B34D52">
        <w:rPr>
          <w:rFonts w:ascii="Times New Roman" w:eastAsiaTheme="minorEastAsia" w:hAnsi="Times New Roman" w:cs="Times New Roman"/>
          <w:sz w:val="24"/>
        </w:rPr>
        <w:t>.</w:t>
      </w:r>
    </w:p>
    <w:p w:rsidR="00897209" w:rsidRPr="000B683F" w:rsidRDefault="00A34D08" w:rsidP="00856532">
      <w:pPr>
        <w:spacing w:after="0" w:line="360" w:lineRule="auto"/>
        <w:jc w:val="both"/>
        <w:rPr>
          <w:rFonts w:eastAsiaTheme="minorEastAsia"/>
        </w:rPr>
      </w:pPr>
      <w:r>
        <w:rPr>
          <w:rFonts w:eastAsiaTheme="minorEastAsia"/>
        </w:rPr>
        <w:tab/>
      </w:r>
      <w:r w:rsidR="00C65FF2" w:rsidRPr="00856532">
        <w:rPr>
          <w:rFonts w:ascii="Times New Roman" w:eastAsiaTheme="minorEastAsia" w:hAnsi="Times New Roman" w:cs="Times New Roman"/>
          <w:sz w:val="24"/>
        </w:rPr>
        <w:t xml:space="preserve">John Ermisch (1998) w swoim modelu szacującym wartość współczynnika urodzeń jako jedną ze zmiennych proponuje logarytm z realnej ceny domu. </w:t>
      </w:r>
      <w:r w:rsidR="00897209" w:rsidRPr="00856532">
        <w:rPr>
          <w:rFonts w:ascii="Times New Roman" w:eastAsiaTheme="minorEastAsia" w:hAnsi="Times New Roman" w:cs="Times New Roman"/>
          <w:sz w:val="24"/>
        </w:rPr>
        <w:t>Chcąc wykorzystać myśl badacza w niniejszej pracy, za</w:t>
      </w:r>
      <w:r w:rsidR="00856532">
        <w:rPr>
          <w:rFonts w:ascii="Times New Roman" w:eastAsiaTheme="minorEastAsia" w:hAnsi="Times New Roman" w:cs="Times New Roman"/>
          <w:sz w:val="24"/>
        </w:rPr>
        <w:t xml:space="preserve">proponowano użycie logarytmu </w:t>
      </w:r>
      <w:r w:rsidR="00897209" w:rsidRPr="00856532">
        <w:rPr>
          <w:rFonts w:ascii="Times New Roman" w:eastAsiaTheme="minorEastAsia" w:hAnsi="Times New Roman" w:cs="Times New Roman"/>
          <w:sz w:val="24"/>
        </w:rPr>
        <w:t xml:space="preserve">zmiennej </w:t>
      </w:r>
      <w:r w:rsidR="00897209" w:rsidRPr="00856532">
        <w:rPr>
          <w:rFonts w:ascii="Times New Roman" w:eastAsiaTheme="minorEastAsia" w:hAnsi="Times New Roman" w:cs="Times New Roman"/>
          <w:i/>
          <w:sz w:val="24"/>
        </w:rPr>
        <w:t>median_house_price</w:t>
      </w:r>
      <w:r w:rsidR="00897209" w:rsidRPr="00856532">
        <w:rPr>
          <w:rFonts w:ascii="Times New Roman" w:eastAsiaTheme="minorEastAsia" w:hAnsi="Times New Roman" w:cs="Times New Roman"/>
          <w:sz w:val="24"/>
        </w:rPr>
        <w:t xml:space="preserve"> w modelu. Histogram dla zmiennej zlogarytmowanej przypomina rozkład normalny. Chcąc sprawdzić przypuszczenia, przeprowadzono test na normalność rozkładu Jarque-Bera – zarówno dla </w:t>
      </w:r>
      <w:r w:rsidR="00897209" w:rsidRPr="00856532">
        <w:rPr>
          <w:rFonts w:ascii="Times New Roman" w:eastAsiaTheme="minorEastAsia" w:hAnsi="Times New Roman" w:cs="Times New Roman"/>
          <w:i/>
          <w:sz w:val="24"/>
        </w:rPr>
        <w:t>median_house_price</w:t>
      </w:r>
      <w:r w:rsidR="00897209" w:rsidRPr="00856532">
        <w:rPr>
          <w:rFonts w:ascii="Times New Roman" w:eastAsiaTheme="minorEastAsia" w:hAnsi="Times New Roman" w:cs="Times New Roman"/>
          <w:sz w:val="24"/>
        </w:rPr>
        <w:t xml:space="preserve"> oraz jej zlogarytmowanej postaci odrzucono hipotezę o</w:t>
      </w:r>
      <w:r w:rsidR="00856532">
        <w:rPr>
          <w:rFonts w:ascii="Times New Roman" w:eastAsiaTheme="minorEastAsia" w:hAnsi="Times New Roman" w:cs="Times New Roman"/>
          <w:sz w:val="24"/>
        </w:rPr>
        <w:t> </w:t>
      </w:r>
      <w:r w:rsidR="00897209" w:rsidRPr="00856532">
        <w:rPr>
          <w:rFonts w:ascii="Times New Roman" w:eastAsiaTheme="minorEastAsia" w:hAnsi="Times New Roman" w:cs="Times New Roman"/>
          <w:sz w:val="24"/>
        </w:rPr>
        <w:t xml:space="preserve">rozkładzie normalnym. Jednak w przypadku testu dla </w:t>
      </w:r>
      <w:r w:rsidR="00897209" w:rsidRPr="00856532">
        <w:rPr>
          <w:rFonts w:ascii="Times New Roman" w:eastAsiaTheme="minorEastAsia" w:hAnsi="Times New Roman" w:cs="Times New Roman"/>
          <w:i/>
          <w:sz w:val="24"/>
        </w:rPr>
        <w:t xml:space="preserve">ln_median_house_price </w:t>
      </w:r>
      <w:r w:rsidR="00897209" w:rsidRPr="00856532">
        <w:rPr>
          <w:rFonts w:ascii="Times New Roman" w:eastAsiaTheme="minorEastAsia" w:hAnsi="Times New Roman" w:cs="Times New Roman"/>
          <w:sz w:val="24"/>
        </w:rPr>
        <w:t>zauważono wyższą wartość p-value (0.0002811).</w:t>
      </w:r>
    </w:p>
    <w:p w:rsidR="00793B08" w:rsidRDefault="00793B08"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B683F" w:rsidRPr="00793B08" w:rsidRDefault="000B683F" w:rsidP="00793B08">
      <w:pPr>
        <w:tabs>
          <w:tab w:val="left" w:pos="8738"/>
        </w:tabs>
        <w:ind w:left="720" w:hanging="720"/>
        <w:jc w:val="both"/>
        <w:rPr>
          <w:rFonts w:ascii="Times New Roman" w:hAnsi="Times New Roman" w:cs="Times New Roman"/>
          <w:sz w:val="24"/>
          <w:szCs w:val="20"/>
        </w:rPr>
      </w:pPr>
      <w:r w:rsidRPr="00793B08">
        <w:rPr>
          <w:rFonts w:ascii="Times New Roman" w:hAnsi="Times New Roman" w:cs="Times New Roman"/>
          <w:sz w:val="24"/>
          <w:szCs w:val="20"/>
        </w:rPr>
        <w:t xml:space="preserve"> </w:t>
      </w:r>
      <w:r w:rsidR="00793B08" w:rsidRPr="00793B08">
        <w:rPr>
          <w:rFonts w:ascii="Times New Roman" w:hAnsi="Times New Roman" w:cs="Times New Roman"/>
          <w:sz w:val="24"/>
          <w:szCs w:val="20"/>
        </w:rPr>
        <w:t>Rys. 5</w:t>
      </w:r>
      <w:r w:rsidRPr="00793B08">
        <w:rPr>
          <w:rFonts w:ascii="Times New Roman" w:hAnsi="Times New Roman" w:cs="Times New Roman"/>
          <w:sz w:val="24"/>
          <w:szCs w:val="20"/>
        </w:rPr>
        <w:t xml:space="preserve">. Histogram dla zmiennej opisującej medianę cen </w:t>
      </w:r>
      <w:r w:rsidR="00793B08">
        <w:rPr>
          <w:rFonts w:ascii="Times New Roman" w:hAnsi="Times New Roman" w:cs="Times New Roman"/>
          <w:sz w:val="24"/>
          <w:szCs w:val="20"/>
        </w:rPr>
        <w:t>za 1 m</w:t>
      </w:r>
      <w:r w:rsidR="00793B08" w:rsidRPr="00793B08">
        <w:rPr>
          <w:rFonts w:ascii="Times New Roman" w:hAnsi="Times New Roman" w:cs="Times New Roman"/>
          <w:sz w:val="24"/>
          <w:szCs w:val="20"/>
          <w:vertAlign w:val="superscript"/>
        </w:rPr>
        <w:t>2</w:t>
      </w:r>
      <w:r w:rsidR="00793B08">
        <w:rPr>
          <w:rFonts w:ascii="Times New Roman" w:hAnsi="Times New Roman" w:cs="Times New Roman"/>
          <w:sz w:val="24"/>
          <w:szCs w:val="20"/>
        </w:rPr>
        <w:t xml:space="preserve"> lokali mieszkaniowych w </w:t>
      </w:r>
      <w:r w:rsidRPr="00793B08">
        <w:rPr>
          <w:rFonts w:ascii="Times New Roman" w:hAnsi="Times New Roman" w:cs="Times New Roman"/>
          <w:sz w:val="24"/>
          <w:szCs w:val="20"/>
        </w:rPr>
        <w:t>wersji podstawowej (</w:t>
      </w:r>
      <w:r w:rsidRPr="00793B08">
        <w:rPr>
          <w:rFonts w:ascii="Times New Roman" w:hAnsi="Times New Roman" w:cs="Times New Roman"/>
          <w:i/>
          <w:sz w:val="24"/>
          <w:szCs w:val="20"/>
        </w:rPr>
        <w:t>median_house_price</w:t>
      </w:r>
      <w:r w:rsidRPr="00793B08">
        <w:rPr>
          <w:rFonts w:ascii="Times New Roman" w:hAnsi="Times New Roman" w:cs="Times New Roman"/>
          <w:sz w:val="24"/>
          <w:szCs w:val="20"/>
        </w:rPr>
        <w:t>) oraz zlogarytmowanej (</w:t>
      </w:r>
      <w:r w:rsidRPr="00793B08">
        <w:rPr>
          <w:rFonts w:ascii="Times New Roman" w:hAnsi="Times New Roman" w:cs="Times New Roman"/>
          <w:i/>
          <w:sz w:val="24"/>
          <w:szCs w:val="20"/>
        </w:rPr>
        <w:t>ln_median_house_price</w:t>
      </w:r>
      <w:r w:rsidRPr="00793B08">
        <w:rPr>
          <w:rFonts w:ascii="Times New Roman" w:hAnsi="Times New Roman" w:cs="Times New Roman"/>
          <w:sz w:val="24"/>
          <w:szCs w:val="20"/>
        </w:rPr>
        <w:t>)</w:t>
      </w:r>
    </w:p>
    <w:p w:rsidR="000B683F" w:rsidRPr="00B1700A" w:rsidRDefault="000B683F" w:rsidP="000B683F">
      <w:pPr>
        <w:tabs>
          <w:tab w:val="left" w:pos="8738"/>
        </w:tabs>
        <w:jc w:val="both"/>
      </w:pPr>
      <w:r>
        <w:rPr>
          <w:noProof/>
          <w:lang w:eastAsia="pl-PL"/>
        </w:rPr>
        <w:drawing>
          <wp:inline distT="0" distB="0" distL="0" distR="0">
            <wp:extent cx="5760720" cy="288036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 house price h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0B683F" w:rsidRPr="00793B08" w:rsidRDefault="000B683F" w:rsidP="000B683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r w:rsidRPr="00793B08">
        <w:rPr>
          <w:rFonts w:ascii="Times New Roman" w:hAnsi="Times New Roman" w:cs="Times New Roman"/>
          <w:i/>
          <w:sz w:val="20"/>
          <w:szCs w:val="20"/>
        </w:rPr>
        <w:t>rcompanion</w:t>
      </w:r>
      <w:r w:rsidRPr="00793B08">
        <w:rPr>
          <w:rFonts w:ascii="Times New Roman" w:hAnsi="Times New Roman" w:cs="Times New Roman"/>
          <w:sz w:val="20"/>
          <w:szCs w:val="20"/>
        </w:rPr>
        <w:t>.</w:t>
      </w:r>
    </w:p>
    <w:p w:rsidR="00497F39" w:rsidRDefault="0016668D" w:rsidP="00AE4F69">
      <w:pPr>
        <w:tabs>
          <w:tab w:val="left" w:pos="993"/>
        </w:tabs>
        <w:ind w:hanging="720"/>
        <w:jc w:val="both"/>
        <w:rPr>
          <w:rFonts w:eastAsiaTheme="minorEastAsia"/>
        </w:rPr>
      </w:pPr>
      <w:r>
        <w:rPr>
          <w:sz w:val="20"/>
          <w:szCs w:val="20"/>
        </w:rPr>
        <w:tab/>
      </w:r>
    </w:p>
    <w:p w:rsidR="00497F39" w:rsidRPr="00793B08" w:rsidRDefault="00793B08" w:rsidP="00497F39">
      <w:pPr>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pomoc społeczną</w:t>
      </w:r>
      <w:r w:rsidR="00497F39" w:rsidRPr="00793B08">
        <w:rPr>
          <w:rFonts w:ascii="Times New Roman" w:eastAsiaTheme="minorEastAsia" w:hAnsi="Times New Roman" w:cs="Times New Roman"/>
          <w:sz w:val="24"/>
          <w:u w:val="single"/>
        </w:rPr>
        <w:t xml:space="preserve"> </w:t>
      </w:r>
      <w:r w:rsidRPr="00793B08">
        <w:rPr>
          <w:rFonts w:ascii="Times New Roman" w:eastAsiaTheme="minorEastAsia" w:hAnsi="Times New Roman" w:cs="Times New Roman"/>
          <w:sz w:val="24"/>
          <w:u w:val="single"/>
        </w:rPr>
        <w:t>(</w:t>
      </w:r>
      <w:r w:rsidR="006C5EB2" w:rsidRPr="00793B08">
        <w:rPr>
          <w:rFonts w:ascii="Times New Roman" w:eastAsiaTheme="minorEastAsia" w:hAnsi="Times New Roman" w:cs="Times New Roman"/>
          <w:i/>
          <w:sz w:val="24"/>
          <w:u w:val="single"/>
        </w:rPr>
        <w:t>social_expenditure</w:t>
      </w:r>
      <w:r w:rsidRPr="00793B08">
        <w:rPr>
          <w:rFonts w:ascii="Times New Roman" w:eastAsiaTheme="minorEastAsia" w:hAnsi="Times New Roman" w:cs="Times New Roman"/>
          <w:sz w:val="24"/>
          <w:u w:val="single"/>
        </w:rPr>
        <w:t>)</w:t>
      </w:r>
    </w:p>
    <w:p w:rsidR="00D66922" w:rsidRDefault="00ED5505" w:rsidP="00793B08">
      <w:pPr>
        <w:spacing w:line="360" w:lineRule="auto"/>
        <w:jc w:val="both"/>
        <w:rPr>
          <w:rFonts w:ascii="Times New Roman" w:eastAsiaTheme="minorEastAsia" w:hAnsi="Times New Roman" w:cs="Times New Roman"/>
          <w:sz w:val="24"/>
        </w:rPr>
      </w:pPr>
      <w:r w:rsidRPr="00F665DB">
        <w:rPr>
          <w:rFonts w:eastAsiaTheme="minorEastAsia"/>
        </w:rPr>
        <w:tab/>
      </w:r>
      <w:r w:rsidRPr="00793B08">
        <w:rPr>
          <w:rFonts w:ascii="Times New Roman" w:eastAsiaTheme="minorEastAsia" w:hAnsi="Times New Roman" w:cs="Times New Roman"/>
          <w:sz w:val="24"/>
        </w:rPr>
        <w:t xml:space="preserve">Zmienna opisująca wydatki budżetów powiatów (i miast na prawach powiatu) na pomoc społeczną </w:t>
      </w:r>
      <w:r w:rsidR="00F665DB" w:rsidRPr="00793B08">
        <w:rPr>
          <w:rFonts w:ascii="Times New Roman" w:eastAsiaTheme="minorEastAsia" w:hAnsi="Times New Roman" w:cs="Times New Roman"/>
          <w:sz w:val="24"/>
        </w:rPr>
        <w:t xml:space="preserve">na jednego mieszkańca </w:t>
      </w:r>
      <w:r w:rsidRPr="00793B08">
        <w:rPr>
          <w:rFonts w:ascii="Times New Roman" w:eastAsiaTheme="minorEastAsia" w:hAnsi="Times New Roman" w:cs="Times New Roman"/>
          <w:sz w:val="24"/>
        </w:rPr>
        <w:t xml:space="preserve">nie ma rozkładu normalnego, co zostało zweryfikowane testem Jarque-Bera. </w:t>
      </w:r>
      <w:r w:rsidR="00F665DB" w:rsidRPr="00793B08">
        <w:rPr>
          <w:rFonts w:ascii="Times New Roman" w:eastAsiaTheme="minorEastAsia" w:hAnsi="Times New Roman" w:cs="Times New Roman"/>
          <w:sz w:val="24"/>
        </w:rPr>
        <w:t>Średnio powiat wydaje na pomoc społeczną na jednego mieszkańca 360.90 złotych.</w:t>
      </w: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Pr="00793B08" w:rsidRDefault="00052555" w:rsidP="00793B08">
      <w:pPr>
        <w:spacing w:line="360" w:lineRule="auto"/>
        <w:jc w:val="both"/>
        <w:rPr>
          <w:rFonts w:ascii="Times New Roman" w:eastAsiaTheme="minorEastAsia" w:hAnsi="Times New Roman" w:cs="Times New Roman"/>
          <w:sz w:val="24"/>
        </w:rPr>
      </w:pPr>
    </w:p>
    <w:p w:rsidR="002257F0" w:rsidRPr="00793B08" w:rsidRDefault="00793B08" w:rsidP="00793B08">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6</w:t>
      </w:r>
      <w:r w:rsidR="002257F0" w:rsidRPr="00793B08">
        <w:rPr>
          <w:rFonts w:ascii="Times New Roman" w:hAnsi="Times New Roman" w:cs="Times New Roman"/>
          <w:sz w:val="24"/>
          <w:szCs w:val="20"/>
        </w:rPr>
        <w:t xml:space="preserve">. Histogram zmiennej </w:t>
      </w:r>
      <w:r w:rsidR="00ED5505" w:rsidRPr="00793B08">
        <w:rPr>
          <w:rFonts w:ascii="Times New Roman" w:hAnsi="Times New Roman" w:cs="Times New Roman"/>
          <w:i/>
          <w:sz w:val="24"/>
          <w:szCs w:val="20"/>
        </w:rPr>
        <w:t>social_expenditure</w:t>
      </w:r>
    </w:p>
    <w:p w:rsidR="002257F0" w:rsidRDefault="00ED5505"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cial plot 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2257F0">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r w:rsidRPr="00793B08">
        <w:rPr>
          <w:rFonts w:ascii="Times New Roman" w:hAnsi="Times New Roman" w:cs="Times New Roman"/>
          <w:i/>
          <w:sz w:val="20"/>
          <w:szCs w:val="20"/>
        </w:rPr>
        <w:t>rcompanion</w:t>
      </w:r>
      <w:r w:rsidRPr="00793B08">
        <w:rPr>
          <w:rFonts w:ascii="Times New Roman" w:hAnsi="Times New Roman" w:cs="Times New Roman"/>
          <w:sz w:val="20"/>
          <w:szCs w:val="20"/>
        </w:rPr>
        <w:t>.</w:t>
      </w:r>
    </w:p>
    <w:p w:rsidR="002257F0" w:rsidRPr="002257F0" w:rsidRDefault="002257F0" w:rsidP="00497F39">
      <w:pPr>
        <w:rPr>
          <w:rFonts w:eastAsiaTheme="minorEastAsia"/>
          <w:highlight w:val="cyan"/>
        </w:rPr>
      </w:pPr>
    </w:p>
    <w:p w:rsidR="006C5EB2" w:rsidRPr="00793B08" w:rsidRDefault="00793B08" w:rsidP="00793B08">
      <w:pPr>
        <w:spacing w:line="360" w:lineRule="auto"/>
        <w:jc w:val="both"/>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rodzinę (</w:t>
      </w:r>
      <w:r w:rsidR="006C5EB2" w:rsidRPr="00793B08">
        <w:rPr>
          <w:rFonts w:ascii="Times New Roman" w:eastAsiaTheme="minorEastAsia" w:hAnsi="Times New Roman" w:cs="Times New Roman"/>
          <w:i/>
          <w:sz w:val="24"/>
          <w:u w:val="single"/>
        </w:rPr>
        <w:t>family_expenditure</w:t>
      </w:r>
      <w:r w:rsidRPr="00793B08">
        <w:rPr>
          <w:rFonts w:ascii="Times New Roman" w:eastAsiaTheme="minorEastAsia" w:hAnsi="Times New Roman" w:cs="Times New Roman"/>
          <w:sz w:val="24"/>
          <w:u w:val="single"/>
        </w:rPr>
        <w:t>)</w:t>
      </w:r>
    </w:p>
    <w:p w:rsidR="00793B08" w:rsidRDefault="00F665DB" w:rsidP="00793B08">
      <w:pPr>
        <w:spacing w:line="360" w:lineRule="auto"/>
        <w:jc w:val="both"/>
        <w:rPr>
          <w:rFonts w:eastAsiaTheme="minorEastAsia"/>
        </w:rPr>
      </w:pPr>
      <w:r w:rsidRPr="00793B08">
        <w:rPr>
          <w:rFonts w:ascii="Times New Roman" w:eastAsiaTheme="minorEastAsia" w:hAnsi="Times New Roman" w:cs="Times New Roman"/>
          <w:sz w:val="24"/>
        </w:rPr>
        <w:tab/>
        <w:t>Rozkład zmiennej dotyczącej wydatków budżetów powiatów (lub miast na prawach powiatu) na jednego mieszkańca jest nietypowy. Zdecydowanie najwięcej powiatów wydaje około 1500 złotych na jednego mieszkańca w tym obszarze. Maksymalna wartość zmiennej wynosi 3877.99 złotych</w:t>
      </w:r>
      <w:r w:rsidRPr="00793B08">
        <w:rPr>
          <w:rFonts w:eastAsiaTheme="minorEastAsia"/>
        </w:rPr>
        <w:t>.</w:t>
      </w:r>
    </w:p>
    <w:p w:rsidR="00D66922" w:rsidRDefault="00D66922"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Pr="00793B08" w:rsidRDefault="00052555" w:rsidP="00793B08">
      <w:pPr>
        <w:spacing w:line="360" w:lineRule="auto"/>
        <w:jc w:val="both"/>
        <w:rPr>
          <w:rFonts w:eastAsiaTheme="minorEastAsia"/>
        </w:rPr>
      </w:pPr>
    </w:p>
    <w:p w:rsidR="002257F0" w:rsidRPr="00856532" w:rsidRDefault="00793B08" w:rsidP="002257F0">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2257F0" w:rsidRPr="00856532">
        <w:rPr>
          <w:rFonts w:ascii="Times New Roman" w:eastAsia="Times New Roman" w:hAnsi="Times New Roman" w:cs="Times New Roman"/>
          <w:sz w:val="24"/>
          <w:szCs w:val="24"/>
          <w:lang w:eastAsia="pl-PL"/>
        </w:rPr>
        <w:t xml:space="preserve">. Histogram zmiennej </w:t>
      </w:r>
      <w:r w:rsidR="002257F0" w:rsidRPr="00793B08">
        <w:rPr>
          <w:rFonts w:ascii="Times New Roman" w:eastAsia="Times New Roman" w:hAnsi="Times New Roman" w:cs="Times New Roman"/>
          <w:i/>
          <w:sz w:val="24"/>
          <w:szCs w:val="24"/>
          <w:lang w:eastAsia="pl-PL"/>
        </w:rPr>
        <w:t>family_expenditure</w:t>
      </w:r>
    </w:p>
    <w:p w:rsidR="002257F0" w:rsidRDefault="00F665DB"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ami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31499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r w:rsidRPr="00793B08">
        <w:rPr>
          <w:rFonts w:ascii="Times New Roman" w:hAnsi="Times New Roman" w:cs="Times New Roman"/>
          <w:i/>
          <w:sz w:val="20"/>
          <w:szCs w:val="20"/>
        </w:rPr>
        <w:t>rcompanion</w:t>
      </w:r>
      <w:r w:rsidRPr="00793B08">
        <w:rPr>
          <w:rFonts w:ascii="Times New Roman" w:hAnsi="Times New Roman" w:cs="Times New Roman"/>
          <w:sz w:val="20"/>
          <w:szCs w:val="20"/>
        </w:rPr>
        <w:t>.</w:t>
      </w:r>
    </w:p>
    <w:p w:rsidR="003741E6" w:rsidRDefault="003741E6" w:rsidP="00B46A60">
      <w:pPr>
        <w:rPr>
          <w:rFonts w:eastAsiaTheme="minorEastAsia"/>
        </w:rPr>
      </w:pPr>
    </w:p>
    <w:p w:rsidR="00856532" w:rsidRDefault="00793B08" w:rsidP="00793B08">
      <w:pPr>
        <w:spacing w:after="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ROZDZIAŁ </w:t>
      </w:r>
      <w:r w:rsidR="00856532" w:rsidRPr="00856532">
        <w:rPr>
          <w:rFonts w:ascii="Times New Roman" w:eastAsiaTheme="minorEastAsia" w:hAnsi="Times New Roman" w:cs="Times New Roman"/>
          <w:b/>
          <w:sz w:val="24"/>
        </w:rPr>
        <w:t>IV</w:t>
      </w:r>
    </w:p>
    <w:p w:rsidR="00793B08" w:rsidRPr="00856532" w:rsidRDefault="00793B08" w:rsidP="00793B08">
      <w:pPr>
        <w:spacing w:after="0"/>
        <w:jc w:val="center"/>
        <w:rPr>
          <w:rFonts w:ascii="Times New Roman" w:eastAsiaTheme="minorEastAsia" w:hAnsi="Times New Roman" w:cs="Times New Roman"/>
          <w:b/>
          <w:sz w:val="24"/>
        </w:rPr>
      </w:pPr>
    </w:p>
    <w:p w:rsidR="004E275B" w:rsidRDefault="004E275B" w:rsidP="00892465">
      <w:pPr>
        <w:spacing w:after="0"/>
        <w:jc w:val="center"/>
        <w:rPr>
          <w:rFonts w:ascii="Times New Roman" w:eastAsia="Times New Roman" w:hAnsi="Times New Roman" w:cs="Times New Roman"/>
          <w:b/>
          <w:sz w:val="24"/>
          <w:szCs w:val="24"/>
          <w:lang w:eastAsia="pl-PL"/>
        </w:rPr>
      </w:pPr>
      <w:r w:rsidRPr="00856532">
        <w:rPr>
          <w:rFonts w:ascii="Times New Roman" w:eastAsia="Times New Roman" w:hAnsi="Times New Roman" w:cs="Times New Roman"/>
          <w:b/>
          <w:sz w:val="24"/>
          <w:szCs w:val="24"/>
          <w:lang w:eastAsia="pl-PL"/>
        </w:rPr>
        <w:t>Formy funkcyjne</w:t>
      </w:r>
    </w:p>
    <w:p w:rsidR="00892465" w:rsidRPr="00892465" w:rsidRDefault="00892465" w:rsidP="00892465">
      <w:pPr>
        <w:spacing w:after="0"/>
        <w:jc w:val="center"/>
        <w:rPr>
          <w:rFonts w:ascii="Times New Roman" w:eastAsiaTheme="minorEastAsia" w:hAnsi="Times New Roman" w:cs="Times New Roman"/>
          <w:b/>
          <w:sz w:val="24"/>
        </w:rPr>
      </w:pPr>
    </w:p>
    <w:p w:rsidR="00A65AAD" w:rsidRPr="006D30C6" w:rsidRDefault="00966513" w:rsidP="00892465">
      <w:pPr>
        <w:spacing w:after="0" w:line="360" w:lineRule="auto"/>
        <w:jc w:val="both"/>
        <w:rPr>
          <w:rFonts w:ascii="Times New Roman" w:eastAsiaTheme="minorEastAsia" w:hAnsi="Times New Roman" w:cs="Times New Roman"/>
          <w:sz w:val="24"/>
        </w:rPr>
      </w:pPr>
      <w:r>
        <w:rPr>
          <w:rFonts w:eastAsiaTheme="minorEastAsia"/>
        </w:rPr>
        <w:tab/>
      </w:r>
      <w:r w:rsidR="00E01D81">
        <w:rPr>
          <w:rFonts w:ascii="Times New Roman" w:eastAsiaTheme="minorEastAsia" w:hAnsi="Times New Roman" w:cs="Times New Roman"/>
          <w:sz w:val="24"/>
        </w:rPr>
        <w:t>W rozdziale 3. punkcie 3.3.1</w:t>
      </w:r>
      <w:r w:rsidRPr="006D30C6">
        <w:rPr>
          <w:rFonts w:ascii="Times New Roman" w:eastAsiaTheme="minorEastAsia" w:hAnsi="Times New Roman" w:cs="Times New Roman"/>
          <w:sz w:val="24"/>
        </w:rPr>
        <w:t xml:space="preserve">., gdzie </w:t>
      </w:r>
      <w:r w:rsidR="00E01D81">
        <w:rPr>
          <w:rFonts w:ascii="Times New Roman" w:eastAsiaTheme="minorEastAsia" w:hAnsi="Times New Roman" w:cs="Times New Roman"/>
          <w:sz w:val="24"/>
        </w:rPr>
        <w:t>analizowano</w:t>
      </w:r>
      <w:r w:rsidR="006D30C6">
        <w:rPr>
          <w:rFonts w:ascii="Times New Roman" w:eastAsiaTheme="minorEastAsia" w:hAnsi="Times New Roman" w:cs="Times New Roman"/>
          <w:sz w:val="24"/>
        </w:rPr>
        <w:t> </w:t>
      </w:r>
      <w:r w:rsidRPr="006D30C6">
        <w:rPr>
          <w:rFonts w:ascii="Times New Roman" w:eastAsiaTheme="minorEastAsia" w:hAnsi="Times New Roman" w:cs="Times New Roman"/>
          <w:sz w:val="24"/>
        </w:rPr>
        <w:t>ws</w:t>
      </w:r>
      <w:r w:rsidR="00E01D81">
        <w:rPr>
          <w:rFonts w:ascii="Times New Roman" w:eastAsiaTheme="minorEastAsia" w:hAnsi="Times New Roman" w:cs="Times New Roman"/>
          <w:sz w:val="24"/>
        </w:rPr>
        <w:t>półczynnik urodzeń wskazano, że </w:t>
      </w:r>
      <w:r w:rsidRPr="006D30C6">
        <w:rPr>
          <w:rFonts w:ascii="Times New Roman" w:eastAsiaTheme="minorEastAsia" w:hAnsi="Times New Roman" w:cs="Times New Roman"/>
          <w:sz w:val="24"/>
        </w:rPr>
        <w:t xml:space="preserve">logarytm ze zmiennej </w:t>
      </w:r>
      <w:r w:rsidRPr="006D30C6">
        <w:rPr>
          <w:rFonts w:ascii="Times New Roman" w:eastAsiaTheme="minorEastAsia" w:hAnsi="Times New Roman" w:cs="Times New Roman"/>
          <w:i/>
          <w:sz w:val="24"/>
        </w:rPr>
        <w:t>birth_rate</w:t>
      </w:r>
      <w:r w:rsidRPr="006D30C6">
        <w:rPr>
          <w:rFonts w:ascii="Times New Roman" w:eastAsiaTheme="minorEastAsia" w:hAnsi="Times New Roman" w:cs="Times New Roman"/>
          <w:sz w:val="24"/>
        </w:rPr>
        <w:t xml:space="preserve"> ma rozk</w:t>
      </w:r>
      <w:r w:rsidR="002A768A" w:rsidRPr="006D30C6">
        <w:rPr>
          <w:rFonts w:ascii="Times New Roman" w:eastAsiaTheme="minorEastAsia" w:hAnsi="Times New Roman" w:cs="Times New Roman"/>
          <w:sz w:val="24"/>
        </w:rPr>
        <w:t>ład normalny, dlatego szacuję</w:t>
      </w:r>
      <w:r w:rsidR="006D30C6">
        <w:rPr>
          <w:rFonts w:ascii="Times New Roman" w:eastAsiaTheme="minorEastAsia" w:hAnsi="Times New Roman" w:cs="Times New Roman"/>
          <w:sz w:val="24"/>
        </w:rPr>
        <w:t xml:space="preserve"> </w:t>
      </w:r>
      <w:r w:rsidRPr="006D30C6">
        <w:rPr>
          <w:rFonts w:ascii="Times New Roman" w:eastAsiaTheme="minorEastAsia" w:hAnsi="Times New Roman" w:cs="Times New Roman"/>
          <w:sz w:val="24"/>
        </w:rPr>
        <w:t xml:space="preserve">model ekonometryczny ze zmienną zależną </w:t>
      </w:r>
      <w:r w:rsidRPr="006D30C6">
        <w:rPr>
          <w:rFonts w:ascii="Times New Roman" w:eastAsiaTheme="minorEastAsia" w:hAnsi="Times New Roman" w:cs="Times New Roman"/>
          <w:i/>
          <w:sz w:val="24"/>
        </w:rPr>
        <w:t>ln_birth rate</w:t>
      </w:r>
      <w:r w:rsidRPr="006D30C6">
        <w:rPr>
          <w:rFonts w:ascii="Times New Roman" w:eastAsiaTheme="minorEastAsia" w:hAnsi="Times New Roman" w:cs="Times New Roman"/>
          <w:sz w:val="24"/>
        </w:rPr>
        <w:t xml:space="preserve">. </w:t>
      </w:r>
      <w:r w:rsidR="002A768A" w:rsidRPr="006D30C6">
        <w:rPr>
          <w:rFonts w:ascii="Times New Roman" w:eastAsiaTheme="minorEastAsia" w:hAnsi="Times New Roman" w:cs="Times New Roman"/>
          <w:sz w:val="24"/>
        </w:rPr>
        <w:t xml:space="preserve">Przedstawiam kolejne iteracje modelu wraz z uzasadnieniem ich zastosowania. </w:t>
      </w:r>
    </w:p>
    <w:p w:rsidR="00966513" w:rsidRPr="006D30C6" w:rsidRDefault="00A65AAD" w:rsidP="006D30C6">
      <w:pPr>
        <w:spacing w:line="360" w:lineRule="auto"/>
        <w:jc w:val="both"/>
        <w:rPr>
          <w:rFonts w:ascii="Times New Roman" w:eastAsiaTheme="minorEastAsia" w:hAnsi="Times New Roman" w:cs="Times New Roman"/>
          <w:sz w:val="24"/>
        </w:rPr>
      </w:pPr>
      <w:r w:rsidRPr="006D30C6">
        <w:rPr>
          <w:rFonts w:ascii="Times New Roman" w:eastAsiaTheme="minorEastAsia" w:hAnsi="Times New Roman" w:cs="Times New Roman"/>
          <w:sz w:val="24"/>
        </w:rPr>
        <w:tab/>
      </w:r>
      <w:r w:rsidR="00966513" w:rsidRPr="006D30C6">
        <w:rPr>
          <w:rFonts w:ascii="Times New Roman" w:eastAsiaTheme="minorEastAsia" w:hAnsi="Times New Roman" w:cs="Times New Roman"/>
          <w:sz w:val="24"/>
        </w:rPr>
        <w:t>Postać analityczna wstępnego</w:t>
      </w:r>
      <w:r w:rsidR="00C71964">
        <w:rPr>
          <w:rFonts w:ascii="Times New Roman" w:eastAsiaTheme="minorEastAsia" w:hAnsi="Times New Roman" w:cs="Times New Roman"/>
          <w:sz w:val="24"/>
        </w:rPr>
        <w:t>, pierwszego</w:t>
      </w:r>
      <w:r w:rsidR="00966513" w:rsidRPr="006D30C6">
        <w:rPr>
          <w:rFonts w:ascii="Times New Roman" w:eastAsiaTheme="minorEastAsia" w:hAnsi="Times New Roman" w:cs="Times New Roman"/>
          <w:sz w:val="24"/>
        </w:rPr>
        <w:t xml:space="preserve"> równania regresji wygląda następująco:</w:t>
      </w:r>
    </w:p>
    <w:p w:rsidR="003741E6" w:rsidRPr="007D722B" w:rsidRDefault="00966513" w:rsidP="00B46A60">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avg.people.per.hous</m:t>
          </m:r>
          <m: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bus.stops+ε</m:t>
          </m:r>
        </m:oMath>
      </m:oMathPara>
    </w:p>
    <w:p w:rsidR="00B6089B" w:rsidRPr="001E16E8" w:rsidRDefault="00C074CC" w:rsidP="006D30C6">
      <w:pPr>
        <w:spacing w:after="0" w:line="360" w:lineRule="auto"/>
        <w:jc w:val="both"/>
        <w:rPr>
          <w:rFonts w:ascii="Times New Roman" w:eastAsiaTheme="minorEastAsia" w:hAnsi="Times New Roman" w:cs="Times New Roman"/>
          <w:sz w:val="24"/>
        </w:rPr>
      </w:pPr>
      <w:r>
        <w:rPr>
          <w:rFonts w:eastAsiaTheme="minorEastAsia"/>
        </w:rPr>
        <w:tab/>
      </w:r>
      <w:r w:rsidRPr="001E16E8">
        <w:rPr>
          <w:rFonts w:ascii="Times New Roman" w:eastAsiaTheme="minorEastAsia" w:hAnsi="Times New Roman" w:cs="Times New Roman"/>
          <w:sz w:val="24"/>
        </w:rPr>
        <w:t>Przyjmując poziom istotności α</w:t>
      </w:r>
      <w:r w:rsidR="002E5A62" w:rsidRPr="001E16E8">
        <w:rPr>
          <w:rFonts w:ascii="Times New Roman" w:eastAsiaTheme="minorEastAsia" w:hAnsi="Times New Roman" w:cs="Times New Roman"/>
          <w:sz w:val="24"/>
        </w:rPr>
        <w:t xml:space="preserve"> = 5%, hipoteza o łą</w:t>
      </w:r>
      <w:r w:rsidR="001E16E8">
        <w:rPr>
          <w:rFonts w:ascii="Times New Roman" w:eastAsiaTheme="minorEastAsia" w:hAnsi="Times New Roman" w:cs="Times New Roman"/>
          <w:sz w:val="24"/>
        </w:rPr>
        <w:t>cznej nieistotności zmiennych w </w:t>
      </w:r>
      <w:r w:rsidR="002E5A62" w:rsidRPr="001E16E8">
        <w:rPr>
          <w:rFonts w:ascii="Times New Roman" w:eastAsiaTheme="minorEastAsia" w:hAnsi="Times New Roman" w:cs="Times New Roman"/>
          <w:sz w:val="24"/>
        </w:rPr>
        <w:t xml:space="preserve">modelu </w:t>
      </w:r>
      <w:r w:rsidR="007D722B" w:rsidRPr="001E16E8">
        <w:rPr>
          <w:rFonts w:ascii="Times New Roman" w:eastAsiaTheme="minorEastAsia" w:hAnsi="Times New Roman" w:cs="Times New Roman"/>
          <w:sz w:val="24"/>
        </w:rPr>
        <w:t xml:space="preserve">1. </w:t>
      </w:r>
      <w:r w:rsidR="00C71964">
        <w:rPr>
          <w:rFonts w:ascii="Times New Roman" w:eastAsiaTheme="minorEastAsia" w:hAnsi="Times New Roman" w:cs="Times New Roman"/>
          <w:sz w:val="24"/>
        </w:rPr>
        <w:t>(Załącznik 2</w:t>
      </w:r>
      <w:r w:rsidR="002E5A62" w:rsidRPr="001E16E8">
        <w:rPr>
          <w:rFonts w:ascii="Times New Roman" w:eastAsiaTheme="minorEastAsia" w:hAnsi="Times New Roman" w:cs="Times New Roman"/>
          <w:sz w:val="24"/>
        </w:rPr>
        <w:t xml:space="preserve">.) zostaje odrzucona (p-value &lt; 0.05). Model tłumaczy w </w:t>
      </w:r>
      <w:r w:rsidR="003B75F2" w:rsidRPr="001E16E8">
        <w:rPr>
          <w:rFonts w:ascii="Times New Roman" w:eastAsiaTheme="minorEastAsia" w:hAnsi="Times New Roman" w:cs="Times New Roman"/>
          <w:sz w:val="24"/>
        </w:rPr>
        <w:t>76.71</w:t>
      </w:r>
      <w:r w:rsidR="002E5A62" w:rsidRPr="001E16E8">
        <w:rPr>
          <w:rFonts w:ascii="Times New Roman" w:eastAsiaTheme="minorEastAsia" w:hAnsi="Times New Roman" w:cs="Times New Roman"/>
          <w:sz w:val="24"/>
        </w:rPr>
        <w:t>% zmienność logarytmu współczynnika urodzeń. Jedna</w:t>
      </w:r>
      <w:r w:rsidR="00A65AAD" w:rsidRPr="001E16E8">
        <w:rPr>
          <w:rFonts w:ascii="Times New Roman" w:eastAsiaTheme="minorEastAsia" w:hAnsi="Times New Roman" w:cs="Times New Roman"/>
          <w:sz w:val="24"/>
        </w:rPr>
        <w:t xml:space="preserve">k </w:t>
      </w:r>
      <w:r w:rsidR="003B75F2" w:rsidRPr="001E16E8">
        <w:rPr>
          <w:rFonts w:ascii="Times New Roman" w:eastAsiaTheme="minorEastAsia" w:hAnsi="Times New Roman" w:cs="Times New Roman"/>
          <w:sz w:val="24"/>
        </w:rPr>
        <w:t>13</w:t>
      </w:r>
      <w:r w:rsidR="002E5A62" w:rsidRPr="001E16E8">
        <w:rPr>
          <w:rFonts w:ascii="Times New Roman" w:eastAsiaTheme="minorEastAsia" w:hAnsi="Times New Roman" w:cs="Times New Roman"/>
          <w:sz w:val="24"/>
        </w:rPr>
        <w:t xml:space="preserve"> zmiennych jest pojedynczo nieistotnych</w:t>
      </w:r>
      <w:r w:rsidR="007940D9" w:rsidRPr="001E16E8">
        <w:rPr>
          <w:rFonts w:ascii="Times New Roman" w:eastAsiaTheme="minorEastAsia" w:hAnsi="Times New Roman" w:cs="Times New Roman"/>
          <w:sz w:val="24"/>
        </w:rPr>
        <w:t xml:space="preserve"> statystycznie (p-value &gt; 0.05), w związku z tym przeprowadzono kolejne iteracje pozwalające na </w:t>
      </w:r>
      <w:r w:rsidR="00A65AAD" w:rsidRPr="001E16E8">
        <w:rPr>
          <w:rFonts w:ascii="Times New Roman" w:eastAsiaTheme="minorEastAsia" w:hAnsi="Times New Roman" w:cs="Times New Roman"/>
          <w:sz w:val="24"/>
        </w:rPr>
        <w:t xml:space="preserve">stworzenie wersji modelu zawierającej jedynie </w:t>
      </w:r>
      <w:r w:rsidR="007940D9" w:rsidRPr="001E16E8">
        <w:rPr>
          <w:rFonts w:ascii="Times New Roman" w:eastAsiaTheme="minorEastAsia" w:hAnsi="Times New Roman" w:cs="Times New Roman"/>
          <w:sz w:val="24"/>
        </w:rPr>
        <w:t>zmienne pojedynczo istotne statystycznie.</w:t>
      </w:r>
    </w:p>
    <w:p w:rsidR="00695CE5" w:rsidRPr="001E16E8" w:rsidRDefault="007D722B" w:rsidP="001E16E8">
      <w:pPr>
        <w:spacing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W kolejnym kroku dodano zmienne </w:t>
      </w:r>
      <w:r w:rsidR="00A65AAD" w:rsidRPr="001E16E8">
        <w:rPr>
          <w:rFonts w:ascii="Times New Roman" w:eastAsiaTheme="minorEastAsia" w:hAnsi="Times New Roman" w:cs="Times New Roman"/>
          <w:sz w:val="24"/>
        </w:rPr>
        <w:t>bę</w:t>
      </w:r>
      <w:r w:rsidRPr="001E16E8">
        <w:rPr>
          <w:rFonts w:ascii="Times New Roman" w:eastAsiaTheme="minorEastAsia" w:hAnsi="Times New Roman" w:cs="Times New Roman"/>
          <w:sz w:val="24"/>
        </w:rPr>
        <w:t>dące potęgami oraz interakcjami wcześniej zastosowanych zmiennych.</w:t>
      </w:r>
      <w:r w:rsidR="004E275B" w:rsidRPr="001E16E8">
        <w:rPr>
          <w:rFonts w:ascii="Times New Roman" w:eastAsiaTheme="minorEastAsia" w:hAnsi="Times New Roman" w:cs="Times New Roman"/>
          <w:sz w:val="24"/>
        </w:rPr>
        <w:t xml:space="preserve"> Do modelu dodano interakcję pomiędzy zmiennymi </w:t>
      </w:r>
      <w:r w:rsidR="004E275B" w:rsidRPr="001E16E8">
        <w:rPr>
          <w:rFonts w:ascii="Times New Roman" w:eastAsiaTheme="minorEastAsia" w:hAnsi="Times New Roman" w:cs="Times New Roman"/>
          <w:i/>
          <w:sz w:val="24"/>
        </w:rPr>
        <w:t>nursery_places</w:t>
      </w:r>
      <w:r w:rsidR="004E275B" w:rsidRPr="001E16E8">
        <w:rPr>
          <w:rFonts w:ascii="Times New Roman" w:eastAsiaTheme="minorEastAsia" w:hAnsi="Times New Roman" w:cs="Times New Roman"/>
          <w:sz w:val="24"/>
        </w:rPr>
        <w:t xml:space="preserve"> a </w:t>
      </w:r>
      <w:r w:rsidR="004E275B" w:rsidRPr="001E16E8">
        <w:rPr>
          <w:rFonts w:ascii="Times New Roman" w:eastAsiaTheme="minorEastAsia" w:hAnsi="Times New Roman" w:cs="Times New Roman"/>
          <w:i/>
          <w:sz w:val="24"/>
        </w:rPr>
        <w:t>children</w:t>
      </w:r>
      <w:r w:rsidR="004E275B" w:rsidRPr="001E16E8">
        <w:rPr>
          <w:rFonts w:ascii="Times New Roman" w:eastAsiaTheme="minorEastAsia" w:hAnsi="Times New Roman" w:cs="Times New Roman"/>
          <w:sz w:val="24"/>
        </w:rPr>
        <w:t xml:space="preserve"> (chcąc przeanalizować zjawisko </w:t>
      </w:r>
      <w:r w:rsidR="001E16E8">
        <w:rPr>
          <w:rFonts w:ascii="Times New Roman" w:eastAsiaTheme="minorEastAsia" w:hAnsi="Times New Roman" w:cs="Times New Roman"/>
          <w:sz w:val="24"/>
        </w:rPr>
        <w:t>synergii między liczbą dzieci w </w:t>
      </w:r>
      <w:r w:rsidR="004E275B" w:rsidRPr="001E16E8">
        <w:rPr>
          <w:rFonts w:ascii="Times New Roman" w:eastAsiaTheme="minorEastAsia" w:hAnsi="Times New Roman" w:cs="Times New Roman"/>
          <w:sz w:val="24"/>
        </w:rPr>
        <w:t>wieku do 2 lat oraz liczbą miejsc w żłobkach w danym powiecie lub mieście na prawach powiatu).</w:t>
      </w:r>
      <w:r w:rsidR="001925E8" w:rsidRPr="001E16E8">
        <w:rPr>
          <w:rFonts w:ascii="Times New Roman" w:eastAsiaTheme="minorEastAsia" w:hAnsi="Times New Roman" w:cs="Times New Roman"/>
          <w:sz w:val="24"/>
        </w:rPr>
        <w:t xml:space="preserve"> Kolejna</w:t>
      </w:r>
      <w:r w:rsidR="004E275B" w:rsidRPr="001E16E8">
        <w:rPr>
          <w:rFonts w:ascii="Times New Roman" w:eastAsiaTheme="minorEastAsia" w:hAnsi="Times New Roman" w:cs="Times New Roman"/>
          <w:sz w:val="24"/>
        </w:rPr>
        <w:t xml:space="preserve"> interakcja zmiennych zachodzi pomiędzy </w:t>
      </w:r>
      <w:r w:rsidR="001925E8" w:rsidRPr="001E16E8">
        <w:rPr>
          <w:rFonts w:ascii="Times New Roman" w:eastAsiaTheme="minorEastAsia" w:hAnsi="Times New Roman" w:cs="Times New Roman"/>
          <w:i/>
          <w:sz w:val="24"/>
        </w:rPr>
        <w:t>education_expenditure</w:t>
      </w:r>
      <w:r w:rsidR="001925E8" w:rsidRPr="001E16E8">
        <w:rPr>
          <w:rFonts w:ascii="Times New Roman" w:eastAsiaTheme="minorEastAsia" w:hAnsi="Times New Roman" w:cs="Times New Roman"/>
          <w:sz w:val="24"/>
        </w:rPr>
        <w:t xml:space="preserve"> a </w:t>
      </w:r>
      <w:r w:rsidR="001925E8" w:rsidRPr="001E16E8">
        <w:rPr>
          <w:rFonts w:ascii="Times New Roman" w:eastAsiaTheme="minorEastAsia" w:hAnsi="Times New Roman" w:cs="Times New Roman"/>
          <w:i/>
          <w:sz w:val="24"/>
        </w:rPr>
        <w:t>children</w:t>
      </w:r>
      <w:r w:rsidR="00A65AAD" w:rsidRPr="001E16E8">
        <w:rPr>
          <w:rFonts w:ascii="Times New Roman" w:eastAsiaTheme="minorEastAsia" w:hAnsi="Times New Roman" w:cs="Times New Roman"/>
          <w:sz w:val="24"/>
        </w:rPr>
        <w:t>, również i w tym przypadku chcę zbadać cz</w:t>
      </w:r>
      <w:r w:rsidR="00315962" w:rsidRPr="001E16E8">
        <w:rPr>
          <w:rFonts w:ascii="Times New Roman" w:eastAsiaTheme="minorEastAsia" w:hAnsi="Times New Roman" w:cs="Times New Roman"/>
          <w:sz w:val="24"/>
        </w:rPr>
        <w:t>y nastąpi wzmocnienie efektu wpływu zmiennych na współczynnik urodzeń.</w:t>
      </w:r>
    </w:p>
    <w:p w:rsidR="007D722B" w:rsidRPr="007D722B" w:rsidRDefault="007D722B" w:rsidP="007D722B">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m:t>
          </m:r>
          <m:r>
            <w:rPr>
              <w:rFonts w:ascii="Cambria Math" w:eastAsiaTheme="minorEastAsia" w:hAnsi="Cambria Math"/>
            </w:rPr>
            <m:t>+ε</m:t>
          </m:r>
        </m:oMath>
      </m:oMathPara>
    </w:p>
    <w:p w:rsidR="00564C0B" w:rsidRPr="001E16E8" w:rsidRDefault="00A36055" w:rsidP="006D30C6">
      <w:pPr>
        <w:spacing w:after="0" w:line="360" w:lineRule="auto"/>
        <w:jc w:val="both"/>
        <w:rPr>
          <w:rFonts w:ascii="Times New Roman" w:eastAsiaTheme="minorEastAsia" w:hAnsi="Times New Roman" w:cs="Times New Roman"/>
          <w:sz w:val="24"/>
          <w:szCs w:val="24"/>
        </w:rPr>
      </w:pPr>
      <w:r>
        <w:rPr>
          <w:rFonts w:eastAsiaTheme="minorEastAsia" w:cstheme="minorHAnsi"/>
        </w:rPr>
        <w:tab/>
      </w:r>
      <w:r w:rsidR="007F5077" w:rsidRPr="001E16E8">
        <w:rPr>
          <w:rFonts w:ascii="Times New Roman" w:eastAsiaTheme="minorEastAsia" w:hAnsi="Times New Roman" w:cs="Times New Roman"/>
          <w:sz w:val="24"/>
          <w:szCs w:val="24"/>
        </w:rPr>
        <w:t>Wyniki</w:t>
      </w:r>
      <w:r w:rsidR="00C71964">
        <w:rPr>
          <w:rFonts w:ascii="Times New Roman" w:eastAsiaTheme="minorEastAsia" w:hAnsi="Times New Roman" w:cs="Times New Roman"/>
          <w:sz w:val="24"/>
          <w:szCs w:val="24"/>
        </w:rPr>
        <w:t xml:space="preserve"> regresji modelu (Załącznik 3</w:t>
      </w:r>
      <w:r w:rsidR="007F5077" w:rsidRPr="001E16E8">
        <w:rPr>
          <w:rFonts w:ascii="Times New Roman" w:eastAsiaTheme="minorEastAsia" w:hAnsi="Times New Roman" w:cs="Times New Roman"/>
          <w:sz w:val="24"/>
          <w:szCs w:val="24"/>
        </w:rPr>
        <w:t>.) poprawiły się w stosunku do wstępnej postaci, ponieważ skorygowany współc</w:t>
      </w:r>
      <w:r w:rsidR="001E3763" w:rsidRPr="001E16E8">
        <w:rPr>
          <w:rFonts w:ascii="Times New Roman" w:eastAsiaTheme="minorEastAsia" w:hAnsi="Times New Roman" w:cs="Times New Roman"/>
          <w:sz w:val="24"/>
          <w:szCs w:val="24"/>
        </w:rPr>
        <w:t>zynnik determinacji wynosi 75.4% (w porównaniu z 75.06</w:t>
      </w:r>
      <w:r w:rsidR="00315962" w:rsidRPr="001E16E8">
        <w:rPr>
          <w:rFonts w:ascii="Times New Roman" w:eastAsiaTheme="minorEastAsia" w:hAnsi="Times New Roman" w:cs="Times New Roman"/>
          <w:sz w:val="24"/>
          <w:szCs w:val="24"/>
        </w:rPr>
        <w:t>%). Iteracja ta tłumaczy 77.22</w:t>
      </w:r>
      <w:r w:rsidR="007F5077" w:rsidRPr="001E16E8">
        <w:rPr>
          <w:rFonts w:ascii="Times New Roman" w:eastAsiaTheme="minorEastAsia" w:hAnsi="Times New Roman" w:cs="Times New Roman"/>
          <w:sz w:val="24"/>
          <w:szCs w:val="24"/>
        </w:rPr>
        <w:t xml:space="preserve">% zmienności zlogarytmowanego współczynnika urodzeń. Pomimo, że wszystkie zmienne są łącznie istotne statystycznie, to </w:t>
      </w:r>
      <w:r w:rsidR="00E451D5" w:rsidRPr="001E16E8">
        <w:rPr>
          <w:rFonts w:ascii="Times New Roman" w:eastAsiaTheme="minorEastAsia" w:hAnsi="Times New Roman" w:cs="Times New Roman"/>
          <w:sz w:val="24"/>
          <w:szCs w:val="24"/>
        </w:rPr>
        <w:t>15</w:t>
      </w:r>
      <w:r w:rsidRPr="001E16E8">
        <w:rPr>
          <w:rFonts w:ascii="Times New Roman" w:eastAsiaTheme="minorEastAsia" w:hAnsi="Times New Roman" w:cs="Times New Roman"/>
          <w:sz w:val="24"/>
          <w:szCs w:val="24"/>
        </w:rPr>
        <w:t xml:space="preserve"> z nich jest pojedynczo nieistotna statystycznie, więc wnioskowanie na ich podstawie będzie obarczone błędem</w:t>
      </w:r>
      <w:r w:rsidR="00564C0B" w:rsidRPr="001E16E8">
        <w:rPr>
          <w:rFonts w:ascii="Times New Roman" w:eastAsiaTheme="minorEastAsia" w:hAnsi="Times New Roman" w:cs="Times New Roman"/>
          <w:sz w:val="24"/>
          <w:szCs w:val="24"/>
        </w:rPr>
        <w:t>.</w:t>
      </w:r>
    </w:p>
    <w:p w:rsidR="00564C0B" w:rsidRPr="001E16E8" w:rsidRDefault="00315962" w:rsidP="001E16E8">
      <w:pPr>
        <w:spacing w:line="360" w:lineRule="auto"/>
        <w:jc w:val="both"/>
        <w:rPr>
          <w:rFonts w:ascii="Times New Roman" w:eastAsiaTheme="minorEastAsia" w:hAnsi="Times New Roman" w:cs="Times New Roman"/>
          <w:sz w:val="24"/>
          <w:szCs w:val="24"/>
        </w:rPr>
      </w:pPr>
      <w:r w:rsidRPr="001E16E8">
        <w:rPr>
          <w:rFonts w:ascii="Times New Roman" w:eastAsiaTheme="minorEastAsia" w:hAnsi="Times New Roman" w:cs="Times New Roman"/>
          <w:sz w:val="24"/>
          <w:szCs w:val="24"/>
        </w:rPr>
        <w:tab/>
        <w:t xml:space="preserve">Chcę </w:t>
      </w:r>
      <w:r w:rsidR="00564C0B" w:rsidRPr="001E16E8">
        <w:rPr>
          <w:rFonts w:ascii="Times New Roman" w:eastAsiaTheme="minorEastAsia" w:hAnsi="Times New Roman" w:cs="Times New Roman"/>
          <w:sz w:val="24"/>
          <w:szCs w:val="24"/>
        </w:rPr>
        <w:t>również</w:t>
      </w:r>
      <w:r w:rsidR="00A36055" w:rsidRPr="001E16E8">
        <w:rPr>
          <w:rFonts w:ascii="Times New Roman" w:eastAsiaTheme="minorEastAsia" w:hAnsi="Times New Roman" w:cs="Times New Roman"/>
          <w:sz w:val="24"/>
          <w:szCs w:val="24"/>
        </w:rPr>
        <w:t xml:space="preserve"> uwzględnić w modelu zlogarytmowane zmienne zaproponowane przez Ermischa w 1998 roku (</w:t>
      </w:r>
      <w:r w:rsidR="00A36055" w:rsidRPr="001E16E8">
        <w:rPr>
          <w:rFonts w:ascii="Times New Roman" w:eastAsiaTheme="minorEastAsia" w:hAnsi="Times New Roman" w:cs="Times New Roman"/>
          <w:i/>
          <w:sz w:val="24"/>
          <w:szCs w:val="24"/>
        </w:rPr>
        <w:t>ln_unemployment_rate</w:t>
      </w:r>
      <w:r w:rsidR="00A36055" w:rsidRPr="001E16E8">
        <w:rPr>
          <w:rFonts w:ascii="Times New Roman" w:eastAsiaTheme="minorEastAsia" w:hAnsi="Times New Roman" w:cs="Times New Roman"/>
          <w:sz w:val="24"/>
          <w:szCs w:val="24"/>
        </w:rPr>
        <w:t xml:space="preserve">, </w:t>
      </w:r>
      <w:r w:rsidR="00A36055" w:rsidRPr="001E16E8">
        <w:rPr>
          <w:rFonts w:ascii="Times New Roman" w:eastAsiaTheme="minorEastAsia" w:hAnsi="Times New Roman" w:cs="Times New Roman"/>
          <w:i/>
          <w:sz w:val="24"/>
          <w:szCs w:val="24"/>
        </w:rPr>
        <w:t>ln_avg_salary</w:t>
      </w:r>
      <w:r w:rsidR="00A36055" w:rsidRPr="001E16E8">
        <w:rPr>
          <w:rFonts w:ascii="Times New Roman" w:eastAsiaTheme="minorEastAsia" w:hAnsi="Times New Roman" w:cs="Times New Roman"/>
          <w:sz w:val="24"/>
          <w:szCs w:val="24"/>
        </w:rPr>
        <w:t xml:space="preserve"> oraz </w:t>
      </w:r>
      <w:r w:rsidR="00A36055" w:rsidRPr="001E16E8">
        <w:rPr>
          <w:rFonts w:ascii="Times New Roman" w:eastAsiaTheme="minorEastAsia" w:hAnsi="Times New Roman" w:cs="Times New Roman"/>
          <w:i/>
          <w:sz w:val="24"/>
          <w:szCs w:val="24"/>
        </w:rPr>
        <w:t>ln_median_house_price</w:t>
      </w:r>
      <w:r w:rsidR="001E16E8" w:rsidRPr="001E16E8">
        <w:rPr>
          <w:rFonts w:ascii="Times New Roman" w:eastAsiaTheme="minorEastAsia" w:hAnsi="Times New Roman" w:cs="Times New Roman"/>
          <w:sz w:val="24"/>
          <w:szCs w:val="24"/>
        </w:rPr>
        <w:t>) dlatego dokonuje</w:t>
      </w:r>
      <w:r w:rsidR="00A36055" w:rsidRPr="001E16E8">
        <w:rPr>
          <w:rFonts w:ascii="Times New Roman" w:eastAsiaTheme="minorEastAsia" w:hAnsi="Times New Roman" w:cs="Times New Roman"/>
          <w:sz w:val="24"/>
          <w:szCs w:val="24"/>
        </w:rPr>
        <w:t xml:space="preserve"> kolejnej iteracji.</w:t>
      </w:r>
    </w:p>
    <w:p w:rsidR="00E52717" w:rsidRDefault="00564C0B" w:rsidP="002E5A62">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ln 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avg.salary</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median.house.price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education.expenditure*children+ε</m:t>
          </m:r>
        </m:oMath>
      </m:oMathPara>
    </w:p>
    <w:p w:rsidR="00B37D9B" w:rsidRPr="001E16E8" w:rsidRDefault="00E52717" w:rsidP="006D30C6">
      <w:pPr>
        <w:spacing w:after="0" w:line="360" w:lineRule="auto"/>
        <w:jc w:val="both"/>
        <w:rPr>
          <w:rFonts w:ascii="Times New Roman" w:eastAsiaTheme="minorEastAsia" w:hAnsi="Times New Roman" w:cs="Times New Roman"/>
          <w:sz w:val="24"/>
        </w:rPr>
      </w:pPr>
      <w:r>
        <w:rPr>
          <w:rFonts w:eastAsiaTheme="minorEastAsia" w:cstheme="minorHAnsi"/>
        </w:rPr>
        <w:tab/>
      </w:r>
      <w:r w:rsidRPr="001E16E8">
        <w:rPr>
          <w:rFonts w:ascii="Times New Roman" w:eastAsiaTheme="minorEastAsia" w:hAnsi="Times New Roman" w:cs="Times New Roman"/>
          <w:sz w:val="24"/>
        </w:rPr>
        <w:t>Rezultaty</w:t>
      </w:r>
      <w:r w:rsidR="00C71964">
        <w:rPr>
          <w:rFonts w:ascii="Times New Roman" w:eastAsiaTheme="minorEastAsia" w:hAnsi="Times New Roman" w:cs="Times New Roman"/>
          <w:sz w:val="24"/>
        </w:rPr>
        <w:t xml:space="preserve"> regresji liniowej dla modelu w wersji przejściowej </w:t>
      </w:r>
      <w:r w:rsidR="00DC0DE3" w:rsidRPr="001E16E8">
        <w:rPr>
          <w:rFonts w:ascii="Times New Roman" w:eastAsiaTheme="minorEastAsia" w:hAnsi="Times New Roman" w:cs="Times New Roman"/>
          <w:sz w:val="24"/>
        </w:rPr>
        <w:t>(Z</w:t>
      </w:r>
      <w:r w:rsidR="00C71964">
        <w:rPr>
          <w:rFonts w:ascii="Times New Roman" w:eastAsiaTheme="minorEastAsia" w:hAnsi="Times New Roman" w:cs="Times New Roman"/>
          <w:sz w:val="24"/>
        </w:rPr>
        <w:t>ałącznik 4</w:t>
      </w:r>
      <w:r w:rsidR="00D07970" w:rsidRPr="001E16E8">
        <w:rPr>
          <w:rFonts w:ascii="Times New Roman" w:eastAsiaTheme="minorEastAsia" w:hAnsi="Times New Roman" w:cs="Times New Roman"/>
          <w:sz w:val="24"/>
        </w:rPr>
        <w:t xml:space="preserve">.) </w:t>
      </w:r>
      <w:r w:rsidRPr="001E16E8">
        <w:rPr>
          <w:rFonts w:ascii="Times New Roman" w:eastAsiaTheme="minorEastAsia" w:hAnsi="Times New Roman" w:cs="Times New Roman"/>
          <w:sz w:val="24"/>
        </w:rPr>
        <w:t>poprawiły s</w:t>
      </w:r>
      <w:r w:rsidR="00E451D5" w:rsidRPr="001E16E8">
        <w:rPr>
          <w:rFonts w:ascii="Times New Roman" w:eastAsiaTheme="minorEastAsia" w:hAnsi="Times New Roman" w:cs="Times New Roman"/>
          <w:sz w:val="24"/>
        </w:rPr>
        <w:t xml:space="preserve">ię o 0.18 punkta </w:t>
      </w:r>
      <w:r w:rsidRPr="001E16E8">
        <w:rPr>
          <w:rFonts w:ascii="Times New Roman" w:eastAsiaTheme="minorEastAsia" w:hAnsi="Times New Roman" w:cs="Times New Roman"/>
          <w:sz w:val="24"/>
        </w:rPr>
        <w:t>procentowe</w:t>
      </w:r>
      <w:r w:rsidR="00E451D5" w:rsidRPr="001E16E8">
        <w:rPr>
          <w:rFonts w:ascii="Times New Roman" w:eastAsiaTheme="minorEastAsia" w:hAnsi="Times New Roman" w:cs="Times New Roman"/>
          <w:sz w:val="24"/>
        </w:rPr>
        <w:t>go</w:t>
      </w:r>
      <w:r w:rsidRPr="001E16E8">
        <w:rPr>
          <w:rFonts w:ascii="Times New Roman" w:eastAsiaTheme="minorEastAsia" w:hAnsi="Times New Roman" w:cs="Times New Roman"/>
          <w:sz w:val="24"/>
        </w:rPr>
        <w:t xml:space="preserve"> w stosunku do poprzednie</w:t>
      </w:r>
      <w:r w:rsidR="00E451D5" w:rsidRPr="001E16E8">
        <w:rPr>
          <w:rFonts w:ascii="Times New Roman" w:eastAsiaTheme="minorEastAsia" w:hAnsi="Times New Roman" w:cs="Times New Roman"/>
          <w:sz w:val="24"/>
        </w:rPr>
        <w:t>j iteracji. Model tłumaczy 77.39</w:t>
      </w:r>
      <w:r w:rsidRPr="001E16E8">
        <w:rPr>
          <w:rFonts w:ascii="Times New Roman" w:eastAsiaTheme="minorEastAsia" w:hAnsi="Times New Roman" w:cs="Times New Roman"/>
          <w:sz w:val="24"/>
        </w:rPr>
        <w:t xml:space="preserve">% zmienności logarytmu współczynnika wynagrodzeń, </w:t>
      </w:r>
      <w:r w:rsidR="00C71964">
        <w:rPr>
          <w:rFonts w:ascii="Times New Roman" w:eastAsiaTheme="minorEastAsia" w:hAnsi="Times New Roman" w:cs="Times New Roman"/>
          <w:sz w:val="24"/>
        </w:rPr>
        <w:t>zmienne zastosowane w modelu są </w:t>
      </w:r>
      <w:r w:rsidRPr="001E16E8">
        <w:rPr>
          <w:rFonts w:ascii="Times New Roman" w:eastAsiaTheme="minorEastAsia" w:hAnsi="Times New Roman" w:cs="Times New Roman"/>
          <w:sz w:val="24"/>
        </w:rPr>
        <w:t>łącznie istotne sta</w:t>
      </w:r>
      <w:r w:rsidR="00315962" w:rsidRPr="001E16E8">
        <w:rPr>
          <w:rFonts w:ascii="Times New Roman" w:eastAsiaTheme="minorEastAsia" w:hAnsi="Times New Roman" w:cs="Times New Roman"/>
          <w:sz w:val="24"/>
        </w:rPr>
        <w:t>tycznie, ale nadal wiele z nich</w:t>
      </w:r>
      <w:r w:rsidRPr="001E16E8">
        <w:rPr>
          <w:rFonts w:ascii="Times New Roman" w:eastAsiaTheme="minorEastAsia" w:hAnsi="Times New Roman" w:cs="Times New Roman"/>
          <w:sz w:val="24"/>
        </w:rPr>
        <w:t xml:space="preserve"> jest pojedynczo nieistotna. W związku z tym przeprowadzono </w:t>
      </w:r>
      <w:r w:rsidR="00B37D9B" w:rsidRPr="001E16E8">
        <w:rPr>
          <w:rFonts w:ascii="Times New Roman" w:eastAsiaTheme="minorEastAsia" w:hAnsi="Times New Roman" w:cs="Times New Roman"/>
          <w:sz w:val="24"/>
        </w:rPr>
        <w:t>procedurę GETS (</w:t>
      </w:r>
      <w:r w:rsidR="00B37D9B" w:rsidRPr="001E16E8">
        <w:rPr>
          <w:rFonts w:ascii="Times New Roman" w:eastAsiaTheme="minorEastAsia" w:hAnsi="Times New Roman" w:cs="Times New Roman"/>
          <w:i/>
          <w:sz w:val="24"/>
        </w:rPr>
        <w:t>General-To-Specific</w:t>
      </w:r>
      <w:r w:rsidR="00B37D9B" w:rsidRPr="001E16E8">
        <w:rPr>
          <w:rFonts w:ascii="Times New Roman" w:eastAsiaTheme="minorEastAsia" w:hAnsi="Times New Roman" w:cs="Times New Roman"/>
          <w:sz w:val="24"/>
        </w:rPr>
        <w:t>), czyli m</w:t>
      </w:r>
      <w:r w:rsidR="00C71964">
        <w:rPr>
          <w:rFonts w:ascii="Times New Roman" w:eastAsiaTheme="minorEastAsia" w:hAnsi="Times New Roman" w:cs="Times New Roman"/>
          <w:sz w:val="24"/>
        </w:rPr>
        <w:t>etodę „od ogółu do </w:t>
      </w:r>
      <w:r w:rsidR="001E16E8">
        <w:rPr>
          <w:rFonts w:ascii="Times New Roman" w:eastAsiaTheme="minorEastAsia" w:hAnsi="Times New Roman" w:cs="Times New Roman"/>
          <w:sz w:val="24"/>
        </w:rPr>
        <w:t>szczegółu” w </w:t>
      </w:r>
      <w:r w:rsidR="00B37D9B" w:rsidRPr="001E16E8">
        <w:rPr>
          <w:rFonts w:ascii="Times New Roman" w:eastAsiaTheme="minorEastAsia" w:hAnsi="Times New Roman" w:cs="Times New Roman"/>
          <w:sz w:val="24"/>
        </w:rPr>
        <w:t>celu usunięcia zmiennych pojedynczo nieistotnych statystycznie.</w:t>
      </w:r>
    </w:p>
    <w:p w:rsidR="00C71964" w:rsidRPr="001E16E8" w:rsidRDefault="004E1FAD" w:rsidP="00C71964">
      <w:pPr>
        <w:spacing w:after="0"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Początkowo usunięto zmienne: </w:t>
      </w:r>
      <w:r w:rsidRPr="001E16E8">
        <w:rPr>
          <w:rFonts w:ascii="Times New Roman" w:eastAsiaTheme="minorEastAsia" w:hAnsi="Times New Roman" w:cs="Times New Roman"/>
          <w:i/>
          <w:sz w:val="24"/>
        </w:rPr>
        <w:t>covid19_quarantine</w:t>
      </w:r>
      <w:r w:rsidRPr="001E16E8">
        <w:rPr>
          <w:rFonts w:ascii="Times New Roman" w:eastAsiaTheme="minorEastAsia" w:hAnsi="Times New Roman" w:cs="Times New Roman"/>
          <w:sz w:val="24"/>
        </w:rPr>
        <w:t xml:space="preserve">, </w:t>
      </w:r>
      <w:r w:rsidR="00315962" w:rsidRPr="001E16E8">
        <w:rPr>
          <w:rFonts w:ascii="Times New Roman" w:eastAsiaTheme="minorEastAsia" w:hAnsi="Times New Roman" w:cs="Times New Roman"/>
          <w:i/>
          <w:sz w:val="24"/>
        </w:rPr>
        <w:t>avg_people_per_house</w:t>
      </w:r>
      <w:r w:rsidR="00315962" w:rsidRPr="001E16E8">
        <w:rPr>
          <w:rFonts w:ascii="Times New Roman" w:eastAsiaTheme="minorEastAsia" w:hAnsi="Times New Roman" w:cs="Times New Roman"/>
          <w:sz w:val="24"/>
        </w:rPr>
        <w:t xml:space="preserve">, interakcję zmiennych </w:t>
      </w:r>
      <w:r w:rsidR="00315962" w:rsidRPr="001E16E8">
        <w:rPr>
          <w:rFonts w:ascii="Times New Roman" w:eastAsiaTheme="minorEastAsia" w:hAnsi="Times New Roman" w:cs="Times New Roman"/>
          <w:i/>
          <w:sz w:val="24"/>
        </w:rPr>
        <w:t>nursery_</w:t>
      </w:r>
      <w:r w:rsidR="00315962" w:rsidRPr="001E16E8">
        <w:rPr>
          <w:rFonts w:ascii="Times New Roman" w:eastAsiaTheme="minorEastAsia" w:hAnsi="Times New Roman" w:cs="Times New Roman"/>
          <w:sz w:val="24"/>
        </w:rPr>
        <w:t xml:space="preserve">places i </w:t>
      </w:r>
      <w:r w:rsidR="00315962" w:rsidRPr="001E16E8">
        <w:rPr>
          <w:rFonts w:ascii="Times New Roman" w:eastAsiaTheme="minorEastAsia" w:hAnsi="Times New Roman" w:cs="Times New Roman"/>
          <w:i/>
          <w:sz w:val="24"/>
        </w:rPr>
        <w:t>children</w:t>
      </w:r>
      <w:r w:rsidR="00315962"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zmienną </w:t>
      </w:r>
      <w:r w:rsidRPr="001E16E8">
        <w:rPr>
          <w:rFonts w:ascii="Times New Roman" w:eastAsiaTheme="minorEastAsia" w:hAnsi="Times New Roman" w:cs="Times New Roman"/>
          <w:i/>
          <w:sz w:val="24"/>
        </w:rPr>
        <w:t>women_working,</w:t>
      </w:r>
      <w:r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potęgę </w:t>
      </w:r>
      <w:r w:rsidRPr="001E16E8">
        <w:rPr>
          <w:rFonts w:ascii="Times New Roman" w:eastAsiaTheme="minorEastAsia" w:hAnsi="Times New Roman" w:cs="Times New Roman"/>
          <w:i/>
          <w:sz w:val="24"/>
        </w:rPr>
        <w:t>houses_area_pc</w:t>
      </w:r>
      <w:r w:rsidR="00C01CD5" w:rsidRPr="001E16E8">
        <w:rPr>
          <w:rFonts w:ascii="Times New Roman" w:eastAsiaTheme="minorEastAsia" w:hAnsi="Times New Roman" w:cs="Times New Roman"/>
          <w:i/>
          <w:sz w:val="24"/>
          <w:vertAlign w:val="superscript"/>
        </w:rPr>
        <w:t>2</w:t>
      </w:r>
      <w:r w:rsidR="00C01CD5"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urbanisation_rate</w:t>
      </w:r>
      <w:r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 xml:space="preserve">houses_area_pc, </w:t>
      </w:r>
      <w:r w:rsidRPr="001E16E8">
        <w:rPr>
          <w:rFonts w:ascii="Times New Roman" w:eastAsiaTheme="minorEastAsia" w:hAnsi="Times New Roman" w:cs="Times New Roman"/>
          <w:i/>
          <w:sz w:val="24"/>
        </w:rPr>
        <w:t>budget_reve_pc</w:t>
      </w:r>
      <w:r w:rsidRPr="001E16E8">
        <w:rPr>
          <w:rFonts w:ascii="Times New Roman" w:eastAsiaTheme="minorEastAsia" w:hAnsi="Times New Roman" w:cs="Times New Roman"/>
          <w:sz w:val="24"/>
        </w:rPr>
        <w:t>,</w:t>
      </w:r>
      <w:r w:rsidR="00C01CD5"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covid19_cases</w:t>
      </w:r>
      <w:r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 xml:space="preserve">education_expenditure, femininity_ratio </w:t>
      </w:r>
      <w:r w:rsidR="00C01CD5" w:rsidRPr="001E16E8">
        <w:rPr>
          <w:rFonts w:ascii="Times New Roman" w:eastAsiaTheme="minorEastAsia" w:hAnsi="Times New Roman" w:cs="Times New Roman"/>
          <w:sz w:val="24"/>
        </w:rPr>
        <w:t xml:space="preserve">oraz </w:t>
      </w:r>
      <w:r w:rsidRPr="001E16E8">
        <w:rPr>
          <w:rFonts w:ascii="Times New Roman" w:eastAsiaTheme="minorEastAsia" w:hAnsi="Times New Roman" w:cs="Times New Roman"/>
          <w:i/>
          <w:sz w:val="24"/>
        </w:rPr>
        <w:t>nursery_places</w:t>
      </w:r>
      <w:r w:rsidRPr="001E16E8">
        <w:rPr>
          <w:rFonts w:ascii="Times New Roman" w:eastAsiaTheme="minorEastAsia" w:hAnsi="Times New Roman" w:cs="Times New Roman"/>
          <w:sz w:val="24"/>
        </w:rPr>
        <w:t>. Test hipotezy złożonej stanowiącej o łącznej nieistotności statystycznej powyższych zmiennych wykazał, że nie ma podstaw aby odrzucić hipotezę zerową</w:t>
      </w:r>
      <w:r w:rsidR="00D07970"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przy </w:t>
      </w:r>
      <w:r w:rsidR="00D07970" w:rsidRPr="001E16E8">
        <w:rPr>
          <w:rFonts w:ascii="Times New Roman" w:eastAsiaTheme="minorEastAsia" w:hAnsi="Times New Roman" w:cs="Times New Roman"/>
          <w:sz w:val="24"/>
        </w:rPr>
        <w:t xml:space="preserve">założeniu poziomu istotności α = 0.05). </w:t>
      </w:r>
      <w:r w:rsidR="00C01CD5" w:rsidRPr="001E16E8">
        <w:rPr>
          <w:rFonts w:ascii="Times New Roman" w:eastAsiaTheme="minorEastAsia" w:hAnsi="Times New Roman" w:cs="Times New Roman"/>
          <w:sz w:val="24"/>
        </w:rPr>
        <w:t xml:space="preserve">Pozostałe zmienne nieistotne statystycznie cechowały się p-value </w:t>
      </w:r>
      <w:r w:rsidR="00223CA4" w:rsidRPr="001E16E8">
        <w:rPr>
          <w:rFonts w:ascii="Times New Roman" w:eastAsiaTheme="minorEastAsia" w:hAnsi="Times New Roman" w:cs="Times New Roman"/>
          <w:sz w:val="24"/>
        </w:rPr>
        <w:t>oscylującym wokół</w:t>
      </w:r>
      <w:r w:rsidR="00C01CD5" w:rsidRPr="001E16E8">
        <w:rPr>
          <w:rFonts w:ascii="Times New Roman" w:eastAsiaTheme="minorEastAsia" w:hAnsi="Times New Roman" w:cs="Times New Roman"/>
          <w:sz w:val="24"/>
        </w:rPr>
        <w:t xml:space="preserve"> 10%, dlatego postanowiłam</w:t>
      </w:r>
      <w:r w:rsidR="001E16E8">
        <w:rPr>
          <w:rFonts w:ascii="Times New Roman" w:eastAsiaTheme="minorEastAsia" w:hAnsi="Times New Roman" w:cs="Times New Roman"/>
          <w:sz w:val="24"/>
        </w:rPr>
        <w:t xml:space="preserve"> usuwać je </w:t>
      </w:r>
      <w:r w:rsidR="00C01CD5" w:rsidRPr="001E16E8">
        <w:rPr>
          <w:rFonts w:ascii="Times New Roman" w:eastAsiaTheme="minorEastAsia" w:hAnsi="Times New Roman" w:cs="Times New Roman"/>
          <w:sz w:val="24"/>
        </w:rPr>
        <w:t>pojedynczo.</w:t>
      </w:r>
    </w:p>
    <w:p w:rsidR="00D25947" w:rsidRDefault="00C71964" w:rsidP="005C3BA0">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721ABC" w:rsidRPr="001E16E8">
        <w:rPr>
          <w:rFonts w:ascii="Times New Roman" w:eastAsiaTheme="minorEastAsia" w:hAnsi="Times New Roman" w:cs="Times New Roman"/>
          <w:sz w:val="24"/>
        </w:rPr>
        <w:t xml:space="preserve">Wersja </w:t>
      </w:r>
      <w:r w:rsidR="00670E42" w:rsidRPr="001E16E8">
        <w:rPr>
          <w:rFonts w:ascii="Times New Roman" w:eastAsiaTheme="minorEastAsia" w:hAnsi="Times New Roman" w:cs="Times New Roman"/>
          <w:sz w:val="24"/>
        </w:rPr>
        <w:t xml:space="preserve">ostateczna </w:t>
      </w:r>
      <w:r w:rsidR="00721ABC" w:rsidRPr="001E16E8">
        <w:rPr>
          <w:rFonts w:ascii="Times New Roman" w:eastAsiaTheme="minorEastAsia" w:hAnsi="Times New Roman" w:cs="Times New Roman"/>
          <w:sz w:val="24"/>
        </w:rPr>
        <w:t xml:space="preserve">modelu </w:t>
      </w:r>
      <w:r>
        <w:rPr>
          <w:rFonts w:ascii="Times New Roman" w:eastAsiaTheme="minorEastAsia" w:hAnsi="Times New Roman" w:cs="Times New Roman"/>
          <w:sz w:val="24"/>
        </w:rPr>
        <w:t xml:space="preserve">(Załącznik 4.) </w:t>
      </w:r>
      <w:r w:rsidR="00721ABC" w:rsidRPr="001E16E8">
        <w:rPr>
          <w:rFonts w:ascii="Times New Roman" w:eastAsiaTheme="minorEastAsia" w:hAnsi="Times New Roman" w:cs="Times New Roman"/>
          <w:sz w:val="24"/>
        </w:rPr>
        <w:t xml:space="preserve">tłumaczy </w:t>
      </w:r>
      <w:r>
        <w:rPr>
          <w:rFonts w:ascii="Times New Roman" w:eastAsiaTheme="minorEastAsia" w:hAnsi="Times New Roman" w:cs="Times New Roman"/>
          <w:sz w:val="24"/>
        </w:rPr>
        <w:t>zmienność zmiennej zależnej w </w:t>
      </w:r>
      <w:r w:rsidR="00670E42" w:rsidRPr="001E16E8">
        <w:rPr>
          <w:rFonts w:ascii="Times New Roman" w:eastAsiaTheme="minorEastAsia" w:hAnsi="Times New Roman" w:cs="Times New Roman"/>
          <w:sz w:val="24"/>
        </w:rPr>
        <w:t>75.75</w:t>
      </w:r>
      <w:r w:rsidR="00721ABC" w:rsidRPr="001E16E8">
        <w:rPr>
          <w:rFonts w:ascii="Times New Roman" w:eastAsiaTheme="minorEastAsia" w:hAnsi="Times New Roman" w:cs="Times New Roman"/>
          <w:sz w:val="24"/>
        </w:rPr>
        <w:t>%, porównując za pomocą wartości skorygowanego R</w:t>
      </w:r>
      <w:r w:rsidR="00721ABC" w:rsidRPr="001E16E8">
        <w:rPr>
          <w:rFonts w:ascii="Times New Roman" w:eastAsiaTheme="minorEastAsia" w:hAnsi="Times New Roman" w:cs="Times New Roman"/>
          <w:sz w:val="24"/>
          <w:vertAlign w:val="superscript"/>
        </w:rPr>
        <w:t>2</w:t>
      </w:r>
      <w:r w:rsidR="00721ABC" w:rsidRPr="001E16E8">
        <w:rPr>
          <w:rFonts w:ascii="Times New Roman" w:eastAsiaTheme="minorEastAsia" w:hAnsi="Times New Roman" w:cs="Times New Roman"/>
          <w:sz w:val="24"/>
        </w:rPr>
        <w:t xml:space="preserve"> </w:t>
      </w:r>
      <w:r w:rsidR="001E16E8">
        <w:rPr>
          <w:rFonts w:ascii="Times New Roman" w:eastAsiaTheme="minorEastAsia" w:hAnsi="Times New Roman" w:cs="Times New Roman"/>
          <w:sz w:val="24"/>
        </w:rPr>
        <w:t>wersje modeli można uznać tą za </w:t>
      </w:r>
      <w:r w:rsidR="00721ABC" w:rsidRPr="001E16E8">
        <w:rPr>
          <w:rFonts w:ascii="Times New Roman" w:eastAsiaTheme="minorEastAsia" w:hAnsi="Times New Roman" w:cs="Times New Roman"/>
          <w:sz w:val="24"/>
        </w:rPr>
        <w:t>najgorszą</w:t>
      </w:r>
      <w:r w:rsidR="00747F22" w:rsidRPr="001E16E8">
        <w:rPr>
          <w:rFonts w:ascii="Times New Roman" w:eastAsiaTheme="minorEastAsia" w:hAnsi="Times New Roman" w:cs="Times New Roman"/>
          <w:sz w:val="24"/>
        </w:rPr>
        <w:t>. Pomimo, że usuwanie zmiennych pogarsza jakość dopasowania, to z drugiej strony zwiększa dokładność oszacowań parametrów dla zmiennych istotnych (Mycielski, 2010).</w:t>
      </w:r>
    </w:p>
    <w:p w:rsidR="00892465" w:rsidRDefault="00892465" w:rsidP="00892465">
      <w:pPr>
        <w:spacing w:after="0" w:line="360" w:lineRule="auto"/>
        <w:jc w:val="both"/>
        <w:rPr>
          <w:rFonts w:ascii="Times New Roman" w:eastAsiaTheme="minorEastAsia" w:hAnsi="Times New Roman" w:cs="Times New Roman"/>
          <w:sz w:val="24"/>
        </w:rPr>
      </w:pPr>
    </w:p>
    <w:p w:rsidR="00892465" w:rsidRPr="001F5CB8" w:rsidRDefault="00892465" w:rsidP="001F5CB8">
      <w:pPr>
        <w:tabs>
          <w:tab w:val="left" w:pos="8738"/>
        </w:tabs>
        <w:spacing w:after="0" w:line="240" w:lineRule="auto"/>
        <w:jc w:val="center"/>
        <w:rPr>
          <w:rFonts w:ascii="Times New Roman" w:eastAsia="Times New Roman" w:hAnsi="Times New Roman" w:cs="Times New Roman"/>
          <w:b/>
          <w:caps/>
          <w:sz w:val="24"/>
          <w:szCs w:val="24"/>
          <w:lang w:eastAsia="pl-PL"/>
        </w:rPr>
      </w:pPr>
      <w:r>
        <w:rPr>
          <w:rFonts w:ascii="Times New Roman" w:eastAsia="Times New Roman" w:hAnsi="Times New Roman" w:cs="Times New Roman"/>
          <w:b/>
          <w:caps/>
          <w:sz w:val="24"/>
          <w:szCs w:val="24"/>
          <w:lang w:eastAsia="pl-PL"/>
        </w:rPr>
        <w:t>ROZDZIAŁ V</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Diagnostyka modelu</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spacing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W celu zweryfikowania założeń Klasycznego Modelu Regresji Liniowej (KMRL) przeprowadzono testy diagnostyczne. Sprawdzenie założeń KMRL jest kluczowe, ponieważ dzięki nim możemy opierać się na poprawności estymatorów i móc na ich podstawie tworzyć wnioski (Mycielski, 2010).</w:t>
      </w:r>
    </w:p>
    <w:p w:rsidR="001F5CB8" w:rsidRPr="001F5CB8" w:rsidRDefault="001F5CB8" w:rsidP="001F5CB8">
      <w:pPr>
        <w:spacing w:after="0" w:line="360" w:lineRule="auto"/>
        <w:jc w:val="both"/>
        <w:rPr>
          <w:rFonts w:ascii="Times New Roman" w:eastAsia="Times New Roman" w:hAnsi="Times New Roman" w:cs="Times New Roman"/>
          <w:b/>
          <w:sz w:val="24"/>
          <w:szCs w:val="24"/>
          <w:lang w:eastAsia="pl-PL"/>
        </w:rPr>
      </w:pPr>
    </w:p>
    <w:p w:rsidR="001F5CB8" w:rsidRPr="001F5CB8" w:rsidRDefault="00892465" w:rsidP="001F5CB8">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5</w:t>
      </w:r>
      <w:r w:rsidR="001F5CB8" w:rsidRPr="001F5CB8">
        <w:rPr>
          <w:rFonts w:ascii="Times New Roman" w:eastAsia="Times New Roman" w:hAnsi="Times New Roman" w:cs="Times New Roman"/>
          <w:b/>
          <w:sz w:val="24"/>
          <w:szCs w:val="24"/>
          <w:lang w:eastAsia="pl-PL"/>
        </w:rPr>
        <w:t>.1. Założenie o praw</w:t>
      </w:r>
      <w:r w:rsidR="00B72C87">
        <w:rPr>
          <w:rFonts w:ascii="Times New Roman" w:eastAsia="Times New Roman" w:hAnsi="Times New Roman" w:cs="Times New Roman"/>
          <w:b/>
          <w:sz w:val="24"/>
          <w:szCs w:val="24"/>
          <w:lang w:eastAsia="pl-PL"/>
        </w:rPr>
        <w:t>idłowej formie funkcyjnej</w:t>
      </w:r>
    </w:p>
    <w:p w:rsidR="00DD157F" w:rsidRPr="001F5CB8" w:rsidRDefault="001F5CB8" w:rsidP="001F5CB8">
      <w:pPr>
        <w:spacing w:before="24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DD157F" w:rsidRPr="001F5CB8">
        <w:rPr>
          <w:rFonts w:ascii="Times New Roman" w:eastAsiaTheme="minorEastAsia" w:hAnsi="Times New Roman" w:cs="Times New Roman"/>
          <w:sz w:val="24"/>
        </w:rPr>
        <w:t>Podczas weryfikacji hipotezy o liniowej formie modelu wykorzystano test RESET (Regression Specification Error Test)</w:t>
      </w:r>
      <w:r w:rsidR="00C047FE">
        <w:rPr>
          <w:rFonts w:ascii="Times New Roman" w:eastAsiaTheme="minorEastAsia" w:hAnsi="Times New Roman" w:cs="Times New Roman"/>
          <w:sz w:val="24"/>
        </w:rPr>
        <w:t xml:space="preserve"> w wersji dopasowanej (</w:t>
      </w:r>
      <w:r w:rsidR="00C047FE" w:rsidRPr="00C047FE">
        <w:rPr>
          <w:rFonts w:ascii="Times New Roman" w:eastAsiaTheme="minorEastAsia" w:hAnsi="Times New Roman" w:cs="Times New Roman"/>
          <w:i/>
          <w:sz w:val="24"/>
        </w:rPr>
        <w:t>fitted</w:t>
      </w:r>
      <w:r w:rsidR="00C047FE">
        <w:rPr>
          <w:rFonts w:ascii="Times New Roman" w:eastAsiaTheme="minorEastAsia" w:hAnsi="Times New Roman" w:cs="Times New Roman"/>
          <w:sz w:val="24"/>
        </w:rPr>
        <w:t>)</w:t>
      </w:r>
      <w:r w:rsidR="00DD157F" w:rsidRPr="001F5CB8">
        <w:rPr>
          <w:rFonts w:ascii="Times New Roman" w:eastAsiaTheme="minorEastAsia" w:hAnsi="Times New Roman" w:cs="Times New Roman"/>
          <w:sz w:val="24"/>
        </w:rPr>
        <w:t>. Testowana hipoteza zerowa oraz hipoteza alternatywa (zakładająca nieliniowość)</w:t>
      </w:r>
      <w:r w:rsidR="005338E0" w:rsidRPr="001F5CB8">
        <w:rPr>
          <w:rFonts w:ascii="Times New Roman" w:eastAsiaTheme="minorEastAsia" w:hAnsi="Times New Roman" w:cs="Times New Roman"/>
          <w:sz w:val="24"/>
        </w:rPr>
        <w:t xml:space="preserve"> według Mycielskiego (2010) brzmi następująco</w:t>
      </w:r>
      <w:r w:rsidR="00DD157F" w:rsidRPr="001F5CB8">
        <w:rPr>
          <w:rFonts w:ascii="Times New Roman" w:eastAsiaTheme="minorEastAsia" w:hAnsi="Times New Roman" w:cs="Times New Roman"/>
          <w:sz w:val="24"/>
        </w:rPr>
        <w:t>:</w:t>
      </w:r>
    </w:p>
    <w:p w:rsidR="00DD157F" w:rsidRPr="00DD157F" w:rsidRDefault="005338E0"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:y=X*β+ε</m:t>
          </m:r>
        </m:oMath>
      </m:oMathPara>
    </w:p>
    <w:p w:rsidR="00E56E3E" w:rsidRPr="005338E0" w:rsidRDefault="005338E0"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:y=f</m:t>
          </m:r>
          <m:d>
            <m:dPr>
              <m:ctrlPr>
                <w:rPr>
                  <w:rFonts w:ascii="Cambria Math" w:eastAsiaTheme="minorEastAsia" w:hAnsi="Cambria Math" w:cstheme="minorHAnsi"/>
                  <w:i/>
                </w:rPr>
              </m:ctrlPr>
            </m:dPr>
            <m:e>
              <m:r>
                <w:rPr>
                  <w:rFonts w:ascii="Cambria Math" w:eastAsiaTheme="minorEastAsia" w:hAnsi="Cambria Math" w:cstheme="minorHAnsi"/>
                </w:rPr>
                <m:t>X*β</m:t>
              </m:r>
            </m:e>
          </m:d>
          <m:r>
            <w:rPr>
              <w:rFonts w:ascii="Cambria Math" w:eastAsiaTheme="minorEastAsia" w:hAnsi="Cambria Math" w:cstheme="minorHAnsi"/>
            </w:rPr>
            <m:t>+ε</m:t>
          </m:r>
          <m:r>
            <w:rPr>
              <w:rFonts w:ascii="Cambria Math" w:eastAsiaTheme="minorEastAsia" w:hAnsi="Cambria Math" w:cstheme="minorHAnsi"/>
            </w:rPr>
            <m:t xml:space="preserve"> </m:t>
          </m:r>
        </m:oMath>
      </m:oMathPara>
    </w:p>
    <w:p w:rsidR="001F5CB8" w:rsidRDefault="00E56E3E"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Test RESET dla </w:t>
      </w:r>
      <w:r w:rsidR="001700DB">
        <w:rPr>
          <w:rFonts w:ascii="Times New Roman" w:eastAsiaTheme="minorEastAsia" w:hAnsi="Times New Roman" w:cs="Times New Roman"/>
          <w:sz w:val="24"/>
        </w:rPr>
        <w:t>ostate</w:t>
      </w:r>
      <w:r w:rsidR="005C3BA0">
        <w:rPr>
          <w:rFonts w:ascii="Times New Roman" w:eastAsiaTheme="minorEastAsia" w:hAnsi="Times New Roman" w:cs="Times New Roman"/>
          <w:sz w:val="24"/>
        </w:rPr>
        <w:t>cznej wersji modelu (Załącznik 4</w:t>
      </w:r>
      <w:r w:rsidR="001700DB">
        <w:rPr>
          <w:rFonts w:ascii="Times New Roman" w:eastAsiaTheme="minorEastAsia" w:hAnsi="Times New Roman" w:cs="Times New Roman"/>
          <w:sz w:val="24"/>
        </w:rPr>
        <w:t>.) wskazuje brak podstaw do </w:t>
      </w:r>
      <w:r w:rsidRPr="001F5CB8">
        <w:rPr>
          <w:rFonts w:ascii="Times New Roman" w:eastAsiaTheme="minorEastAsia" w:hAnsi="Times New Roman" w:cs="Times New Roman"/>
          <w:sz w:val="24"/>
        </w:rPr>
        <w:t xml:space="preserve">odrzucenia hipotezy zerowej o poprawności formy funkcyjnej dla przyjętego poziomu istotności α = 0.05 (wartość p-value </w:t>
      </w:r>
      <w:r w:rsidR="00FB1464" w:rsidRPr="001F5CB8">
        <w:rPr>
          <w:rFonts w:ascii="Times New Roman" w:eastAsiaTheme="minorEastAsia" w:hAnsi="Times New Roman" w:cs="Times New Roman"/>
          <w:sz w:val="24"/>
        </w:rPr>
        <w:t>wynosi 0.3377</w:t>
      </w:r>
      <w:r w:rsidR="001A27A3" w:rsidRPr="001F5CB8">
        <w:rPr>
          <w:rFonts w:ascii="Times New Roman" w:eastAsiaTheme="minorEastAsia" w:hAnsi="Times New Roman" w:cs="Times New Roman"/>
          <w:sz w:val="24"/>
        </w:rPr>
        <w:t xml:space="preserve">). </w:t>
      </w:r>
      <w:r w:rsidR="000145F4" w:rsidRPr="001F5CB8">
        <w:rPr>
          <w:rFonts w:ascii="Times New Roman" w:eastAsiaTheme="minorEastAsia" w:hAnsi="Times New Roman" w:cs="Times New Roman"/>
          <w:sz w:val="24"/>
        </w:rPr>
        <w:t xml:space="preserve">Założenie o liniowej formie funkcyjnej świadczy, że estymatory parametrów </w:t>
      </w:r>
      <w:r w:rsidR="001F5CB8">
        <w:rPr>
          <w:rFonts w:ascii="Times New Roman" w:eastAsiaTheme="minorEastAsia" w:hAnsi="Times New Roman" w:cs="Times New Roman"/>
          <w:sz w:val="24"/>
        </w:rPr>
        <w:t>w modelu nie są obciążone, więc ich </w:t>
      </w:r>
      <w:r w:rsidR="000145F4" w:rsidRPr="001F5CB8">
        <w:rPr>
          <w:rFonts w:ascii="Times New Roman" w:eastAsiaTheme="minorEastAsia" w:hAnsi="Times New Roman" w:cs="Times New Roman"/>
          <w:sz w:val="24"/>
        </w:rPr>
        <w:t>interpretowanie pozwala na wyciągnięcie statystycznie poprawnych wniosków.</w:t>
      </w:r>
    </w:p>
    <w:p w:rsidR="001F5CB8" w:rsidRPr="001F5CB8" w:rsidRDefault="001F5CB8" w:rsidP="001F5CB8">
      <w:pPr>
        <w:spacing w:after="0" w:line="360" w:lineRule="auto"/>
        <w:jc w:val="both"/>
        <w:rPr>
          <w:rFonts w:ascii="Times New Roman" w:eastAsiaTheme="minorEastAsia" w:hAnsi="Times New Roman" w:cs="Times New Roman"/>
          <w:sz w:val="24"/>
        </w:rPr>
      </w:pPr>
    </w:p>
    <w:p w:rsidR="00B37D9B" w:rsidRPr="001F5CB8" w:rsidRDefault="00560520" w:rsidP="001F5CB8">
      <w:pPr>
        <w:spacing w:after="0" w:line="360" w:lineRule="auto"/>
        <w:jc w:val="both"/>
        <w:rPr>
          <w:rFonts w:ascii="Times New Roman" w:eastAsia="Times New Roman" w:hAnsi="Times New Roman" w:cs="Times New Roman"/>
          <w:b/>
          <w:sz w:val="24"/>
          <w:szCs w:val="24"/>
          <w:lang w:eastAsia="pl-PL"/>
        </w:rPr>
      </w:pPr>
      <w:r w:rsidRPr="001F5CB8">
        <w:rPr>
          <w:rFonts w:ascii="Times New Roman" w:eastAsia="Times New Roman" w:hAnsi="Times New Roman" w:cs="Times New Roman"/>
          <w:b/>
          <w:sz w:val="24"/>
          <w:szCs w:val="24"/>
          <w:lang w:eastAsia="pl-PL"/>
        </w:rPr>
        <w:t>5.2. Założenie o homoskedastyczności reszt</w:t>
      </w:r>
      <w:r w:rsidR="00427E8A" w:rsidRPr="001F5CB8">
        <w:rPr>
          <w:rFonts w:ascii="Times New Roman" w:eastAsia="Times New Roman" w:hAnsi="Times New Roman" w:cs="Times New Roman"/>
          <w:b/>
          <w:sz w:val="24"/>
          <w:szCs w:val="24"/>
          <w:lang w:eastAsia="pl-PL"/>
        </w:rPr>
        <w:t xml:space="preserve"> ε</w:t>
      </w:r>
    </w:p>
    <w:p w:rsidR="00C64686" w:rsidRPr="001F5CB8" w:rsidRDefault="00C64686"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 Weryfikację homoskedastyczności składnika losowego przeprowadzono za pomocą testu Breuscha-Pagana, którego hipoteza zerowa mówi o braku heteroskedastyczności.</w:t>
      </w:r>
      <w:r w:rsidR="001F5CB8">
        <w:rPr>
          <w:rFonts w:ascii="Times New Roman" w:eastAsiaTheme="minorEastAsia" w:hAnsi="Times New Roman" w:cs="Times New Roman"/>
          <w:sz w:val="24"/>
        </w:rPr>
        <w:t xml:space="preserve"> Dla </w:t>
      </w:r>
      <w:r w:rsidR="009249BE" w:rsidRPr="001F5CB8">
        <w:rPr>
          <w:rFonts w:ascii="Times New Roman" w:eastAsiaTheme="minorEastAsia" w:hAnsi="Times New Roman" w:cs="Times New Roman"/>
          <w:sz w:val="24"/>
        </w:rPr>
        <w:t>przyjętego poziomu istotności 0.05 nie ma podstaw do odrzucenia hi</w:t>
      </w:r>
      <w:r w:rsidR="001F5CB8">
        <w:rPr>
          <w:rFonts w:ascii="Times New Roman" w:eastAsiaTheme="minorEastAsia" w:hAnsi="Times New Roman" w:cs="Times New Roman"/>
          <w:sz w:val="24"/>
        </w:rPr>
        <w:t>potezy zerowej                    (p-</w:t>
      </w:r>
      <w:r w:rsidR="00FB1464" w:rsidRPr="001F5CB8">
        <w:rPr>
          <w:rFonts w:ascii="Times New Roman" w:eastAsiaTheme="minorEastAsia" w:hAnsi="Times New Roman" w:cs="Times New Roman"/>
          <w:sz w:val="24"/>
        </w:rPr>
        <w:t>value = 0.975</w:t>
      </w:r>
      <w:r w:rsidR="009249BE" w:rsidRPr="001F5CB8">
        <w:rPr>
          <w:rFonts w:ascii="Times New Roman" w:eastAsiaTheme="minorEastAsia" w:hAnsi="Times New Roman" w:cs="Times New Roman"/>
          <w:sz w:val="24"/>
        </w:rPr>
        <w:t>).</w:t>
      </w:r>
    </w:p>
    <w:p w:rsidR="005C051F" w:rsidRPr="001F5CB8" w:rsidRDefault="005C051F" w:rsidP="001F5CB8">
      <w:pPr>
        <w:spacing w:after="0"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W przypadku niespełnienia założenia o homoskedastyczności reszt Klasycznej Metody Regresji </w:t>
      </w:r>
      <w:r w:rsidR="00C047FE">
        <w:rPr>
          <w:rFonts w:ascii="Times New Roman" w:eastAsiaTheme="minorEastAsia" w:hAnsi="Times New Roman" w:cs="Times New Roman"/>
          <w:sz w:val="24"/>
        </w:rPr>
        <w:t>Liniowej mamy do czynienia z brakiem sferyczności</w:t>
      </w:r>
      <w:r w:rsidRPr="001F5CB8">
        <w:rPr>
          <w:rFonts w:ascii="Times New Roman" w:eastAsiaTheme="minorEastAsia" w:hAnsi="Times New Roman" w:cs="Times New Roman"/>
          <w:sz w:val="24"/>
        </w:rPr>
        <w:t xml:space="preserve"> błędu losowego, co skutkuje niezgodnością estymatora czego konsekwencją mogą być błędne wyniki wnioskowania statystycznego (Mycielski, 2010).</w:t>
      </w:r>
      <w:r w:rsidR="002F4842">
        <w:rPr>
          <w:rFonts w:ascii="Times New Roman" w:eastAsiaTheme="minorEastAsia" w:hAnsi="Times New Roman" w:cs="Times New Roman"/>
          <w:sz w:val="24"/>
        </w:rPr>
        <w:t xml:space="preserve"> Jednym ze sposobów rozwiązania tego problemu jest zastosowanie estymatora odpornego macierzy wariancji kowariancji White’a, Ważonej Metody Najmniejszych Kwadratów</w:t>
      </w:r>
      <w:r w:rsidR="002D3208">
        <w:rPr>
          <w:rFonts w:ascii="Times New Roman" w:eastAsiaTheme="minorEastAsia" w:hAnsi="Times New Roman" w:cs="Times New Roman"/>
          <w:sz w:val="24"/>
        </w:rPr>
        <w:t xml:space="preserve"> (WMNK)</w:t>
      </w:r>
      <w:r w:rsidR="002F4842">
        <w:rPr>
          <w:rFonts w:ascii="Times New Roman" w:eastAsiaTheme="minorEastAsia" w:hAnsi="Times New Roman" w:cs="Times New Roman"/>
          <w:sz w:val="24"/>
        </w:rPr>
        <w:t xml:space="preserve"> lub Stosowalnej Uogólnionej Metody Najmniejszych Kwadratów</w:t>
      </w:r>
      <w:r w:rsidR="002D3208">
        <w:rPr>
          <w:rFonts w:ascii="Times New Roman" w:eastAsiaTheme="minorEastAsia" w:hAnsi="Times New Roman" w:cs="Times New Roman"/>
          <w:sz w:val="24"/>
        </w:rPr>
        <w:t xml:space="preserve"> (SUMNK)</w:t>
      </w:r>
      <w:r w:rsidR="002F4842">
        <w:rPr>
          <w:rFonts w:ascii="Times New Roman" w:eastAsiaTheme="minorEastAsia" w:hAnsi="Times New Roman" w:cs="Times New Roman"/>
          <w:sz w:val="24"/>
        </w:rPr>
        <w:t>.</w:t>
      </w:r>
      <w:r w:rsidR="002D3208">
        <w:rPr>
          <w:rFonts w:ascii="Times New Roman" w:eastAsiaTheme="minorEastAsia" w:hAnsi="Times New Roman" w:cs="Times New Roman"/>
          <w:sz w:val="24"/>
        </w:rPr>
        <w:t xml:space="preserve"> Według rezultatów regresji dla MNK, SUMNK i WMNK</w:t>
      </w:r>
      <w:r w:rsidR="005C3BA0">
        <w:rPr>
          <w:rFonts w:ascii="Times New Roman" w:eastAsiaTheme="minorEastAsia" w:hAnsi="Times New Roman" w:cs="Times New Roman"/>
          <w:sz w:val="24"/>
        </w:rPr>
        <w:t xml:space="preserve"> (Załącznik 5</w:t>
      </w:r>
      <w:r w:rsidR="00BC7E1F">
        <w:rPr>
          <w:rFonts w:ascii="Times New Roman" w:eastAsiaTheme="minorEastAsia" w:hAnsi="Times New Roman" w:cs="Times New Roman"/>
          <w:sz w:val="24"/>
        </w:rPr>
        <w:t>.) możemy stwierdzić, że niewielkie różnice oszacowań parametrów między zastosowanymi modelami są skutkiem spełnienia założenia o homoskedastyczności reszt.</w:t>
      </w:r>
    </w:p>
    <w:p w:rsidR="00670A7A" w:rsidRPr="00670A7A" w:rsidRDefault="005C051F" w:rsidP="00670A7A">
      <w:pPr>
        <w:spacing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Dla potwierdzenia testu Breuscha-Pagana skorzystano z </w:t>
      </w:r>
      <w:r w:rsidR="006D4C33">
        <w:rPr>
          <w:rFonts w:ascii="Times New Roman" w:eastAsiaTheme="minorEastAsia" w:hAnsi="Times New Roman" w:cs="Times New Roman"/>
          <w:sz w:val="24"/>
        </w:rPr>
        <w:t xml:space="preserve">analizy wykresów, </w:t>
      </w:r>
      <w:r w:rsidR="001F5CB8">
        <w:rPr>
          <w:rFonts w:ascii="Times New Roman" w:eastAsiaTheme="minorEastAsia" w:hAnsi="Times New Roman" w:cs="Times New Roman"/>
          <w:sz w:val="24"/>
        </w:rPr>
        <w:t>z </w:t>
      </w:r>
      <w:r w:rsidR="006D4C33">
        <w:rPr>
          <w:rFonts w:ascii="Times New Roman" w:eastAsiaTheme="minorEastAsia" w:hAnsi="Times New Roman" w:cs="Times New Roman"/>
          <w:sz w:val="24"/>
        </w:rPr>
        <w:t>których</w:t>
      </w:r>
      <w:r w:rsidR="00924E7E" w:rsidRPr="001F5CB8">
        <w:rPr>
          <w:rFonts w:ascii="Times New Roman" w:eastAsiaTheme="minorEastAsia" w:hAnsi="Times New Roman" w:cs="Times New Roman"/>
          <w:sz w:val="24"/>
        </w:rPr>
        <w:t xml:space="preserve"> można wniosko</w:t>
      </w:r>
      <w:r w:rsidR="006D4C33">
        <w:rPr>
          <w:rFonts w:ascii="Times New Roman" w:eastAsiaTheme="minorEastAsia" w:hAnsi="Times New Roman" w:cs="Times New Roman"/>
          <w:sz w:val="24"/>
        </w:rPr>
        <w:t xml:space="preserve">wać o homogeniczności wariancji. </w:t>
      </w:r>
      <w:r w:rsidR="006947D1" w:rsidRPr="001F5CB8">
        <w:rPr>
          <w:rFonts w:ascii="Times New Roman" w:eastAsiaTheme="minorEastAsia" w:hAnsi="Times New Roman" w:cs="Times New Roman"/>
          <w:sz w:val="24"/>
        </w:rPr>
        <w:t>Patrząc na wykres</w:t>
      </w:r>
      <w:r w:rsidR="006D4C33">
        <w:rPr>
          <w:rFonts w:ascii="Times New Roman" w:eastAsiaTheme="minorEastAsia" w:hAnsi="Times New Roman" w:cs="Times New Roman"/>
          <w:sz w:val="24"/>
        </w:rPr>
        <w:t xml:space="preserve"> typu </w:t>
      </w:r>
      <w:r w:rsidR="006D4C33" w:rsidRPr="005C3BA0">
        <w:rPr>
          <w:rFonts w:ascii="Times New Roman" w:eastAsiaTheme="minorEastAsia" w:hAnsi="Times New Roman" w:cs="Times New Roman"/>
          <w:i/>
          <w:sz w:val="24"/>
        </w:rPr>
        <w:t>scale-location</w:t>
      </w:r>
      <w:r w:rsidR="006D4C33">
        <w:rPr>
          <w:rFonts w:ascii="Times New Roman" w:eastAsiaTheme="minorEastAsia" w:hAnsi="Times New Roman" w:cs="Times New Roman"/>
          <w:sz w:val="24"/>
        </w:rPr>
        <w:t xml:space="preserve"> (R</w:t>
      </w:r>
      <w:r w:rsidR="00856532">
        <w:rPr>
          <w:rFonts w:ascii="Times New Roman" w:eastAsiaTheme="minorEastAsia" w:hAnsi="Times New Roman" w:cs="Times New Roman"/>
          <w:sz w:val="24"/>
        </w:rPr>
        <w:t>ys. </w:t>
      </w:r>
      <w:r w:rsidR="005C3BA0">
        <w:rPr>
          <w:rFonts w:ascii="Times New Roman" w:eastAsiaTheme="minorEastAsia" w:hAnsi="Times New Roman" w:cs="Times New Roman"/>
          <w:sz w:val="24"/>
        </w:rPr>
        <w:t>7</w:t>
      </w:r>
      <w:r w:rsidR="006D4C33">
        <w:rPr>
          <w:rFonts w:ascii="Times New Roman" w:eastAsiaTheme="minorEastAsia" w:hAnsi="Times New Roman" w:cs="Times New Roman"/>
          <w:sz w:val="24"/>
        </w:rPr>
        <w:t xml:space="preserve">.) </w:t>
      </w:r>
      <w:r w:rsidR="006947D1" w:rsidRPr="001F5CB8">
        <w:rPr>
          <w:rFonts w:ascii="Times New Roman" w:eastAsiaTheme="minorEastAsia" w:hAnsi="Times New Roman" w:cs="Times New Roman"/>
          <w:sz w:val="24"/>
        </w:rPr>
        <w:t xml:space="preserve">można zauważyć, że </w:t>
      </w:r>
      <w:r w:rsidR="003062DE">
        <w:rPr>
          <w:rFonts w:ascii="Times New Roman" w:eastAsiaTheme="minorEastAsia" w:hAnsi="Times New Roman" w:cs="Times New Roman"/>
          <w:sz w:val="24"/>
        </w:rPr>
        <w:t>czerwona linia jest w przybliżeniu pozioma, czyli średnia wielkość standaryzowanych reszt</w:t>
      </w:r>
      <w:r w:rsidR="00633454">
        <w:rPr>
          <w:rFonts w:ascii="Times New Roman" w:eastAsiaTheme="minorEastAsia" w:hAnsi="Times New Roman" w:cs="Times New Roman"/>
          <w:sz w:val="24"/>
        </w:rPr>
        <w:t xml:space="preserve"> nie zmienia się w funkcji dopasowanych wartości. Natomiast trudno jasno określić czy rozrzut punktów w obrębie czerwonej linii nie zmienia się </w:t>
      </w:r>
      <w:r w:rsidR="00856532">
        <w:rPr>
          <w:rFonts w:ascii="Times New Roman" w:eastAsiaTheme="minorEastAsia" w:hAnsi="Times New Roman" w:cs="Times New Roman"/>
          <w:sz w:val="24"/>
        </w:rPr>
        <w:t>w </w:t>
      </w:r>
      <w:r w:rsidR="00633454">
        <w:rPr>
          <w:rFonts w:ascii="Times New Roman" w:eastAsiaTheme="minorEastAsia" w:hAnsi="Times New Roman" w:cs="Times New Roman"/>
          <w:sz w:val="24"/>
        </w:rPr>
        <w:t>zależ</w:t>
      </w:r>
      <w:r w:rsidR="006D4C33">
        <w:rPr>
          <w:rFonts w:ascii="Times New Roman" w:eastAsiaTheme="minorEastAsia" w:hAnsi="Times New Roman" w:cs="Times New Roman"/>
          <w:sz w:val="24"/>
        </w:rPr>
        <w:t>ności od wartości dopasowanych</w:t>
      </w:r>
      <w:r w:rsidR="0044574F">
        <w:rPr>
          <w:rFonts w:ascii="Times New Roman" w:eastAsiaTheme="minorEastAsia" w:hAnsi="Times New Roman" w:cs="Times New Roman"/>
          <w:sz w:val="24"/>
        </w:rPr>
        <w:t xml:space="preserve"> (to znaczy czy wariancja jest homogeniczna)</w:t>
      </w:r>
      <w:r w:rsidR="006D4C33">
        <w:rPr>
          <w:rFonts w:ascii="Times New Roman" w:eastAsiaTheme="minorEastAsia" w:hAnsi="Times New Roman" w:cs="Times New Roman"/>
          <w:sz w:val="24"/>
        </w:rPr>
        <w:t>.</w:t>
      </w: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6947D1"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A51D0F" w:rsidRPr="00670A7A">
        <w:rPr>
          <w:rFonts w:ascii="Times New Roman" w:eastAsia="Times New Roman" w:hAnsi="Times New Roman" w:cs="Times New Roman"/>
          <w:sz w:val="24"/>
          <w:szCs w:val="24"/>
          <w:lang w:eastAsia="pl-PL"/>
        </w:rPr>
        <w:t xml:space="preserve">. Wykres </w:t>
      </w:r>
      <w:r w:rsidR="00A51D0F" w:rsidRPr="00670A7A">
        <w:rPr>
          <w:rFonts w:ascii="Times New Roman" w:eastAsia="Times New Roman" w:hAnsi="Times New Roman" w:cs="Times New Roman"/>
          <w:i/>
          <w:sz w:val="24"/>
          <w:szCs w:val="24"/>
          <w:lang w:eastAsia="pl-PL"/>
        </w:rPr>
        <w:t>Scale-L</w:t>
      </w:r>
      <w:r w:rsidR="006947D1" w:rsidRPr="00670A7A">
        <w:rPr>
          <w:rFonts w:ascii="Times New Roman" w:eastAsia="Times New Roman" w:hAnsi="Times New Roman" w:cs="Times New Roman"/>
          <w:i/>
          <w:sz w:val="24"/>
          <w:szCs w:val="24"/>
          <w:lang w:eastAsia="pl-PL"/>
        </w:rPr>
        <w:t>ocation</w:t>
      </w:r>
      <w:r w:rsidR="006947D1" w:rsidRPr="00670A7A">
        <w:rPr>
          <w:rFonts w:ascii="Times New Roman" w:eastAsia="Times New Roman" w:hAnsi="Times New Roman" w:cs="Times New Roman"/>
          <w:sz w:val="24"/>
          <w:szCs w:val="24"/>
          <w:lang w:eastAsia="pl-PL"/>
        </w:rPr>
        <w:t xml:space="preserve"> dla ostatecznej wersj</w:t>
      </w:r>
      <w:r>
        <w:rPr>
          <w:rFonts w:ascii="Times New Roman" w:eastAsia="Times New Roman" w:hAnsi="Times New Roman" w:cs="Times New Roman"/>
          <w:sz w:val="24"/>
          <w:szCs w:val="24"/>
          <w:lang w:eastAsia="pl-PL"/>
        </w:rPr>
        <w:t>i modelu (Załącznik 4.</w:t>
      </w:r>
      <w:r w:rsidR="006947D1" w:rsidRPr="00670A7A">
        <w:rPr>
          <w:rFonts w:ascii="Times New Roman" w:eastAsia="Times New Roman" w:hAnsi="Times New Roman" w:cs="Times New Roman"/>
          <w:sz w:val="24"/>
          <w:szCs w:val="24"/>
          <w:lang w:eastAsia="pl-PL"/>
        </w:rPr>
        <w:t>)</w:t>
      </w:r>
    </w:p>
    <w:p w:rsidR="006947D1" w:rsidRPr="00B1700A" w:rsidRDefault="003062DE" w:rsidP="006947D1">
      <w:pPr>
        <w:tabs>
          <w:tab w:val="left" w:pos="8738"/>
        </w:tabs>
        <w:jc w:val="center"/>
      </w:pPr>
      <w:r>
        <w:rPr>
          <w:noProof/>
          <w:lang w:eastAsia="pl-PL"/>
        </w:rPr>
        <w:drawing>
          <wp:inline distT="0" distB="0" distL="0" distR="0">
            <wp:extent cx="5760720" cy="288036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ale lo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70A7A" w:rsidRPr="00670A7A" w:rsidRDefault="006947D1" w:rsidP="00670A7A">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p>
    <w:p w:rsidR="00670A7A" w:rsidRDefault="006D4C33" w:rsidP="00670A7A">
      <w:pPr>
        <w:spacing w:after="0" w:line="360" w:lineRule="auto"/>
        <w:jc w:val="both"/>
        <w:rPr>
          <w:rFonts w:eastAsiaTheme="minorEastAsia" w:cstheme="minorHAnsi"/>
        </w:rPr>
      </w:pPr>
      <w:r>
        <w:rPr>
          <w:rFonts w:eastAsiaTheme="minorEastAsia" w:cstheme="minorHAnsi"/>
        </w:rPr>
        <w:tab/>
      </w:r>
    </w:p>
    <w:p w:rsidR="00924E7E" w:rsidRDefault="00670A7A" w:rsidP="00670A7A">
      <w:pPr>
        <w:spacing w:after="0" w:line="360" w:lineRule="auto"/>
        <w:jc w:val="both"/>
        <w:rPr>
          <w:rFonts w:ascii="Times New Roman" w:eastAsiaTheme="minorEastAsia" w:hAnsi="Times New Roman" w:cs="Times New Roman"/>
          <w:sz w:val="24"/>
        </w:rPr>
      </w:pPr>
      <w:r>
        <w:rPr>
          <w:rFonts w:eastAsiaTheme="minorEastAsia" w:cstheme="minorHAnsi"/>
        </w:rPr>
        <w:tab/>
      </w:r>
      <w:r w:rsidR="006D4C33" w:rsidRPr="00670A7A">
        <w:rPr>
          <w:rFonts w:ascii="Times New Roman" w:eastAsiaTheme="minorEastAsia" w:hAnsi="Times New Roman" w:cs="Times New Roman"/>
          <w:sz w:val="24"/>
        </w:rPr>
        <w:t>Dla potwierdzenia założenia o homoskedastyczności r</w:t>
      </w:r>
      <w:r>
        <w:rPr>
          <w:rFonts w:ascii="Times New Roman" w:eastAsiaTheme="minorEastAsia" w:hAnsi="Times New Roman" w:cs="Times New Roman"/>
          <w:sz w:val="24"/>
        </w:rPr>
        <w:t>eszt można również skorzystać z </w:t>
      </w:r>
      <w:r w:rsidR="006D4C33" w:rsidRPr="00670A7A">
        <w:rPr>
          <w:rFonts w:ascii="Times New Roman" w:eastAsiaTheme="minorEastAsia" w:hAnsi="Times New Roman" w:cs="Times New Roman"/>
          <w:sz w:val="24"/>
        </w:rPr>
        <w:t>analizy wyk</w:t>
      </w:r>
      <w:r w:rsidR="00A51D0F" w:rsidRPr="00670A7A">
        <w:rPr>
          <w:rFonts w:ascii="Times New Roman" w:eastAsiaTheme="minorEastAsia" w:hAnsi="Times New Roman" w:cs="Times New Roman"/>
          <w:sz w:val="24"/>
        </w:rPr>
        <w:t>resu residuów i wartości dopasowanych przez model</w:t>
      </w:r>
      <w:r w:rsidR="005C3BA0">
        <w:rPr>
          <w:rFonts w:ascii="Times New Roman" w:eastAsiaTheme="minorEastAsia" w:hAnsi="Times New Roman" w:cs="Times New Roman"/>
          <w:sz w:val="24"/>
        </w:rPr>
        <w:t xml:space="preserve"> (Rys. 8</w:t>
      </w:r>
      <w:r w:rsidR="0044574F" w:rsidRPr="00670A7A">
        <w:rPr>
          <w:rFonts w:ascii="Times New Roman" w:eastAsiaTheme="minorEastAsia" w:hAnsi="Times New Roman" w:cs="Times New Roman"/>
          <w:sz w:val="24"/>
        </w:rPr>
        <w:t>.)</w:t>
      </w:r>
      <w:r w:rsidR="00A51D0F" w:rsidRPr="00670A7A">
        <w:rPr>
          <w:rFonts w:ascii="Times New Roman" w:eastAsiaTheme="minorEastAsia" w:hAnsi="Times New Roman" w:cs="Times New Roman"/>
          <w:sz w:val="24"/>
        </w:rPr>
        <w:t>. Czerwona linia znajduje się w bliskim położeniu linii przerywanej</w:t>
      </w:r>
      <w:r w:rsidR="0044574F" w:rsidRPr="00670A7A">
        <w:rPr>
          <w:rFonts w:ascii="Times New Roman" w:eastAsiaTheme="minorEastAsia" w:hAnsi="Times New Roman" w:cs="Times New Roman"/>
          <w:sz w:val="24"/>
        </w:rPr>
        <w:t xml:space="preserve">, natomiast ponownie nie można jasno stwierdzić czy </w:t>
      </w:r>
      <w:r w:rsidR="00EC44EA">
        <w:rPr>
          <w:rFonts w:ascii="Times New Roman" w:eastAsiaTheme="minorEastAsia" w:hAnsi="Times New Roman" w:cs="Times New Roman"/>
          <w:sz w:val="24"/>
        </w:rPr>
        <w:t>wariancja residuów jest stała wraz ze wzrostem wartości prognozowanych. Na </w:t>
      </w:r>
      <w:r w:rsidR="0044574F" w:rsidRPr="00670A7A">
        <w:rPr>
          <w:rFonts w:ascii="Times New Roman" w:eastAsiaTheme="minorEastAsia" w:hAnsi="Times New Roman" w:cs="Times New Roman"/>
          <w:sz w:val="24"/>
        </w:rPr>
        <w:t>wykresie zaznaczono obserwacje, które mogą być obserwacjami nietypowymi (ze względu na wysokie wartości residuów).</w:t>
      </w:r>
    </w:p>
    <w:p w:rsidR="00670A7A" w:rsidRDefault="00670A7A" w:rsidP="00670A7A">
      <w:pPr>
        <w:spacing w:after="0" w:line="360" w:lineRule="auto"/>
        <w:jc w:val="both"/>
        <w:rPr>
          <w:rFonts w:eastAsiaTheme="minorEastAsia" w:cstheme="minorHAnsi"/>
        </w:rPr>
      </w:pPr>
    </w:p>
    <w:p w:rsidR="006D4C33"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8</w:t>
      </w:r>
      <w:r w:rsidR="006D4C33" w:rsidRPr="00670A7A">
        <w:rPr>
          <w:rFonts w:ascii="Times New Roman" w:eastAsia="Times New Roman" w:hAnsi="Times New Roman" w:cs="Times New Roman"/>
          <w:sz w:val="24"/>
          <w:szCs w:val="24"/>
          <w:lang w:eastAsia="pl-PL"/>
        </w:rPr>
        <w:t xml:space="preserve">. Wykres </w:t>
      </w:r>
      <w:r w:rsidR="00A51D0F" w:rsidRPr="00670A7A">
        <w:rPr>
          <w:rFonts w:ascii="Times New Roman" w:eastAsia="Times New Roman" w:hAnsi="Times New Roman" w:cs="Times New Roman"/>
          <w:i/>
          <w:sz w:val="24"/>
          <w:szCs w:val="24"/>
          <w:lang w:eastAsia="pl-PL"/>
        </w:rPr>
        <w:t>Residual vs Fitted</w:t>
      </w:r>
      <w:r w:rsidR="00A51D0F" w:rsidRPr="00670A7A">
        <w:rPr>
          <w:rFonts w:ascii="Times New Roman" w:eastAsia="Times New Roman" w:hAnsi="Times New Roman" w:cs="Times New Roman"/>
          <w:sz w:val="24"/>
          <w:szCs w:val="24"/>
          <w:lang w:eastAsia="pl-PL"/>
        </w:rPr>
        <w:t xml:space="preserve"> </w:t>
      </w:r>
      <w:r w:rsidR="006D4C33" w:rsidRPr="00670A7A">
        <w:rPr>
          <w:rFonts w:ascii="Times New Roman" w:eastAsia="Times New Roman" w:hAnsi="Times New Roman" w:cs="Times New Roman"/>
          <w:sz w:val="24"/>
          <w:szCs w:val="24"/>
          <w:lang w:eastAsia="pl-PL"/>
        </w:rPr>
        <w:t>dla ostatecznej wersji mode</w:t>
      </w:r>
      <w:r>
        <w:rPr>
          <w:rFonts w:ascii="Times New Roman" w:eastAsia="Times New Roman" w:hAnsi="Times New Roman" w:cs="Times New Roman"/>
          <w:sz w:val="24"/>
          <w:szCs w:val="24"/>
          <w:lang w:eastAsia="pl-PL"/>
        </w:rPr>
        <w:t>lu (Załącznik 4.</w:t>
      </w:r>
      <w:r w:rsidR="006D4C33" w:rsidRPr="00670A7A">
        <w:rPr>
          <w:rFonts w:ascii="Times New Roman" w:eastAsia="Times New Roman" w:hAnsi="Times New Roman" w:cs="Times New Roman"/>
          <w:sz w:val="24"/>
          <w:szCs w:val="24"/>
          <w:lang w:eastAsia="pl-PL"/>
        </w:rPr>
        <w:t>)</w:t>
      </w:r>
    </w:p>
    <w:p w:rsidR="006D4C33" w:rsidRPr="00B1700A" w:rsidRDefault="006D4C33" w:rsidP="006D4C33">
      <w:pPr>
        <w:tabs>
          <w:tab w:val="left" w:pos="8738"/>
        </w:tabs>
        <w:jc w:val="center"/>
      </w:pPr>
      <w:r>
        <w:rPr>
          <w:noProof/>
          <w:lang w:eastAsia="pl-PL"/>
        </w:rPr>
        <w:drawing>
          <wp:inline distT="0" distB="0" distL="0" distR="0">
            <wp:extent cx="5760720" cy="288036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siduals vs fit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D4C33" w:rsidRPr="005C3BA0" w:rsidRDefault="006D4C33" w:rsidP="005C3BA0">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r w:rsidR="0044574F" w:rsidRPr="00670A7A">
        <w:rPr>
          <w:rFonts w:ascii="Times New Roman" w:eastAsia="Times New Roman" w:hAnsi="Times New Roman" w:cs="Times New Roman"/>
          <w:i/>
          <w:sz w:val="20"/>
          <w:szCs w:val="20"/>
          <w:lang w:eastAsia="pl-PL"/>
        </w:rPr>
        <w:t>.</w:t>
      </w:r>
    </w:p>
    <w:p w:rsidR="00C64686" w:rsidRPr="00C047FE" w:rsidRDefault="00560520"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 xml:space="preserve">5.3. Założenie o </w:t>
      </w:r>
      <w:r w:rsidR="007B47FF" w:rsidRPr="00C047FE">
        <w:rPr>
          <w:rFonts w:ascii="Times New Roman" w:eastAsia="Times New Roman" w:hAnsi="Times New Roman" w:cs="Times New Roman"/>
          <w:b/>
          <w:sz w:val="24"/>
          <w:szCs w:val="24"/>
          <w:lang w:eastAsia="pl-PL"/>
        </w:rPr>
        <w:t>normalności rozkładu reszt ε</w:t>
      </w:r>
    </w:p>
    <w:p w:rsidR="007B47FF" w:rsidRPr="00C047FE" w:rsidRDefault="007B47FF" w:rsidP="00670A7A">
      <w:pPr>
        <w:spacing w:before="240"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Żeby sprawdzić czy możliwe jest przeprowadzenie </w:t>
      </w:r>
      <w:r w:rsidR="00C047FE">
        <w:rPr>
          <w:rFonts w:ascii="Times New Roman" w:eastAsiaTheme="minorEastAsia" w:hAnsi="Times New Roman" w:cs="Times New Roman"/>
          <w:sz w:val="24"/>
        </w:rPr>
        <w:t>wnioskowania statystycznego za </w:t>
      </w:r>
      <w:r w:rsidRPr="00C047FE">
        <w:rPr>
          <w:rFonts w:ascii="Times New Roman" w:eastAsiaTheme="minorEastAsia" w:hAnsi="Times New Roman" w:cs="Times New Roman"/>
          <w:sz w:val="24"/>
        </w:rPr>
        <w:t>pomocą standardowych metod przeprowadzono testowanie normalności składników losowych za pomocą testu Jarque-Bera. W powyższym teście hipoteza zerowa zakłada normalność rozkładu błędów losowych, natomiast hipoteza alternatywna jego brak (Mycielski, 2010). Testowane hipotezy:</w:t>
      </w:r>
    </w:p>
    <w:p w:rsidR="007B47FF" w:rsidRPr="007B47FF" w:rsidRDefault="007B47FF"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r>
            <w:rPr>
              <w:rFonts w:ascii="Cambria Math" w:eastAsiaTheme="minorEastAsia" w:hAnsi="Cambria Math" w:cstheme="minorHAnsi"/>
            </w:rPr>
            <m:t>)</m:t>
          </m:r>
        </m:oMath>
      </m:oMathPara>
    </w:p>
    <w:p w:rsidR="007B47FF" w:rsidRPr="007B47FF" w:rsidRDefault="007B47FF" w:rsidP="007B47FF">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r>
            <w:rPr>
              <w:rFonts w:ascii="Cambria Math" w:eastAsiaTheme="minorEastAsia" w:hAnsi="Cambria Math" w:cstheme="minorHAnsi"/>
            </w:rPr>
            <m:t>)</m:t>
          </m:r>
        </m:oMath>
      </m:oMathPara>
    </w:p>
    <w:p w:rsidR="007B47FF" w:rsidRDefault="007B47FF"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001A27A3" w:rsidRPr="00C047FE">
        <w:rPr>
          <w:rFonts w:ascii="Times New Roman" w:eastAsiaTheme="minorEastAsia" w:hAnsi="Times New Roman" w:cs="Times New Roman"/>
          <w:sz w:val="24"/>
        </w:rPr>
        <w:t>Test Jarque-bera dla modelu w wersji ostatecznej (Załą</w:t>
      </w:r>
      <w:r w:rsidR="005C3BA0">
        <w:rPr>
          <w:rFonts w:ascii="Times New Roman" w:eastAsiaTheme="minorEastAsia" w:hAnsi="Times New Roman" w:cs="Times New Roman"/>
          <w:sz w:val="24"/>
        </w:rPr>
        <w:t>cznik 4</w:t>
      </w:r>
      <w:r w:rsidR="00C047FE">
        <w:rPr>
          <w:rFonts w:ascii="Times New Roman" w:eastAsiaTheme="minorEastAsia" w:hAnsi="Times New Roman" w:cs="Times New Roman"/>
          <w:sz w:val="24"/>
        </w:rPr>
        <w:t>.) wskazuje na b</w:t>
      </w:r>
      <w:r w:rsidR="001A27A3" w:rsidRPr="00C047FE">
        <w:rPr>
          <w:rFonts w:ascii="Times New Roman" w:eastAsiaTheme="minorEastAsia" w:hAnsi="Times New Roman" w:cs="Times New Roman"/>
          <w:sz w:val="24"/>
        </w:rPr>
        <w:t>r</w:t>
      </w:r>
      <w:r w:rsidR="00C047FE">
        <w:rPr>
          <w:rFonts w:ascii="Times New Roman" w:eastAsiaTheme="minorEastAsia" w:hAnsi="Times New Roman" w:cs="Times New Roman"/>
          <w:sz w:val="24"/>
        </w:rPr>
        <w:t>a</w:t>
      </w:r>
      <w:r w:rsidR="001A27A3" w:rsidRPr="00C047FE">
        <w:rPr>
          <w:rFonts w:ascii="Times New Roman" w:eastAsiaTheme="minorEastAsia" w:hAnsi="Times New Roman" w:cs="Times New Roman"/>
          <w:sz w:val="24"/>
        </w:rPr>
        <w:t>k podstaw do odrzucenia hipotezy zerowej o normalności rozkładu reszt na poziomie istotności równym 0.05 (p-value = 0.2998).</w:t>
      </w:r>
      <w:r w:rsidR="00C64686" w:rsidRPr="00C047FE">
        <w:rPr>
          <w:rFonts w:ascii="Times New Roman" w:eastAsiaTheme="minorEastAsia" w:hAnsi="Times New Roman" w:cs="Times New Roman"/>
          <w:sz w:val="24"/>
        </w:rPr>
        <w:t xml:space="preserve"> Założenie o normalności rozkładu reszt jest spełnione, dzięki temu można przeprowadzać prawidł</w:t>
      </w:r>
      <w:r w:rsidR="00C047FE">
        <w:rPr>
          <w:rFonts w:ascii="Times New Roman" w:eastAsiaTheme="minorEastAsia" w:hAnsi="Times New Roman" w:cs="Times New Roman"/>
          <w:sz w:val="24"/>
        </w:rPr>
        <w:t>owe wnioskowanie statystyczne w </w:t>
      </w:r>
      <w:r w:rsidR="00C64686" w:rsidRPr="00C047FE">
        <w:rPr>
          <w:rFonts w:ascii="Times New Roman" w:eastAsiaTheme="minorEastAsia" w:hAnsi="Times New Roman" w:cs="Times New Roman"/>
          <w:sz w:val="24"/>
        </w:rPr>
        <w:t>małych próbach.</w:t>
      </w:r>
    </w:p>
    <w:p w:rsidR="00EC44EA" w:rsidRDefault="00EC44EA" w:rsidP="00EC44EA">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Testem, który również sprawdza normalność rozkładu </w:t>
      </w:r>
      <w:r w:rsidR="00191C95">
        <w:rPr>
          <w:rFonts w:ascii="Times New Roman" w:eastAsiaTheme="minorEastAsia" w:hAnsi="Times New Roman" w:cs="Times New Roman"/>
          <w:sz w:val="24"/>
        </w:rPr>
        <w:t>zmiennej jest t</w:t>
      </w:r>
      <w:r>
        <w:rPr>
          <w:rFonts w:ascii="Times New Roman" w:eastAsiaTheme="minorEastAsia" w:hAnsi="Times New Roman" w:cs="Times New Roman"/>
          <w:sz w:val="24"/>
        </w:rPr>
        <w:t xml:space="preserve">est Shapiro-Wilka. Zweryfikowano hipotezę zerową </w:t>
      </w:r>
      <w:r w:rsidR="00191C95">
        <w:rPr>
          <w:rFonts w:ascii="Times New Roman" w:eastAsiaTheme="minorEastAsia" w:hAnsi="Times New Roman" w:cs="Times New Roman"/>
          <w:sz w:val="24"/>
        </w:rPr>
        <w:t>o rozkładzie normalnych r</w:t>
      </w:r>
      <w:r w:rsidR="006D30C6">
        <w:rPr>
          <w:rFonts w:ascii="Times New Roman" w:eastAsiaTheme="minorEastAsia" w:hAnsi="Times New Roman" w:cs="Times New Roman"/>
          <w:sz w:val="24"/>
        </w:rPr>
        <w:t>eszt i wykazano brak podstaw do </w:t>
      </w:r>
      <w:r w:rsidR="00191C95">
        <w:rPr>
          <w:rFonts w:ascii="Times New Roman" w:eastAsiaTheme="minorEastAsia" w:hAnsi="Times New Roman" w:cs="Times New Roman"/>
          <w:sz w:val="24"/>
        </w:rPr>
        <w:t>jej odrzucenia (p-value = 0.568 przy założonym poziomie istotności 0.05).</w:t>
      </w:r>
    </w:p>
    <w:p w:rsidR="00D66922" w:rsidRDefault="00670A7A" w:rsidP="00052555">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Żeby potwierdzić wynik</w:t>
      </w:r>
      <w:r w:rsidR="00191C95">
        <w:rPr>
          <w:rFonts w:ascii="Times New Roman" w:eastAsiaTheme="minorEastAsia" w:hAnsi="Times New Roman" w:cs="Times New Roman"/>
          <w:sz w:val="24"/>
        </w:rPr>
        <w:t>i</w:t>
      </w:r>
      <w:r>
        <w:rPr>
          <w:rFonts w:ascii="Times New Roman" w:eastAsiaTheme="minorEastAsia" w:hAnsi="Times New Roman" w:cs="Times New Roman"/>
          <w:sz w:val="24"/>
        </w:rPr>
        <w:t xml:space="preserve"> testu Jarque-Bera </w:t>
      </w:r>
      <w:r w:rsidR="00191C95">
        <w:rPr>
          <w:rFonts w:ascii="Times New Roman" w:eastAsiaTheme="minorEastAsia" w:hAnsi="Times New Roman" w:cs="Times New Roman"/>
          <w:sz w:val="24"/>
        </w:rPr>
        <w:t xml:space="preserve">i Shapiro-Wilka </w:t>
      </w:r>
      <w:r>
        <w:rPr>
          <w:rFonts w:ascii="Times New Roman" w:eastAsiaTheme="minorEastAsia" w:hAnsi="Times New Roman" w:cs="Times New Roman"/>
          <w:sz w:val="24"/>
        </w:rPr>
        <w:t xml:space="preserve">przeprowadzono analizę wykresów badających normalność rozkładu składników losowych. </w:t>
      </w:r>
      <w:r w:rsidR="005C3BA0">
        <w:rPr>
          <w:rFonts w:ascii="Times New Roman" w:eastAsiaTheme="minorEastAsia" w:hAnsi="Times New Roman" w:cs="Times New Roman"/>
          <w:sz w:val="24"/>
        </w:rPr>
        <w:t>Na wykresie kwantylowym (Rys. 9</w:t>
      </w:r>
      <w:r w:rsidR="00F61EFC">
        <w:rPr>
          <w:rFonts w:ascii="Times New Roman" w:eastAsiaTheme="minorEastAsia" w:hAnsi="Times New Roman" w:cs="Times New Roman"/>
          <w:sz w:val="24"/>
        </w:rPr>
        <w:t>.) możemy zauważyć, że punkty po prawej stronie wykresu leżą poniżej</w:t>
      </w:r>
      <w:r w:rsidR="008B0F34">
        <w:rPr>
          <w:rFonts w:ascii="Times New Roman" w:eastAsiaTheme="minorEastAsia" w:hAnsi="Times New Roman" w:cs="Times New Roman"/>
          <w:sz w:val="24"/>
        </w:rPr>
        <w:t xml:space="preserve"> linii</w:t>
      </w:r>
      <w:r w:rsidR="00683515">
        <w:rPr>
          <w:rFonts w:ascii="Times New Roman" w:eastAsiaTheme="minorEastAsia" w:hAnsi="Times New Roman" w:cs="Times New Roman"/>
          <w:sz w:val="24"/>
        </w:rPr>
        <w:t xml:space="preserve"> przerywanej, co może sugerować brak normalności residuów.</w:t>
      </w: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D66922" w:rsidRDefault="00D66922"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2F564E" w:rsidRPr="006D30C6" w:rsidRDefault="005C3BA0"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9</w:t>
      </w:r>
      <w:r w:rsidR="002F564E" w:rsidRPr="006D30C6">
        <w:rPr>
          <w:rFonts w:ascii="Times New Roman" w:eastAsia="Times New Roman" w:hAnsi="Times New Roman" w:cs="Times New Roman"/>
          <w:sz w:val="24"/>
          <w:szCs w:val="24"/>
          <w:lang w:eastAsia="pl-PL"/>
        </w:rPr>
        <w:t xml:space="preserve">. Wykres </w:t>
      </w:r>
      <w:r w:rsidR="00670A7A" w:rsidRPr="006D30C6">
        <w:rPr>
          <w:rFonts w:ascii="Times New Roman" w:eastAsia="Times New Roman" w:hAnsi="Times New Roman" w:cs="Times New Roman"/>
          <w:sz w:val="24"/>
          <w:szCs w:val="24"/>
          <w:lang w:eastAsia="pl-PL"/>
        </w:rPr>
        <w:t>kwantylowy dla rozkładu normalnego</w:t>
      </w:r>
      <w:r w:rsidR="002F564E" w:rsidRPr="006D30C6">
        <w:rPr>
          <w:rFonts w:ascii="Times New Roman" w:eastAsia="Times New Roman" w:hAnsi="Times New Roman" w:cs="Times New Roman"/>
          <w:sz w:val="24"/>
          <w:szCs w:val="24"/>
          <w:lang w:eastAsia="pl-PL"/>
        </w:rPr>
        <w:t xml:space="preserve"> dla ostatecznej wers</w:t>
      </w:r>
      <w:r>
        <w:rPr>
          <w:rFonts w:ascii="Times New Roman" w:eastAsia="Times New Roman" w:hAnsi="Times New Roman" w:cs="Times New Roman"/>
          <w:sz w:val="24"/>
          <w:szCs w:val="24"/>
          <w:lang w:eastAsia="pl-PL"/>
        </w:rPr>
        <w:t>ji modelu (Załącznik 4</w:t>
      </w:r>
      <w:r w:rsidR="002F564E" w:rsidRPr="006D30C6">
        <w:rPr>
          <w:rFonts w:ascii="Times New Roman" w:eastAsia="Times New Roman" w:hAnsi="Times New Roman" w:cs="Times New Roman"/>
          <w:sz w:val="24"/>
          <w:szCs w:val="24"/>
          <w:lang w:eastAsia="pl-PL"/>
        </w:rPr>
        <w:t>.)</w:t>
      </w:r>
    </w:p>
    <w:p w:rsidR="002F564E" w:rsidRPr="00B1700A" w:rsidRDefault="002F564E" w:rsidP="002F564E">
      <w:pPr>
        <w:tabs>
          <w:tab w:val="left" w:pos="8738"/>
        </w:tabs>
        <w:jc w:val="center"/>
      </w:pPr>
      <w:r>
        <w:rPr>
          <w:noProof/>
          <w:lang w:eastAsia="pl-PL"/>
        </w:rPr>
        <w:drawing>
          <wp:inline distT="0" distB="0" distL="0" distR="0" wp14:anchorId="69250419" wp14:editId="4C1B16F6">
            <wp:extent cx="5760720" cy="288036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al q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F564E" w:rsidRPr="001F57FB" w:rsidRDefault="002F564E" w:rsidP="007C5ABF">
      <w:pPr>
        <w:tabs>
          <w:tab w:val="left" w:pos="8738"/>
        </w:tabs>
        <w:spacing w:after="0"/>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7C5ABF" w:rsidRDefault="007C5ABF" w:rsidP="007C5ABF">
      <w:pPr>
        <w:tabs>
          <w:tab w:val="left" w:pos="8738"/>
        </w:tabs>
        <w:spacing w:after="0"/>
        <w:ind w:left="720" w:hanging="720"/>
        <w:jc w:val="both"/>
        <w:rPr>
          <w:sz w:val="20"/>
          <w:szCs w:val="20"/>
        </w:rPr>
      </w:pPr>
    </w:p>
    <w:p w:rsidR="002F564E" w:rsidRDefault="006B367B" w:rsidP="00C047FE">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ab/>
      </w:r>
      <w:r>
        <w:rPr>
          <w:rFonts w:ascii="Times New Roman" w:eastAsia="Times New Roman" w:hAnsi="Times New Roman" w:cs="Times New Roman"/>
          <w:sz w:val="24"/>
          <w:szCs w:val="24"/>
          <w:lang w:eastAsia="pl-PL"/>
        </w:rPr>
        <w:t xml:space="preserve">Analizując kwestię normalności rozkładu reszt można wykorzystać także </w:t>
      </w:r>
      <w:r w:rsidR="00191C95">
        <w:rPr>
          <w:rFonts w:ascii="Times New Roman" w:eastAsia="Times New Roman" w:hAnsi="Times New Roman" w:cs="Times New Roman"/>
          <w:sz w:val="24"/>
          <w:szCs w:val="24"/>
          <w:lang w:eastAsia="pl-PL"/>
        </w:rPr>
        <w:t>jądrowy estymator</w:t>
      </w:r>
      <w:r>
        <w:rPr>
          <w:rFonts w:ascii="Times New Roman" w:eastAsia="Times New Roman" w:hAnsi="Times New Roman" w:cs="Times New Roman"/>
          <w:sz w:val="24"/>
          <w:szCs w:val="24"/>
          <w:lang w:eastAsia="pl-PL"/>
        </w:rPr>
        <w:t xml:space="preserve"> gęstości</w:t>
      </w:r>
      <w:r w:rsidR="001C4A62">
        <w:rPr>
          <w:rFonts w:ascii="Times New Roman" w:eastAsia="Times New Roman" w:hAnsi="Times New Roman" w:cs="Times New Roman"/>
          <w:sz w:val="24"/>
          <w:szCs w:val="24"/>
          <w:lang w:eastAsia="pl-PL"/>
        </w:rPr>
        <w:t xml:space="preserve"> residuów (Rys. 10</w:t>
      </w:r>
      <w:r w:rsidR="007C5ABF">
        <w:rPr>
          <w:rFonts w:ascii="Times New Roman" w:eastAsia="Times New Roman" w:hAnsi="Times New Roman" w:cs="Times New Roman"/>
          <w:sz w:val="24"/>
          <w:szCs w:val="24"/>
          <w:lang w:eastAsia="pl-PL"/>
        </w:rPr>
        <w:t xml:space="preserve">.). Na podstawie wykresu można wnioskować, że rozkład jest w niewielkim stopniu lewostronnie asymetryczny. </w:t>
      </w:r>
      <w:r w:rsidR="00462C6A">
        <w:rPr>
          <w:rFonts w:ascii="Times New Roman" w:eastAsia="Times New Roman" w:hAnsi="Times New Roman" w:cs="Times New Roman"/>
          <w:sz w:val="24"/>
          <w:szCs w:val="24"/>
          <w:lang w:eastAsia="pl-PL"/>
        </w:rPr>
        <w:t>Badając normalność rozkładów reszt można też posłużyć się wykresem dystrybuanty rozkładu (Ry</w:t>
      </w:r>
      <w:r w:rsidR="001C4A62">
        <w:rPr>
          <w:rFonts w:ascii="Times New Roman" w:eastAsia="Times New Roman" w:hAnsi="Times New Roman" w:cs="Times New Roman"/>
          <w:sz w:val="24"/>
          <w:szCs w:val="24"/>
          <w:lang w:eastAsia="pl-PL"/>
        </w:rPr>
        <w:t>s. 11</w:t>
      </w:r>
      <w:r w:rsidR="000C344E">
        <w:rPr>
          <w:rFonts w:ascii="Times New Roman" w:eastAsia="Times New Roman" w:hAnsi="Times New Roman" w:cs="Times New Roman"/>
          <w:sz w:val="24"/>
          <w:szCs w:val="24"/>
          <w:lang w:eastAsia="pl-PL"/>
        </w:rPr>
        <w:t xml:space="preserve">.), który w przypadku reszt ostatecznej wersji modelu (Załącznik </w:t>
      </w:r>
      <w:r w:rsidR="001C4A62">
        <w:rPr>
          <w:rFonts w:ascii="Times New Roman" w:eastAsia="Times New Roman" w:hAnsi="Times New Roman" w:cs="Times New Roman"/>
          <w:sz w:val="24"/>
          <w:szCs w:val="24"/>
          <w:lang w:eastAsia="pl-PL"/>
        </w:rPr>
        <w:t>4</w:t>
      </w:r>
      <w:r w:rsidR="000C344E">
        <w:rPr>
          <w:rFonts w:ascii="Times New Roman" w:eastAsia="Times New Roman" w:hAnsi="Times New Roman" w:cs="Times New Roman"/>
          <w:sz w:val="24"/>
          <w:szCs w:val="24"/>
          <w:lang w:eastAsia="pl-PL"/>
        </w:rPr>
        <w:t>.) przypomina wykres dystrybuanty rozkładu normalnego.</w:t>
      </w:r>
    </w:p>
    <w:p w:rsidR="00D66922" w:rsidRDefault="00D66922" w:rsidP="001F57FB">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Pr="00052555" w:rsidRDefault="001C4A62" w:rsidP="00052555">
      <w:pPr>
        <w:tabs>
          <w:tab w:val="left" w:pos="8738"/>
        </w:tabs>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10</w:t>
      </w:r>
      <w:r w:rsidR="006B367B" w:rsidRPr="006D30C6">
        <w:rPr>
          <w:rFonts w:ascii="Times New Roman" w:eastAsia="Times New Roman" w:hAnsi="Times New Roman" w:cs="Times New Roman"/>
          <w:sz w:val="24"/>
          <w:szCs w:val="24"/>
          <w:lang w:eastAsia="pl-PL"/>
        </w:rPr>
        <w:t xml:space="preserve">. </w:t>
      </w:r>
      <w:r w:rsidR="007C5ABF" w:rsidRPr="006D30C6">
        <w:rPr>
          <w:rFonts w:ascii="Times New Roman" w:eastAsia="Times New Roman" w:hAnsi="Times New Roman" w:cs="Times New Roman"/>
          <w:sz w:val="24"/>
          <w:szCs w:val="24"/>
          <w:lang w:eastAsia="pl-PL"/>
        </w:rPr>
        <w:t xml:space="preserve"> Jądrowy estymator gęstości dla reszt ostatecznej </w:t>
      </w:r>
      <w:r>
        <w:rPr>
          <w:rFonts w:ascii="Times New Roman" w:eastAsia="Times New Roman" w:hAnsi="Times New Roman" w:cs="Times New Roman"/>
          <w:sz w:val="24"/>
          <w:szCs w:val="24"/>
          <w:lang w:eastAsia="pl-PL"/>
        </w:rPr>
        <w:t>wersji modelu (Załącznik 4</w:t>
      </w:r>
      <w:r w:rsidR="006B367B" w:rsidRPr="006D30C6">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w:t>
      </w:r>
    </w:p>
    <w:p w:rsidR="006B367B" w:rsidRPr="00B1700A" w:rsidRDefault="006B367B" w:rsidP="006B367B">
      <w:pPr>
        <w:tabs>
          <w:tab w:val="left" w:pos="8738"/>
        </w:tabs>
        <w:jc w:val="center"/>
      </w:pPr>
      <w:r>
        <w:rPr>
          <w:noProof/>
          <w:lang w:eastAsia="pl-PL"/>
        </w:rPr>
        <w:drawing>
          <wp:inline distT="0" distB="0" distL="0" distR="0">
            <wp:extent cx="5760720" cy="3230880"/>
            <wp:effectExtent l="0" t="0" r="0" b="762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sidual kde plot.png"/>
                    <pic:cNvPicPr/>
                  </pic:nvPicPr>
                  <pic:blipFill rotWithShape="1">
                    <a:blip r:embed="rId17">
                      <a:extLst>
                        <a:ext uri="{28A0092B-C50C-407E-A947-70E740481C1C}">
                          <a14:useLocalDpi xmlns:a14="http://schemas.microsoft.com/office/drawing/2010/main" val="0"/>
                        </a:ext>
                      </a:extLst>
                    </a:blip>
                    <a:srcRect t="4782" b="3044"/>
                    <a:stretch/>
                  </pic:blipFill>
                  <pic:spPr bwMode="auto">
                    <a:xfrm>
                      <a:off x="0" y="0"/>
                      <a:ext cx="5760720" cy="3230880"/>
                    </a:xfrm>
                    <a:prstGeom prst="rect">
                      <a:avLst/>
                    </a:prstGeom>
                    <a:ln>
                      <a:noFill/>
                    </a:ln>
                    <a:extLst>
                      <a:ext uri="{53640926-AAD7-44D8-BBD7-CCE9431645EC}">
                        <a14:shadowObscured xmlns:a14="http://schemas.microsoft.com/office/drawing/2010/main"/>
                      </a:ext>
                    </a:extLst>
                  </pic:spPr>
                </pic:pic>
              </a:graphicData>
            </a:graphic>
          </wp:inline>
        </w:drawing>
      </w:r>
    </w:p>
    <w:p w:rsidR="006B367B" w:rsidRDefault="006B367B" w:rsidP="006B367B">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1C4A62" w:rsidRPr="001F57FB" w:rsidRDefault="001C4A62" w:rsidP="006B367B">
      <w:pPr>
        <w:tabs>
          <w:tab w:val="left" w:pos="8738"/>
        </w:tabs>
        <w:ind w:left="720" w:hanging="720"/>
        <w:jc w:val="both"/>
        <w:rPr>
          <w:rFonts w:ascii="Times New Roman" w:hAnsi="Times New Roman" w:cs="Times New Roman"/>
          <w:sz w:val="20"/>
          <w:szCs w:val="20"/>
        </w:rPr>
      </w:pPr>
    </w:p>
    <w:p w:rsidR="00462C6A" w:rsidRPr="006D30C6" w:rsidRDefault="001C4A62" w:rsidP="006D30C6">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11</w:t>
      </w:r>
      <w:r w:rsidR="00462C6A" w:rsidRPr="006D30C6">
        <w:rPr>
          <w:rFonts w:ascii="Times New Roman" w:eastAsia="Times New Roman" w:hAnsi="Times New Roman" w:cs="Times New Roman"/>
          <w:sz w:val="24"/>
          <w:szCs w:val="24"/>
          <w:lang w:eastAsia="pl-PL"/>
        </w:rPr>
        <w:t>.  Wykres dystrybuanty rozkładu reszt ostate</w:t>
      </w:r>
      <w:r>
        <w:rPr>
          <w:rFonts w:ascii="Times New Roman" w:eastAsia="Times New Roman" w:hAnsi="Times New Roman" w:cs="Times New Roman"/>
          <w:sz w:val="24"/>
          <w:szCs w:val="24"/>
          <w:lang w:eastAsia="pl-PL"/>
        </w:rPr>
        <w:t>cznej wersji modelu (Załącznik 4.)</w:t>
      </w:r>
    </w:p>
    <w:p w:rsidR="00462C6A" w:rsidRPr="00B1700A" w:rsidRDefault="00462C6A" w:rsidP="00462C6A">
      <w:pPr>
        <w:tabs>
          <w:tab w:val="left" w:pos="8738"/>
        </w:tabs>
        <w:jc w:val="center"/>
      </w:pPr>
      <w:r>
        <w:rPr>
          <w:noProof/>
          <w:lang w:eastAsia="pl-PL"/>
        </w:rPr>
        <w:drawing>
          <wp:inline distT="0" distB="0" distL="0" distR="0">
            <wp:extent cx="5760720" cy="35052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dual empirical cdf.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p>
    <w:p w:rsidR="006B367B" w:rsidRDefault="00462C6A" w:rsidP="001C4A62">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001C4A62">
        <w:rPr>
          <w:rFonts w:ascii="Times New Roman" w:hAnsi="Times New Roman" w:cs="Times New Roman"/>
          <w:sz w:val="20"/>
          <w:szCs w:val="20"/>
        </w:rPr>
        <w:t>.</w:t>
      </w:r>
    </w:p>
    <w:p w:rsidR="001C4A62" w:rsidRDefault="001C4A62" w:rsidP="001C4A62">
      <w:pPr>
        <w:tabs>
          <w:tab w:val="left" w:pos="8738"/>
        </w:tabs>
        <w:ind w:left="720" w:hanging="720"/>
        <w:jc w:val="both"/>
        <w:rPr>
          <w:rFonts w:ascii="Times New Roman" w:hAnsi="Times New Roman" w:cs="Times New Roman"/>
          <w:sz w:val="20"/>
          <w:szCs w:val="20"/>
        </w:rPr>
      </w:pPr>
    </w:p>
    <w:p w:rsidR="00052555" w:rsidRDefault="00052555" w:rsidP="001C4A62">
      <w:pPr>
        <w:tabs>
          <w:tab w:val="left" w:pos="8738"/>
        </w:tabs>
        <w:ind w:left="720" w:hanging="720"/>
        <w:jc w:val="both"/>
        <w:rPr>
          <w:rFonts w:ascii="Times New Roman" w:hAnsi="Times New Roman" w:cs="Times New Roman"/>
          <w:sz w:val="20"/>
          <w:szCs w:val="20"/>
        </w:rPr>
      </w:pPr>
    </w:p>
    <w:p w:rsidR="001C4A62" w:rsidRPr="001C4A62" w:rsidRDefault="001C4A62" w:rsidP="001C4A62">
      <w:pPr>
        <w:tabs>
          <w:tab w:val="left" w:pos="8738"/>
        </w:tabs>
        <w:ind w:left="720" w:hanging="720"/>
        <w:jc w:val="both"/>
        <w:rPr>
          <w:rFonts w:ascii="Times New Roman" w:hAnsi="Times New Roman" w:cs="Times New Roman"/>
          <w:sz w:val="20"/>
          <w:szCs w:val="20"/>
        </w:rPr>
      </w:pPr>
    </w:p>
    <w:p w:rsidR="009249BE" w:rsidRPr="00C047FE" w:rsidRDefault="009249BE"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w:t>
      </w:r>
      <w:r w:rsidR="00522072">
        <w:rPr>
          <w:rFonts w:ascii="Times New Roman" w:eastAsia="Times New Roman" w:hAnsi="Times New Roman" w:cs="Times New Roman"/>
          <w:b/>
          <w:sz w:val="24"/>
          <w:szCs w:val="24"/>
          <w:lang w:eastAsia="pl-PL"/>
        </w:rPr>
        <w:t>4</w:t>
      </w:r>
      <w:r w:rsidR="00427E8A" w:rsidRPr="00C047FE">
        <w:rPr>
          <w:rFonts w:ascii="Times New Roman" w:eastAsia="Times New Roman" w:hAnsi="Times New Roman" w:cs="Times New Roman"/>
          <w:b/>
          <w:sz w:val="24"/>
          <w:szCs w:val="24"/>
          <w:lang w:eastAsia="pl-PL"/>
        </w:rPr>
        <w:t>. Z</w:t>
      </w:r>
      <w:r w:rsidRPr="00C047FE">
        <w:rPr>
          <w:rFonts w:ascii="Times New Roman" w:eastAsia="Times New Roman" w:hAnsi="Times New Roman" w:cs="Times New Roman"/>
          <w:b/>
          <w:sz w:val="24"/>
          <w:szCs w:val="24"/>
          <w:lang w:eastAsia="pl-PL"/>
        </w:rPr>
        <w:t>ałożenie o braku autokorelacji czynników losowych</w:t>
      </w:r>
      <w:r w:rsidR="00427E8A" w:rsidRPr="00C047FE">
        <w:rPr>
          <w:rFonts w:ascii="Times New Roman" w:eastAsia="Times New Roman" w:hAnsi="Times New Roman" w:cs="Times New Roman"/>
          <w:b/>
          <w:sz w:val="24"/>
          <w:szCs w:val="24"/>
          <w:lang w:eastAsia="pl-PL"/>
        </w:rPr>
        <w:t xml:space="preserve"> ε</w:t>
      </w:r>
    </w:p>
    <w:p w:rsidR="00B933E3" w:rsidRPr="00C047FE" w:rsidRDefault="00B933E3" w:rsidP="00C047FE">
      <w:pPr>
        <w:spacing w:before="240"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W celu zweryfikowania autokorelacji reszt przeprowadzono test Durbina-Watsona oraz Breuscha-Godfreya. Oba testy wykazały</w:t>
      </w:r>
      <w:r w:rsidR="009D670B">
        <w:rPr>
          <w:rFonts w:ascii="Times New Roman" w:eastAsiaTheme="minorEastAsia" w:hAnsi="Times New Roman" w:cs="Times New Roman"/>
          <w:sz w:val="24"/>
        </w:rPr>
        <w:t>, że hipotezy zerowe o braku autokorelacji (przy przyjętym poziomie istotności α = 0.05)</w:t>
      </w:r>
      <w:r w:rsidRPr="00C047FE">
        <w:rPr>
          <w:rFonts w:ascii="Times New Roman" w:eastAsiaTheme="minorEastAsia" w:hAnsi="Times New Roman" w:cs="Times New Roman"/>
          <w:sz w:val="24"/>
        </w:rPr>
        <w:t xml:space="preserve"> </w:t>
      </w:r>
      <w:r w:rsidR="009D670B">
        <w:rPr>
          <w:rFonts w:ascii="Times New Roman" w:eastAsiaTheme="minorEastAsia" w:hAnsi="Times New Roman" w:cs="Times New Roman"/>
          <w:sz w:val="24"/>
        </w:rPr>
        <w:t xml:space="preserve">zostały odrzucone (p-value dla testu Durbina Watsona wynosi </w:t>
      </w:r>
      <w:r w:rsidR="009D670B" w:rsidRPr="009D670B">
        <w:rPr>
          <w:rFonts w:ascii="Times New Roman" w:eastAsiaTheme="minorEastAsia" w:hAnsi="Times New Roman" w:cs="Times New Roman"/>
          <w:sz w:val="24"/>
        </w:rPr>
        <w:t>0.000007595</w:t>
      </w:r>
      <w:r w:rsidR="009D670B">
        <w:rPr>
          <w:rFonts w:ascii="Times New Roman" w:eastAsiaTheme="minorEastAsia" w:hAnsi="Times New Roman" w:cs="Times New Roman"/>
          <w:sz w:val="24"/>
        </w:rPr>
        <w:t xml:space="preserve">, natomiast dla Breuscha-Godfreya </w:t>
      </w:r>
      <w:r w:rsidR="009D670B" w:rsidRPr="009D670B">
        <w:rPr>
          <w:rFonts w:ascii="Times New Roman" w:eastAsiaTheme="minorEastAsia" w:hAnsi="Times New Roman" w:cs="Times New Roman"/>
          <w:sz w:val="24"/>
        </w:rPr>
        <w:t>0.00003686</w:t>
      </w:r>
      <w:r w:rsidR="009D670B">
        <w:rPr>
          <w:rFonts w:ascii="Times New Roman" w:eastAsiaTheme="minorEastAsia" w:hAnsi="Times New Roman" w:cs="Times New Roman"/>
          <w:sz w:val="24"/>
        </w:rPr>
        <w:t xml:space="preserve">). </w:t>
      </w:r>
      <w:r w:rsidRPr="00C047FE">
        <w:rPr>
          <w:rFonts w:ascii="Times New Roman" w:eastAsiaTheme="minorEastAsia" w:hAnsi="Times New Roman" w:cs="Times New Roman"/>
          <w:sz w:val="24"/>
        </w:rPr>
        <w:t xml:space="preserve">Gdy założenie o braku autokorelacji Klasycznej Metody </w:t>
      </w:r>
      <w:r w:rsidR="00C047FE">
        <w:rPr>
          <w:rFonts w:ascii="Times New Roman" w:eastAsiaTheme="minorEastAsia" w:hAnsi="Times New Roman" w:cs="Times New Roman"/>
          <w:sz w:val="24"/>
        </w:rPr>
        <w:t>Regresji Liniowej nie </w:t>
      </w:r>
      <w:r w:rsidRPr="00C047FE">
        <w:rPr>
          <w:rFonts w:ascii="Times New Roman" w:eastAsiaTheme="minorEastAsia" w:hAnsi="Times New Roman" w:cs="Times New Roman"/>
          <w:sz w:val="24"/>
        </w:rPr>
        <w:t>jest spełnione mówimy o</w:t>
      </w:r>
      <w:r w:rsidR="009D670B">
        <w:rPr>
          <w:rFonts w:ascii="Times New Roman" w:eastAsiaTheme="minorEastAsia" w:hAnsi="Times New Roman" w:cs="Times New Roman"/>
          <w:sz w:val="24"/>
        </w:rPr>
        <w:t> </w:t>
      </w:r>
      <w:r w:rsidRPr="00C047FE">
        <w:rPr>
          <w:rFonts w:ascii="Times New Roman" w:eastAsiaTheme="minorEastAsia" w:hAnsi="Times New Roman" w:cs="Times New Roman"/>
          <w:sz w:val="24"/>
        </w:rPr>
        <w:t>niesferyczności błędów losowych – charakteryzują się wtedy całkowicie chaotycznymi fluktuacjami (Mycielski, 2010).</w:t>
      </w:r>
      <w:r w:rsidR="006F12AC" w:rsidRPr="00C047FE">
        <w:rPr>
          <w:rFonts w:ascii="Times New Roman" w:eastAsiaTheme="minorEastAsia" w:hAnsi="Times New Roman" w:cs="Times New Roman"/>
          <w:sz w:val="24"/>
        </w:rPr>
        <w:t xml:space="preserve"> Jednym</w:t>
      </w:r>
      <w:r w:rsidR="002F4842">
        <w:rPr>
          <w:rFonts w:ascii="Times New Roman" w:eastAsiaTheme="minorEastAsia" w:hAnsi="Times New Roman" w:cs="Times New Roman"/>
          <w:sz w:val="24"/>
        </w:rPr>
        <w:t>i</w:t>
      </w:r>
      <w:r w:rsidR="006F12AC" w:rsidRPr="00C047FE">
        <w:rPr>
          <w:rFonts w:ascii="Times New Roman" w:eastAsiaTheme="minorEastAsia" w:hAnsi="Times New Roman" w:cs="Times New Roman"/>
          <w:sz w:val="24"/>
        </w:rPr>
        <w:t xml:space="preserve"> ze sposobów radzenia sobie z tym problemem </w:t>
      </w:r>
      <w:r w:rsidR="002F4842">
        <w:rPr>
          <w:rFonts w:ascii="Times New Roman" w:eastAsiaTheme="minorEastAsia" w:hAnsi="Times New Roman" w:cs="Times New Roman"/>
          <w:sz w:val="24"/>
        </w:rPr>
        <w:t xml:space="preserve">są: </w:t>
      </w:r>
      <w:r w:rsidR="006F12AC" w:rsidRPr="00C047FE">
        <w:rPr>
          <w:rFonts w:ascii="Times New Roman" w:eastAsiaTheme="minorEastAsia" w:hAnsi="Times New Roman" w:cs="Times New Roman"/>
          <w:sz w:val="24"/>
        </w:rPr>
        <w:t>użycie estymatora Newey’a – Westa macier</w:t>
      </w:r>
      <w:r w:rsidR="002F4842">
        <w:rPr>
          <w:rFonts w:ascii="Times New Roman" w:eastAsiaTheme="minorEastAsia" w:hAnsi="Times New Roman" w:cs="Times New Roman"/>
          <w:sz w:val="24"/>
        </w:rPr>
        <w:t>zy wariancji kowariancji lub zastosowanie Stosowalnej Uogólnionej Metody Najmniejszych Kwadratów z estymatorem Praisa-Winstena.</w:t>
      </w:r>
    </w:p>
    <w:p w:rsidR="002F4842" w:rsidRDefault="00FB73F4" w:rsidP="009D670B">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Estymator Newey’a-Westa macierzy wariancji kowariancji oraz ostateczna wersja modelu nie </w:t>
      </w:r>
      <w:r w:rsidR="00B66FA7" w:rsidRPr="00C047FE">
        <w:rPr>
          <w:rFonts w:ascii="Times New Roman" w:eastAsiaTheme="minorEastAsia" w:hAnsi="Times New Roman" w:cs="Times New Roman"/>
          <w:sz w:val="24"/>
        </w:rPr>
        <w:t>różni</w:t>
      </w:r>
      <w:r w:rsidR="00B66FA7">
        <w:rPr>
          <w:rFonts w:ascii="Times New Roman" w:eastAsiaTheme="minorEastAsia" w:hAnsi="Times New Roman" w:cs="Times New Roman"/>
          <w:sz w:val="24"/>
        </w:rPr>
        <w:t>ą</w:t>
      </w:r>
      <w:r w:rsidRPr="00C047FE">
        <w:rPr>
          <w:rFonts w:ascii="Times New Roman" w:eastAsiaTheme="minorEastAsia" w:hAnsi="Times New Roman" w:cs="Times New Roman"/>
          <w:sz w:val="24"/>
        </w:rPr>
        <w:t xml:space="preserve"> się znacząco. Parametry zmiennych nie </w:t>
      </w:r>
      <w:r w:rsidR="00C047FE">
        <w:rPr>
          <w:rFonts w:ascii="Times New Roman" w:eastAsiaTheme="minorEastAsia" w:hAnsi="Times New Roman" w:cs="Times New Roman"/>
          <w:sz w:val="24"/>
        </w:rPr>
        <w:t>zmieniły się, jedyne różnice są </w:t>
      </w:r>
      <w:r w:rsidRPr="00C047FE">
        <w:rPr>
          <w:rFonts w:ascii="Times New Roman" w:eastAsiaTheme="minorEastAsia" w:hAnsi="Times New Roman" w:cs="Times New Roman"/>
          <w:sz w:val="24"/>
        </w:rPr>
        <w:t>widoczne w błędach standardowych (Załączni</w:t>
      </w:r>
      <w:r w:rsidR="001C4A62">
        <w:rPr>
          <w:rFonts w:ascii="Times New Roman" w:eastAsiaTheme="minorEastAsia" w:hAnsi="Times New Roman" w:cs="Times New Roman"/>
          <w:sz w:val="24"/>
        </w:rPr>
        <w:t>k 6</w:t>
      </w:r>
      <w:r w:rsidRPr="00C047FE">
        <w:rPr>
          <w:rFonts w:ascii="Times New Roman" w:eastAsiaTheme="minorEastAsia" w:hAnsi="Times New Roman" w:cs="Times New Roman"/>
          <w:sz w:val="24"/>
        </w:rPr>
        <w:t>.).</w:t>
      </w:r>
      <w:r w:rsidR="00924E7E" w:rsidRPr="00C047FE">
        <w:rPr>
          <w:rFonts w:ascii="Times New Roman" w:eastAsiaTheme="minorEastAsia" w:hAnsi="Times New Roman" w:cs="Times New Roman"/>
          <w:sz w:val="24"/>
        </w:rPr>
        <w:t xml:space="preserve"> Jest to związa</w:t>
      </w:r>
      <w:r w:rsidR="00C047FE">
        <w:rPr>
          <w:rFonts w:ascii="Times New Roman" w:eastAsiaTheme="minorEastAsia" w:hAnsi="Times New Roman" w:cs="Times New Roman"/>
          <w:sz w:val="24"/>
        </w:rPr>
        <w:t>ne z typem danyc</w:t>
      </w:r>
      <w:r w:rsidR="00052437">
        <w:rPr>
          <w:rFonts w:ascii="Times New Roman" w:eastAsiaTheme="minorEastAsia" w:hAnsi="Times New Roman" w:cs="Times New Roman"/>
          <w:sz w:val="24"/>
        </w:rPr>
        <w:t>h użytych</w:t>
      </w:r>
      <w:r w:rsidR="00C047FE">
        <w:rPr>
          <w:rFonts w:ascii="Times New Roman" w:eastAsiaTheme="minorEastAsia" w:hAnsi="Times New Roman" w:cs="Times New Roman"/>
          <w:sz w:val="24"/>
        </w:rPr>
        <w:t xml:space="preserve"> w </w:t>
      </w:r>
      <w:r w:rsidR="00924E7E" w:rsidRPr="00C047FE">
        <w:rPr>
          <w:rFonts w:ascii="Times New Roman" w:eastAsiaTheme="minorEastAsia" w:hAnsi="Times New Roman" w:cs="Times New Roman"/>
          <w:sz w:val="24"/>
        </w:rPr>
        <w:t>pracy – model jest zbudowany na podstawie danych przekrojowych, a problem autokorelacji jest charakterystyczny dla szeregów czasowych.</w:t>
      </w:r>
    </w:p>
    <w:p w:rsidR="00C047FE" w:rsidRPr="00C047FE" w:rsidRDefault="00C047FE" w:rsidP="00C047FE">
      <w:pPr>
        <w:spacing w:after="0" w:line="360" w:lineRule="auto"/>
        <w:jc w:val="both"/>
        <w:rPr>
          <w:rFonts w:ascii="Times New Roman" w:eastAsiaTheme="minorEastAsia" w:hAnsi="Times New Roman" w:cs="Times New Roman"/>
          <w:sz w:val="24"/>
        </w:rPr>
      </w:pPr>
    </w:p>
    <w:p w:rsidR="00B37D9B" w:rsidRPr="00C047FE" w:rsidRDefault="009249BE" w:rsidP="002E5A62">
      <w:pPr>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5.5. Współliniowość</w:t>
      </w:r>
    </w:p>
    <w:p w:rsidR="00721ABC" w:rsidRPr="00C047FE" w:rsidRDefault="00747F22"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Współliniowość zmiennych objaśniających dotyczy przypadku, w którym występuje </w:t>
      </w:r>
      <w:r w:rsidR="008A381F" w:rsidRPr="00C047FE">
        <w:rPr>
          <w:rFonts w:ascii="Times New Roman" w:eastAsiaTheme="minorEastAsia" w:hAnsi="Times New Roman" w:cs="Times New Roman"/>
          <w:sz w:val="24"/>
        </w:rPr>
        <w:t>silna</w:t>
      </w:r>
      <w:r w:rsidRPr="00C047FE">
        <w:rPr>
          <w:rFonts w:ascii="Times New Roman" w:eastAsiaTheme="minorEastAsia" w:hAnsi="Times New Roman" w:cs="Times New Roman"/>
          <w:sz w:val="24"/>
        </w:rPr>
        <w:t xml:space="preserve"> korelacja między nimi. </w:t>
      </w:r>
      <w:r w:rsidR="008A381F" w:rsidRPr="00C047FE">
        <w:rPr>
          <w:rFonts w:ascii="Times New Roman" w:eastAsiaTheme="minorEastAsia" w:hAnsi="Times New Roman" w:cs="Times New Roman"/>
          <w:sz w:val="24"/>
        </w:rPr>
        <w:t xml:space="preserve">W przypadku modelowania danych ekonomicznych (między innymi w niniejszej pracy) zjawisko to występuje bardzo często, jest jednak niekorzystne, ponieważ zmniejsza precyzję oszacowań parametrów. Zmierzenie wpływu korelacji na wynik estymacji modelu mierzy statystyka VIF (Variance Inflation Factor) oparta na współczynniku determinacji R2 (Mycielski, 2010). </w:t>
      </w:r>
    </w:p>
    <w:p w:rsidR="00721ABC" w:rsidRPr="00C047FE" w:rsidRDefault="00653885"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Przeprowadzono wyliczenie współczynnika VI</w:t>
      </w:r>
      <w:r w:rsidR="00427E8A" w:rsidRPr="00C047FE">
        <w:rPr>
          <w:rFonts w:ascii="Times New Roman" w:eastAsiaTheme="minorEastAsia" w:hAnsi="Times New Roman" w:cs="Times New Roman"/>
          <w:sz w:val="24"/>
        </w:rPr>
        <w:t>F dla ostatecznego modelu (Załąc</w:t>
      </w:r>
      <w:r w:rsidR="00522072">
        <w:rPr>
          <w:rFonts w:ascii="Times New Roman" w:eastAsiaTheme="minorEastAsia" w:hAnsi="Times New Roman" w:cs="Times New Roman"/>
          <w:sz w:val="24"/>
        </w:rPr>
        <w:t>znik 4.</w:t>
      </w:r>
      <w:r w:rsidRPr="00C047FE">
        <w:rPr>
          <w:rFonts w:ascii="Times New Roman" w:eastAsiaTheme="minorEastAsia" w:hAnsi="Times New Roman" w:cs="Times New Roman"/>
          <w:sz w:val="24"/>
        </w:rPr>
        <w:t xml:space="preserve">). W literaturze podaje się, że gdy VIF &gt; 10, to można </w:t>
      </w:r>
      <w:r w:rsidR="00427E8A" w:rsidRPr="00C047FE">
        <w:rPr>
          <w:rFonts w:ascii="Times New Roman" w:eastAsiaTheme="minorEastAsia" w:hAnsi="Times New Roman" w:cs="Times New Roman"/>
          <w:sz w:val="24"/>
        </w:rPr>
        <w:t>mówić</w:t>
      </w:r>
      <w:r w:rsidRPr="00C047FE">
        <w:rPr>
          <w:rFonts w:ascii="Times New Roman" w:eastAsiaTheme="minorEastAsia" w:hAnsi="Times New Roman" w:cs="Times New Roman"/>
          <w:sz w:val="24"/>
        </w:rPr>
        <w:t xml:space="preserve"> o występowaniu silnej niedokładnej współliniowości między zmiennymi niezależnymi. W przypadku końcowej wersji modelu zmiennymi, dla których współczynnik przyjmuje wartości większe niż 10 to: </w:t>
      </w:r>
      <w:r w:rsidRPr="00052437">
        <w:rPr>
          <w:rFonts w:ascii="Times New Roman" w:eastAsiaTheme="minorEastAsia" w:hAnsi="Times New Roman" w:cs="Times New Roman"/>
          <w:i/>
          <w:sz w:val="24"/>
        </w:rPr>
        <w:t>divorce</w:t>
      </w:r>
      <w:r w:rsidRPr="00C047FE">
        <w:rPr>
          <w:rFonts w:ascii="Times New Roman" w:eastAsiaTheme="minorEastAsia" w:hAnsi="Times New Roman" w:cs="Times New Roman"/>
          <w:sz w:val="24"/>
        </w:rPr>
        <w:t>_</w:t>
      </w:r>
      <w:r w:rsidRPr="00052437">
        <w:rPr>
          <w:rFonts w:ascii="Times New Roman" w:eastAsiaTheme="minorEastAsia" w:hAnsi="Times New Roman" w:cs="Times New Roman"/>
          <w:i/>
          <w:sz w:val="24"/>
        </w:rPr>
        <w:t>rate</w:t>
      </w:r>
      <w:r w:rsidR="00052437">
        <w:rPr>
          <w:rFonts w:ascii="Times New Roman" w:eastAsiaTheme="minorEastAsia" w:hAnsi="Times New Roman" w:cs="Times New Roman"/>
          <w:sz w:val="24"/>
        </w:rPr>
        <w:t xml:space="preserve"> oraz </w:t>
      </w:r>
      <w:r w:rsidR="00052437" w:rsidRPr="00052437">
        <w:rPr>
          <w:rFonts w:ascii="Times New Roman" w:eastAsiaTheme="minorEastAsia" w:hAnsi="Times New Roman" w:cs="Times New Roman"/>
          <w:i/>
          <w:sz w:val="24"/>
        </w:rPr>
        <w:t>children</w:t>
      </w:r>
      <w:r w:rsidR="00052437">
        <w:rPr>
          <w:rFonts w:ascii="Times New Roman" w:eastAsiaTheme="minorEastAsia" w:hAnsi="Times New Roman" w:cs="Times New Roman"/>
          <w:sz w:val="24"/>
        </w:rPr>
        <w:t>.</w:t>
      </w:r>
      <w:r w:rsidR="00E7629A" w:rsidRPr="00C047FE">
        <w:rPr>
          <w:rFonts w:ascii="Times New Roman" w:eastAsiaTheme="minorEastAsia" w:hAnsi="Times New Roman" w:cs="Times New Roman"/>
          <w:sz w:val="24"/>
        </w:rPr>
        <w:t xml:space="preserve"> </w:t>
      </w:r>
    </w:p>
    <w:p w:rsidR="00E7629A" w:rsidRDefault="00E7629A"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Jedną z metod rozwiązania problemu niedokładnej współliniowości jest usunięcie zmiennej o najwyższym współczynniku VIF (w tej pracy: </w:t>
      </w:r>
      <w:r w:rsidR="009B4401" w:rsidRPr="009B4401">
        <w:rPr>
          <w:rFonts w:ascii="Times New Roman" w:eastAsiaTheme="minorEastAsia" w:hAnsi="Times New Roman" w:cs="Times New Roman"/>
          <w:i/>
          <w:sz w:val="24"/>
        </w:rPr>
        <w:t>children</w:t>
      </w:r>
      <w:r w:rsidR="009B4401">
        <w:rPr>
          <w:rFonts w:ascii="Times New Roman" w:eastAsiaTheme="minorEastAsia" w:hAnsi="Times New Roman" w:cs="Times New Roman"/>
          <w:sz w:val="24"/>
        </w:rPr>
        <w:t xml:space="preserve"> mierząca liczbę ludności w danym powiecie (lub mieście na prawach powiatu) w wieku do 2 lat, dla której VIF wynosi 25.632833). </w:t>
      </w:r>
      <w:r w:rsidRPr="00C047FE">
        <w:rPr>
          <w:rFonts w:ascii="Times New Roman" w:eastAsiaTheme="minorEastAsia" w:hAnsi="Times New Roman" w:cs="Times New Roman"/>
          <w:sz w:val="24"/>
        </w:rPr>
        <w:t>Jednakże usunięcie tej zmiennej (która jest istotna statystycznie) może spowodo</w:t>
      </w:r>
      <w:r w:rsidR="009B4401">
        <w:rPr>
          <w:rFonts w:ascii="Times New Roman" w:eastAsiaTheme="minorEastAsia" w:hAnsi="Times New Roman" w:cs="Times New Roman"/>
          <w:sz w:val="24"/>
        </w:rPr>
        <w:t>wać obciążenie estymatorów przy </w:t>
      </w:r>
      <w:r w:rsidRPr="00C047FE">
        <w:rPr>
          <w:rFonts w:ascii="Times New Roman" w:eastAsiaTheme="minorEastAsia" w:hAnsi="Times New Roman" w:cs="Times New Roman"/>
          <w:sz w:val="24"/>
        </w:rPr>
        <w:t>zmienn</w:t>
      </w:r>
      <w:r w:rsidR="00A475AC" w:rsidRPr="00C047FE">
        <w:rPr>
          <w:rFonts w:ascii="Times New Roman" w:eastAsiaTheme="minorEastAsia" w:hAnsi="Times New Roman" w:cs="Times New Roman"/>
          <w:sz w:val="24"/>
        </w:rPr>
        <w:t xml:space="preserve">ych, z którymi jest skorelowana, dlatego zdecydowano </w:t>
      </w:r>
      <w:r w:rsidR="009B4401">
        <w:rPr>
          <w:rFonts w:ascii="Times New Roman" w:eastAsiaTheme="minorEastAsia" w:hAnsi="Times New Roman" w:cs="Times New Roman"/>
          <w:sz w:val="24"/>
        </w:rPr>
        <w:t>o pozostawieniu ich w </w:t>
      </w:r>
      <w:r w:rsidR="00A475AC" w:rsidRPr="00C047FE">
        <w:rPr>
          <w:rFonts w:ascii="Times New Roman" w:eastAsiaTheme="minorEastAsia" w:hAnsi="Times New Roman" w:cs="Times New Roman"/>
          <w:sz w:val="24"/>
        </w:rPr>
        <w:t>estymowanym modelu ekonometrycznym.</w:t>
      </w:r>
    </w:p>
    <w:p w:rsidR="000C344E" w:rsidRPr="00C047FE" w:rsidRDefault="000C344E" w:rsidP="00C047FE">
      <w:pPr>
        <w:spacing w:after="0" w:line="360" w:lineRule="auto"/>
        <w:jc w:val="both"/>
        <w:rPr>
          <w:rFonts w:ascii="Times New Roman" w:eastAsiaTheme="minorEastAsia" w:hAnsi="Times New Roman" w:cs="Times New Roman"/>
          <w:sz w:val="24"/>
        </w:rPr>
      </w:pPr>
    </w:p>
    <w:p w:rsidR="009B4401" w:rsidRPr="006D30C6" w:rsidRDefault="00D27C58" w:rsidP="006D30C6">
      <w:pPr>
        <w:tabs>
          <w:tab w:val="left" w:pos="8738"/>
        </w:tabs>
        <w:spacing w:after="0" w:line="240" w:lineRule="auto"/>
        <w:jc w:val="both"/>
        <w:rPr>
          <w:rFonts w:ascii="Times New Roman" w:eastAsia="Times New Roman" w:hAnsi="Times New Roman" w:cs="Times New Roman"/>
          <w:sz w:val="24"/>
          <w:szCs w:val="24"/>
          <w:lang w:eastAsia="pl-PL"/>
        </w:rPr>
      </w:pPr>
      <w:r w:rsidRPr="006D30C6">
        <w:rPr>
          <w:rFonts w:ascii="Times New Roman" w:eastAsia="Times New Roman" w:hAnsi="Times New Roman" w:cs="Times New Roman"/>
          <w:sz w:val="24"/>
          <w:szCs w:val="24"/>
          <w:lang w:eastAsia="pl-PL"/>
        </w:rPr>
        <w:t xml:space="preserve">Rys. </w:t>
      </w:r>
      <w:r w:rsidR="00522072">
        <w:rPr>
          <w:rFonts w:ascii="Times New Roman" w:eastAsia="Times New Roman" w:hAnsi="Times New Roman" w:cs="Times New Roman"/>
          <w:sz w:val="24"/>
          <w:szCs w:val="24"/>
          <w:lang w:eastAsia="pl-PL"/>
        </w:rPr>
        <w:t>1</w:t>
      </w:r>
      <w:r w:rsidRPr="006D30C6">
        <w:rPr>
          <w:rFonts w:ascii="Times New Roman" w:eastAsia="Times New Roman" w:hAnsi="Times New Roman" w:cs="Times New Roman"/>
          <w:sz w:val="24"/>
          <w:szCs w:val="24"/>
          <w:lang w:eastAsia="pl-PL"/>
        </w:rPr>
        <w:t>2. Wykres korelacji zmiennych zawartych w ostatecznej wersji modelu (</w:t>
      </w:r>
      <w:r w:rsidR="00427E8A" w:rsidRPr="006D30C6">
        <w:rPr>
          <w:rFonts w:ascii="Times New Roman" w:eastAsia="Times New Roman" w:hAnsi="Times New Roman" w:cs="Times New Roman"/>
          <w:sz w:val="24"/>
          <w:szCs w:val="24"/>
          <w:lang w:eastAsia="pl-PL"/>
        </w:rPr>
        <w:t>Załącznik</w:t>
      </w:r>
      <w:r w:rsidR="009B4401" w:rsidRPr="006D30C6">
        <w:rPr>
          <w:rFonts w:ascii="Times New Roman" w:eastAsia="Times New Roman" w:hAnsi="Times New Roman" w:cs="Times New Roman"/>
          <w:sz w:val="24"/>
          <w:szCs w:val="24"/>
          <w:lang w:eastAsia="pl-PL"/>
        </w:rPr>
        <w:t xml:space="preserve"> </w:t>
      </w:r>
      <w:r w:rsidR="00522072">
        <w:rPr>
          <w:rFonts w:ascii="Times New Roman" w:eastAsia="Times New Roman" w:hAnsi="Times New Roman" w:cs="Times New Roman"/>
          <w:sz w:val="24"/>
          <w:szCs w:val="24"/>
          <w:lang w:eastAsia="pl-PL"/>
        </w:rPr>
        <w:t>4.)</w:t>
      </w:r>
    </w:p>
    <w:p w:rsidR="00D27C58" w:rsidRPr="00B1700A" w:rsidRDefault="009B4401" w:rsidP="00D27C58">
      <w:pPr>
        <w:tabs>
          <w:tab w:val="left" w:pos="8738"/>
        </w:tabs>
        <w:jc w:val="center"/>
      </w:pPr>
      <w:r>
        <w:rPr>
          <w:noProof/>
          <w:lang w:eastAsia="pl-PL"/>
        </w:rPr>
        <w:drawing>
          <wp:inline distT="0" distB="0" distL="0" distR="0">
            <wp:extent cx="2796540" cy="2613660"/>
            <wp:effectExtent l="0" t="0" r="381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rrelation plot.png"/>
                    <pic:cNvPicPr/>
                  </pic:nvPicPr>
                  <pic:blipFill rotWithShape="1">
                    <a:blip r:embed="rId19" cstate="print">
                      <a:extLst>
                        <a:ext uri="{28A0092B-C50C-407E-A947-70E740481C1C}">
                          <a14:useLocalDpi xmlns:a14="http://schemas.microsoft.com/office/drawing/2010/main" val="0"/>
                        </a:ext>
                      </a:extLst>
                    </a:blip>
                    <a:srcRect l="27910" t="9259" r="23545"/>
                    <a:stretch/>
                  </pic:blipFill>
                  <pic:spPr bwMode="auto">
                    <a:xfrm>
                      <a:off x="0" y="0"/>
                      <a:ext cx="2796540" cy="2613660"/>
                    </a:xfrm>
                    <a:prstGeom prst="rect">
                      <a:avLst/>
                    </a:prstGeom>
                    <a:ln>
                      <a:noFill/>
                    </a:ln>
                    <a:extLst>
                      <a:ext uri="{53640926-AAD7-44D8-BBD7-CCE9431645EC}">
                        <a14:shadowObscured xmlns:a14="http://schemas.microsoft.com/office/drawing/2010/main"/>
                      </a:ext>
                    </a:extLst>
                  </pic:spPr>
                </pic:pic>
              </a:graphicData>
            </a:graphic>
          </wp:inline>
        </w:drawing>
      </w:r>
    </w:p>
    <w:p w:rsidR="00D27C58" w:rsidRDefault="00D27C58" w:rsidP="00D27C58">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 xml:space="preserve">Ministerstwa Zdrowia </w:t>
      </w:r>
      <w:r w:rsidR="001F57FB">
        <w:rPr>
          <w:rFonts w:ascii="Times New Roman" w:hAnsi="Times New Roman" w:cs="Times New Roman"/>
          <w:sz w:val="20"/>
          <w:szCs w:val="20"/>
        </w:rPr>
        <w:t>z </w:t>
      </w:r>
      <w:r w:rsidRPr="001F57FB">
        <w:rPr>
          <w:rFonts w:ascii="Times New Roman" w:hAnsi="Times New Roman" w:cs="Times New Roman"/>
          <w:sz w:val="20"/>
          <w:szCs w:val="20"/>
        </w:rPr>
        <w:t xml:space="preserve">wykorzystaniem biblioteki </w:t>
      </w:r>
      <w:r w:rsidRPr="001F57FB">
        <w:rPr>
          <w:rFonts w:ascii="Times New Roman" w:hAnsi="Times New Roman" w:cs="Times New Roman"/>
          <w:i/>
          <w:sz w:val="20"/>
          <w:szCs w:val="20"/>
        </w:rPr>
        <w:t>corrplot</w:t>
      </w:r>
      <w:r w:rsidRPr="001F57FB">
        <w:rPr>
          <w:rFonts w:ascii="Times New Roman" w:hAnsi="Times New Roman" w:cs="Times New Roman"/>
          <w:sz w:val="20"/>
          <w:szCs w:val="20"/>
        </w:rPr>
        <w:t>.</w:t>
      </w:r>
    </w:p>
    <w:p w:rsidR="00052555" w:rsidRPr="001F57FB" w:rsidRDefault="00052555" w:rsidP="00D27C58">
      <w:pPr>
        <w:tabs>
          <w:tab w:val="left" w:pos="8738"/>
        </w:tabs>
        <w:ind w:left="720" w:hanging="720"/>
        <w:jc w:val="both"/>
        <w:rPr>
          <w:rFonts w:ascii="Times New Roman" w:hAnsi="Times New Roman" w:cs="Times New Roman"/>
          <w:sz w:val="20"/>
          <w:szCs w:val="20"/>
        </w:rPr>
      </w:pPr>
    </w:p>
    <w:p w:rsidR="00721ABC" w:rsidRDefault="00D27C58" w:rsidP="00E17DAB">
      <w:pPr>
        <w:spacing w:after="0" w:line="360" w:lineRule="auto"/>
        <w:jc w:val="both"/>
        <w:rPr>
          <w:rFonts w:eastAsiaTheme="minorEastAsia" w:cstheme="minorHAnsi"/>
        </w:rPr>
      </w:pPr>
      <w:r>
        <w:rPr>
          <w:rFonts w:eastAsiaTheme="minorEastAsia" w:cstheme="minorHAnsi"/>
        </w:rPr>
        <w:tab/>
      </w:r>
      <w:r w:rsidRPr="00E17DAB">
        <w:rPr>
          <w:rFonts w:ascii="Times New Roman" w:eastAsiaTheme="minorEastAsia" w:hAnsi="Times New Roman" w:cs="Times New Roman"/>
          <w:sz w:val="24"/>
        </w:rPr>
        <w:t>Z wykresu korelacji zmiennych (Rys.</w:t>
      </w:r>
      <w:r w:rsidR="00361EE1" w:rsidRPr="00E17DAB">
        <w:rPr>
          <w:rFonts w:ascii="Times New Roman" w:eastAsiaTheme="minorEastAsia" w:hAnsi="Times New Roman" w:cs="Times New Roman"/>
          <w:sz w:val="24"/>
        </w:rPr>
        <w:t xml:space="preserve"> </w:t>
      </w:r>
      <w:r w:rsidR="00522072">
        <w:rPr>
          <w:rFonts w:ascii="Times New Roman" w:eastAsiaTheme="minorEastAsia" w:hAnsi="Times New Roman" w:cs="Times New Roman"/>
          <w:sz w:val="24"/>
        </w:rPr>
        <w:t>1</w:t>
      </w:r>
      <w:r w:rsidR="00361EE1" w:rsidRPr="00E17DAB">
        <w:rPr>
          <w:rFonts w:ascii="Times New Roman" w:eastAsiaTheme="minorEastAsia" w:hAnsi="Times New Roman" w:cs="Times New Roman"/>
          <w:sz w:val="24"/>
        </w:rPr>
        <w:t>2.) możemy zauważyć, że zmienne</w:t>
      </w:r>
      <w:r w:rsidRPr="00E17DAB">
        <w:rPr>
          <w:rFonts w:ascii="Times New Roman" w:eastAsiaTheme="minorEastAsia" w:hAnsi="Times New Roman" w:cs="Times New Roman"/>
          <w:sz w:val="24"/>
        </w:rPr>
        <w:t xml:space="preserve"> </w:t>
      </w:r>
      <w:r w:rsidR="009B4401" w:rsidRPr="00522072">
        <w:rPr>
          <w:rFonts w:ascii="Times New Roman" w:eastAsiaTheme="minorEastAsia" w:hAnsi="Times New Roman" w:cs="Times New Roman"/>
          <w:i/>
          <w:sz w:val="24"/>
        </w:rPr>
        <w:t>children</w:t>
      </w:r>
      <w:r w:rsidR="00E17DAB">
        <w:rPr>
          <w:rFonts w:ascii="Times New Roman" w:eastAsiaTheme="minorEastAsia" w:hAnsi="Times New Roman" w:cs="Times New Roman"/>
          <w:sz w:val="24"/>
        </w:rPr>
        <w:t xml:space="preserve"> (o </w:t>
      </w:r>
      <w:r w:rsidRPr="00E17DAB">
        <w:rPr>
          <w:rFonts w:ascii="Times New Roman" w:eastAsiaTheme="minorEastAsia" w:hAnsi="Times New Roman" w:cs="Times New Roman"/>
          <w:sz w:val="24"/>
        </w:rPr>
        <w:t>najwyższej wartości VIF)</w:t>
      </w:r>
      <w:r w:rsidR="00361EE1" w:rsidRPr="00E17DAB">
        <w:rPr>
          <w:rFonts w:ascii="Times New Roman" w:eastAsiaTheme="minorEastAsia" w:hAnsi="Times New Roman" w:cs="Times New Roman"/>
          <w:sz w:val="24"/>
        </w:rPr>
        <w:t xml:space="preserve"> jak i </w:t>
      </w:r>
      <w:r w:rsidR="009B4401" w:rsidRPr="00522072">
        <w:rPr>
          <w:rFonts w:ascii="Times New Roman" w:eastAsiaTheme="minorEastAsia" w:hAnsi="Times New Roman" w:cs="Times New Roman"/>
          <w:i/>
          <w:sz w:val="24"/>
        </w:rPr>
        <w:t>divorce_rate</w:t>
      </w:r>
      <w:r w:rsidR="00361EE1" w:rsidRPr="00E17DAB">
        <w:rPr>
          <w:rFonts w:ascii="Times New Roman" w:eastAsiaTheme="minorEastAsia" w:hAnsi="Times New Roman" w:cs="Times New Roman"/>
          <w:sz w:val="24"/>
        </w:rPr>
        <w:t xml:space="preserve"> są skorelowane w znacznym stopniu</w:t>
      </w:r>
      <w:r w:rsidR="00E17DAB" w:rsidRPr="00E17DAB">
        <w:rPr>
          <w:rFonts w:ascii="Times New Roman" w:eastAsiaTheme="minorEastAsia" w:hAnsi="Times New Roman" w:cs="Times New Roman"/>
          <w:sz w:val="24"/>
        </w:rPr>
        <w:t xml:space="preserve"> ze sobą oraz zmienną dotyczącą pandemii COVID-19 i </w:t>
      </w:r>
      <w:r w:rsidR="00E17DAB" w:rsidRPr="00522072">
        <w:rPr>
          <w:rFonts w:ascii="Times New Roman" w:eastAsiaTheme="minorEastAsia" w:hAnsi="Times New Roman" w:cs="Times New Roman"/>
          <w:i/>
          <w:sz w:val="24"/>
        </w:rPr>
        <w:t>bus_stops</w:t>
      </w:r>
      <w:r w:rsidR="00E17DAB" w:rsidRPr="00E17DAB">
        <w:rPr>
          <w:rFonts w:ascii="Times New Roman" w:eastAsiaTheme="minorEastAsia" w:hAnsi="Times New Roman" w:cs="Times New Roman"/>
          <w:sz w:val="24"/>
        </w:rPr>
        <w:t>.</w:t>
      </w:r>
      <w:r>
        <w:rPr>
          <w:rFonts w:eastAsiaTheme="minorEastAsia" w:cstheme="minorHAnsi"/>
        </w:rPr>
        <w:t xml:space="preserve"> </w:t>
      </w:r>
    </w:p>
    <w:p w:rsidR="00E17DAB" w:rsidRDefault="00E17DAB" w:rsidP="00E17DAB">
      <w:pPr>
        <w:spacing w:after="0" w:line="360" w:lineRule="auto"/>
        <w:jc w:val="both"/>
        <w:rPr>
          <w:rFonts w:eastAsiaTheme="minorEastAsia" w:cstheme="minorHAnsi"/>
        </w:rPr>
      </w:pPr>
    </w:p>
    <w:p w:rsidR="00361EE1" w:rsidRPr="00E17DAB" w:rsidRDefault="00361EE1"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 Obserwacje nietypowe i błędne</w:t>
      </w:r>
    </w:p>
    <w:p w:rsidR="00721ABC" w:rsidRDefault="00361EE1" w:rsidP="00E17DAB">
      <w:pPr>
        <w:spacing w:after="0" w:line="360" w:lineRule="auto"/>
        <w:jc w:val="both"/>
        <w:rPr>
          <w:rFonts w:ascii="Times New Roman" w:eastAsiaTheme="minorEastAsia" w:hAnsi="Times New Roman" w:cs="Times New Roman"/>
          <w:sz w:val="24"/>
        </w:rPr>
      </w:pPr>
      <w:r>
        <w:rPr>
          <w:rFonts w:eastAsiaTheme="minorEastAsia" w:cstheme="minorHAnsi"/>
        </w:rPr>
        <w:tab/>
        <w:t xml:space="preserve"> </w:t>
      </w:r>
      <w:r w:rsidRPr="00E17DAB">
        <w:rPr>
          <w:rFonts w:ascii="Times New Roman" w:eastAsiaTheme="minorEastAsia" w:hAnsi="Times New Roman" w:cs="Times New Roman"/>
          <w:sz w:val="24"/>
        </w:rPr>
        <w:t>Kolejnym etapem analizy jest próba wykrycia zanie</w:t>
      </w:r>
      <w:r w:rsidR="00E17DAB">
        <w:rPr>
          <w:rFonts w:ascii="Times New Roman" w:eastAsiaTheme="minorEastAsia" w:hAnsi="Times New Roman" w:cs="Times New Roman"/>
          <w:sz w:val="24"/>
        </w:rPr>
        <w:t>czyszczeń bazy danych użytej do </w:t>
      </w:r>
      <w:r w:rsidRPr="00E17DAB">
        <w:rPr>
          <w:rFonts w:ascii="Times New Roman" w:eastAsiaTheme="minorEastAsia" w:hAnsi="Times New Roman" w:cs="Times New Roman"/>
          <w:sz w:val="24"/>
        </w:rPr>
        <w:t>estymowania modelu ekonometrycznego.</w:t>
      </w:r>
      <w:r w:rsidR="006C5EB2" w:rsidRPr="00E17DAB">
        <w:rPr>
          <w:rFonts w:ascii="Times New Roman" w:eastAsiaTheme="minorEastAsia" w:hAnsi="Times New Roman" w:cs="Times New Roman"/>
          <w:sz w:val="24"/>
        </w:rPr>
        <w:t xml:space="preserve"> Mogą być związane z wystąpieniami obserwacji nietypowych (nietypowych w stosunku do pozostałych obserwacji) lub błędnych (których powstania nie da się tłumaczyć modelem teoretycznym).</w:t>
      </w:r>
      <w:r w:rsidR="00DA133A" w:rsidRPr="00E17DAB">
        <w:rPr>
          <w:rFonts w:ascii="Times New Roman" w:eastAsiaTheme="minorEastAsia" w:hAnsi="Times New Roman" w:cs="Times New Roman"/>
          <w:sz w:val="24"/>
        </w:rPr>
        <w:t xml:space="preserve"> </w:t>
      </w:r>
    </w:p>
    <w:p w:rsidR="00E17DAB" w:rsidRPr="00E17DAB" w:rsidRDefault="00E17DAB" w:rsidP="00E17DAB">
      <w:pPr>
        <w:spacing w:after="0" w:line="360" w:lineRule="auto"/>
        <w:jc w:val="both"/>
        <w:rPr>
          <w:rFonts w:ascii="Times New Roman" w:eastAsiaTheme="minorEastAsia" w:hAnsi="Times New Roman" w:cs="Times New Roman"/>
          <w:sz w:val="24"/>
        </w:rPr>
      </w:pPr>
    </w:p>
    <w:p w:rsidR="00DA133A" w:rsidRPr="00E17DAB" w:rsidRDefault="00A475AC"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5.6.1. Dźwignia (leverage)</w:t>
      </w:r>
    </w:p>
    <w:p w:rsidR="00FE4FED" w:rsidRDefault="00A475AC" w:rsidP="00E17DAB">
      <w:pPr>
        <w:spacing w:line="360" w:lineRule="auto"/>
        <w:jc w:val="both"/>
        <w:rPr>
          <w:rFonts w:ascii="Calibri" w:eastAsia="Times New Roman" w:hAnsi="Calibri" w:cs="Calibri"/>
          <w:color w:val="000000"/>
          <w:lang w:eastAsia="pl-PL"/>
        </w:rPr>
      </w:pPr>
      <w:r>
        <w:rPr>
          <w:rFonts w:eastAsiaTheme="minorEastAsia" w:cstheme="minorHAnsi"/>
        </w:rPr>
        <w:tab/>
      </w:r>
      <w:r w:rsidRPr="00E17DAB">
        <w:rPr>
          <w:rFonts w:ascii="Times New Roman" w:eastAsiaTheme="minorEastAsia" w:hAnsi="Times New Roman" w:cs="Times New Roman"/>
          <w:sz w:val="24"/>
        </w:rPr>
        <w:t>Jednym ze sposobów na wykrycie obserwacji nietypowych jest zastosowanie statystyki nazywanej dźwignią (</w:t>
      </w:r>
      <w:r w:rsidRPr="00E17DAB">
        <w:rPr>
          <w:rFonts w:ascii="Times New Roman" w:eastAsiaTheme="minorEastAsia" w:hAnsi="Times New Roman" w:cs="Times New Roman"/>
          <w:i/>
          <w:sz w:val="24"/>
        </w:rPr>
        <w:t>leverage</w:t>
      </w:r>
      <w:r w:rsidRPr="00E17DAB">
        <w:rPr>
          <w:rFonts w:ascii="Times New Roman" w:eastAsiaTheme="minorEastAsia" w:hAnsi="Times New Roman" w:cs="Times New Roman"/>
          <w:sz w:val="24"/>
        </w:rPr>
        <w:t>).</w:t>
      </w:r>
      <w:r w:rsidR="00FE4FED" w:rsidRPr="00E17DAB">
        <w:rPr>
          <w:rFonts w:ascii="Times New Roman" w:eastAsiaTheme="minorEastAsia" w:hAnsi="Times New Roman" w:cs="Times New Roman"/>
          <w:sz w:val="24"/>
        </w:rPr>
        <w:t xml:space="preserve"> Nieformalna reguła przyjęta w literaturze mówi, że obserwację powyżej wartości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2</m:t>
            </m:r>
            <m:r>
              <w:rPr>
                <w:rFonts w:ascii="Cambria Math" w:eastAsiaTheme="minorEastAsia" w:hAnsi="Cambria Math" w:cs="Times New Roman"/>
                <w:sz w:val="24"/>
              </w:rPr>
              <m:t>K</m:t>
            </m:r>
          </m:num>
          <m:den>
            <m:r>
              <w:rPr>
                <w:rFonts w:ascii="Cambria Math" w:eastAsiaTheme="minorEastAsia" w:hAnsi="Cambria Math" w:cs="Times New Roman"/>
                <w:sz w:val="24"/>
              </w:rPr>
              <m:t>N</m:t>
            </m:r>
          </m:den>
        </m:f>
      </m:oMath>
      <w:r w:rsidR="00FE4FED" w:rsidRPr="00E17DAB">
        <w:rPr>
          <w:rFonts w:ascii="Times New Roman" w:eastAsiaTheme="minorEastAsia" w:hAnsi="Times New Roman" w:cs="Times New Roman"/>
          <w:sz w:val="24"/>
        </w:rPr>
        <w:t>, gdzie K – liczba zmiennych w modelu, N –</w:t>
      </w:r>
      <w:r w:rsidR="00E17DAB">
        <w:rPr>
          <w:rFonts w:ascii="Times New Roman" w:eastAsiaTheme="minorEastAsia" w:hAnsi="Times New Roman" w:cs="Times New Roman"/>
          <w:sz w:val="24"/>
        </w:rPr>
        <w:t xml:space="preserve"> liczba obserwacji. W </w:t>
      </w:r>
      <w:r w:rsidR="00FE4FED" w:rsidRPr="00E17DAB">
        <w:rPr>
          <w:rFonts w:ascii="Times New Roman" w:eastAsiaTheme="minorEastAsia" w:hAnsi="Times New Roman" w:cs="Times New Roman"/>
          <w:sz w:val="24"/>
        </w:rPr>
        <w:t xml:space="preserve">przypadku ostatecznej wersji modelu wartością graniczną jest </w:t>
      </w:r>
      <w:r w:rsidR="00E17DAB" w:rsidRPr="00E17DAB">
        <w:rPr>
          <w:rFonts w:ascii="Times New Roman" w:eastAsiaTheme="minorEastAsia" w:hAnsi="Times New Roman" w:cs="Times New Roman"/>
          <w:sz w:val="24"/>
        </w:rPr>
        <w:t>0,063158</w:t>
      </w:r>
      <w:r w:rsidR="00FE4FED" w:rsidRPr="00E17DAB">
        <w:rPr>
          <w:rFonts w:ascii="Times New Roman" w:eastAsiaTheme="minorEastAsia" w:hAnsi="Times New Roman" w:cs="Times New Roman"/>
          <w:sz w:val="24"/>
        </w:rPr>
        <w:t>.</w:t>
      </w:r>
      <w:r w:rsidR="00FE4FED">
        <w:rPr>
          <w:rFonts w:ascii="Calibri" w:eastAsia="Times New Roman" w:hAnsi="Calibri" w:cs="Calibri"/>
          <w:color w:val="000000"/>
          <w:lang w:eastAsia="pl-PL"/>
        </w:rPr>
        <w:t xml:space="preserve"> </w:t>
      </w:r>
    </w:p>
    <w:p w:rsidR="00E17DAB" w:rsidRDefault="00E17DAB" w:rsidP="00E17DAB">
      <w:pPr>
        <w:jc w:val="both"/>
        <w:rPr>
          <w:rFonts w:ascii="Calibri" w:eastAsia="Times New Roman" w:hAnsi="Calibri" w:cs="Calibri"/>
          <w:color w:val="000000"/>
          <w:lang w:eastAsia="pl-PL"/>
        </w:rPr>
      </w:pPr>
    </w:p>
    <w:p w:rsidR="00FE4FED" w:rsidRPr="001F57FB"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13</w:t>
      </w:r>
      <w:r w:rsidR="00F42E15" w:rsidRPr="001F57FB">
        <w:rPr>
          <w:rFonts w:ascii="Times New Roman" w:eastAsia="Times New Roman" w:hAnsi="Times New Roman" w:cs="Times New Roman"/>
          <w:sz w:val="24"/>
          <w:szCs w:val="24"/>
          <w:lang w:eastAsia="pl-PL"/>
        </w:rPr>
        <w:t>. Wykresy dźwigni dla ostatecznej wersji mo</w:t>
      </w:r>
      <w:r>
        <w:rPr>
          <w:rFonts w:ascii="Times New Roman" w:eastAsia="Times New Roman" w:hAnsi="Times New Roman" w:cs="Times New Roman"/>
          <w:sz w:val="24"/>
          <w:szCs w:val="24"/>
          <w:lang w:eastAsia="pl-PL"/>
        </w:rPr>
        <w:t>delu (Załącznik 4.</w:t>
      </w:r>
      <w:r w:rsidR="001F57FB" w:rsidRPr="001F57FB">
        <w:rPr>
          <w:rFonts w:ascii="Times New Roman" w:eastAsia="Times New Roman" w:hAnsi="Times New Roman" w:cs="Times New Roman"/>
          <w:sz w:val="24"/>
          <w:szCs w:val="24"/>
          <w:lang w:eastAsia="pl-PL"/>
        </w:rPr>
        <w:t>) z </w:t>
      </w:r>
      <w:r w:rsidR="00F42E15" w:rsidRPr="001F57FB">
        <w:rPr>
          <w:rFonts w:ascii="Times New Roman" w:eastAsia="Times New Roman" w:hAnsi="Times New Roman" w:cs="Times New Roman"/>
          <w:sz w:val="24"/>
          <w:szCs w:val="24"/>
          <w:lang w:eastAsia="pl-PL"/>
        </w:rPr>
        <w:t>zaznaczonymi obserwacjami nietypowymi</w:t>
      </w:r>
    </w:p>
    <w:p w:rsidR="00E17DAB" w:rsidRDefault="00E17DAB" w:rsidP="002E5A62">
      <w:pPr>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2880360"/>
            <wp:effectExtent l="0" t="0" r="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everage plots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721ABC" w:rsidRPr="00F42E15" w:rsidRDefault="00E17DAB" w:rsidP="002E5A62">
      <w:pPr>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899160"/>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everage 2.png"/>
                    <pic:cNvPicPr/>
                  </pic:nvPicPr>
                  <pic:blipFill rotWithShape="1">
                    <a:blip r:embed="rId21" cstate="print">
                      <a:extLst>
                        <a:ext uri="{28A0092B-C50C-407E-A947-70E740481C1C}">
                          <a14:useLocalDpi xmlns:a14="http://schemas.microsoft.com/office/drawing/2010/main" val="0"/>
                        </a:ext>
                      </a:extLst>
                    </a:blip>
                    <a:srcRect t="2911" b="65872"/>
                    <a:stretch/>
                  </pic:blipFill>
                  <pic:spPr bwMode="auto">
                    <a:xfrm>
                      <a:off x="0" y="0"/>
                      <a:ext cx="5760720" cy="899160"/>
                    </a:xfrm>
                    <a:prstGeom prst="rect">
                      <a:avLst/>
                    </a:prstGeom>
                    <a:ln>
                      <a:noFill/>
                    </a:ln>
                    <a:extLst>
                      <a:ext uri="{53640926-AAD7-44D8-BBD7-CCE9431645EC}">
                        <a14:shadowObscured xmlns:a14="http://schemas.microsoft.com/office/drawing/2010/main"/>
                      </a:ext>
                    </a:extLst>
                  </pic:spPr>
                </pic:pic>
              </a:graphicData>
            </a:graphic>
          </wp:inline>
        </w:drawing>
      </w:r>
    </w:p>
    <w:p w:rsidR="00FE4FED" w:rsidRDefault="00FE4FED" w:rsidP="00FE4FED">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 xml:space="preserve">Ministerstwa Zdrowia </w:t>
      </w:r>
      <w:r w:rsidR="00522072">
        <w:rPr>
          <w:rFonts w:ascii="Times New Roman" w:hAnsi="Times New Roman" w:cs="Times New Roman"/>
          <w:sz w:val="20"/>
          <w:szCs w:val="20"/>
        </w:rPr>
        <w:t>z </w:t>
      </w:r>
      <w:r w:rsidRPr="00522072">
        <w:rPr>
          <w:rFonts w:ascii="Times New Roman" w:hAnsi="Times New Roman" w:cs="Times New Roman"/>
          <w:sz w:val="20"/>
          <w:szCs w:val="20"/>
        </w:rPr>
        <w:t xml:space="preserve">wykorzystaniem biblioteki </w:t>
      </w:r>
      <w:r w:rsidR="00F42E15" w:rsidRPr="00522072">
        <w:rPr>
          <w:rFonts w:ascii="Times New Roman" w:hAnsi="Times New Roman" w:cs="Times New Roman"/>
          <w:i/>
          <w:sz w:val="20"/>
          <w:szCs w:val="20"/>
        </w:rPr>
        <w:t>car</w:t>
      </w:r>
      <w:r w:rsidRPr="00522072">
        <w:rPr>
          <w:rFonts w:ascii="Times New Roman" w:hAnsi="Times New Roman" w:cs="Times New Roman"/>
          <w:sz w:val="20"/>
          <w:szCs w:val="20"/>
        </w:rPr>
        <w:t>.</w:t>
      </w:r>
    </w:p>
    <w:p w:rsidR="00522072" w:rsidRPr="00522072" w:rsidRDefault="00522072" w:rsidP="00FE4FED">
      <w:pPr>
        <w:tabs>
          <w:tab w:val="left" w:pos="8738"/>
        </w:tabs>
        <w:ind w:left="720" w:hanging="720"/>
        <w:jc w:val="both"/>
        <w:rPr>
          <w:rFonts w:ascii="Times New Roman" w:hAnsi="Times New Roman" w:cs="Times New Roman"/>
          <w:sz w:val="20"/>
          <w:szCs w:val="20"/>
        </w:rPr>
      </w:pPr>
    </w:p>
    <w:p w:rsidR="00D5309D" w:rsidRDefault="00506DAC" w:rsidP="00B8089B">
      <w:pPr>
        <w:tabs>
          <w:tab w:val="left" w:pos="709"/>
        </w:tabs>
        <w:spacing w:after="0" w:line="360" w:lineRule="auto"/>
        <w:jc w:val="both"/>
        <w:rPr>
          <w:rFonts w:ascii="Times New Roman" w:eastAsiaTheme="minorEastAsia" w:hAnsi="Times New Roman" w:cs="Times New Roman"/>
          <w:sz w:val="24"/>
        </w:rPr>
      </w:pPr>
      <w:r>
        <w:rPr>
          <w:sz w:val="24"/>
          <w:szCs w:val="20"/>
        </w:rPr>
        <w:tab/>
      </w:r>
      <w:r w:rsidR="00522072">
        <w:rPr>
          <w:rFonts w:ascii="Times New Roman" w:eastAsiaTheme="minorEastAsia" w:hAnsi="Times New Roman" w:cs="Times New Roman"/>
          <w:sz w:val="24"/>
        </w:rPr>
        <w:t>Z wykresów dźwigni (Rys. 13</w:t>
      </w:r>
      <w:r w:rsidRPr="00E17DAB">
        <w:rPr>
          <w:rFonts w:ascii="Times New Roman" w:eastAsiaTheme="minorEastAsia" w:hAnsi="Times New Roman" w:cs="Times New Roman"/>
          <w:sz w:val="24"/>
        </w:rPr>
        <w:t>.) możemy zaobserwować</w:t>
      </w:r>
      <w:r w:rsidR="00B8089B">
        <w:rPr>
          <w:rFonts w:ascii="Times New Roman" w:eastAsiaTheme="minorEastAsia" w:hAnsi="Times New Roman" w:cs="Times New Roman"/>
          <w:sz w:val="24"/>
        </w:rPr>
        <w:t>, że obserwacjami, które </w:t>
      </w:r>
      <w:r w:rsidRPr="00E17DAB">
        <w:rPr>
          <w:rFonts w:ascii="Times New Roman" w:eastAsiaTheme="minorEastAsia" w:hAnsi="Times New Roman" w:cs="Times New Roman"/>
          <w:sz w:val="24"/>
        </w:rPr>
        <w:t>najczęściej pojawiają się na wykresach jako ob</w:t>
      </w:r>
      <w:r w:rsidR="00757927">
        <w:rPr>
          <w:rFonts w:ascii="Times New Roman" w:eastAsiaTheme="minorEastAsia" w:hAnsi="Times New Roman" w:cs="Times New Roman"/>
          <w:sz w:val="24"/>
        </w:rPr>
        <w:t xml:space="preserve">serwacje nietypowe są: 175, </w:t>
      </w:r>
      <w:r w:rsidR="00A351AF" w:rsidRPr="00E17DAB">
        <w:rPr>
          <w:rFonts w:ascii="Times New Roman" w:eastAsiaTheme="minorEastAsia" w:hAnsi="Times New Roman" w:cs="Times New Roman"/>
          <w:sz w:val="24"/>
        </w:rPr>
        <w:t>224.</w:t>
      </w:r>
      <w:r w:rsidR="00522072">
        <w:rPr>
          <w:rFonts w:ascii="Times New Roman" w:eastAsiaTheme="minorEastAsia" w:hAnsi="Times New Roman" w:cs="Times New Roman"/>
          <w:sz w:val="24"/>
        </w:rPr>
        <w:t xml:space="preserve"> Na </w:t>
      </w:r>
      <w:r w:rsidR="00D5309D" w:rsidRPr="00E17DAB">
        <w:rPr>
          <w:rFonts w:ascii="Times New Roman" w:eastAsiaTheme="minorEastAsia" w:hAnsi="Times New Roman" w:cs="Times New Roman"/>
          <w:sz w:val="24"/>
        </w:rPr>
        <w:t>podstawie porównania po</w:t>
      </w:r>
      <w:r w:rsidR="00B8089B">
        <w:rPr>
          <w:rFonts w:ascii="Times New Roman" w:eastAsiaTheme="minorEastAsia" w:hAnsi="Times New Roman" w:cs="Times New Roman"/>
          <w:sz w:val="24"/>
        </w:rPr>
        <w:t xml:space="preserve">dstawowych statystyk zmiennych </w:t>
      </w:r>
      <w:r w:rsidR="00D5309D" w:rsidRPr="00E17DAB">
        <w:rPr>
          <w:rFonts w:ascii="Times New Roman" w:eastAsiaTheme="minorEastAsia" w:hAnsi="Times New Roman" w:cs="Times New Roman"/>
          <w:sz w:val="24"/>
        </w:rPr>
        <w:t>a wartościami obserwacji można zauważyć, iż na uwagę zasługuje liczba zgonów spowodo</w:t>
      </w:r>
      <w:r w:rsidR="00B8089B">
        <w:rPr>
          <w:rFonts w:ascii="Times New Roman" w:eastAsiaTheme="minorEastAsia" w:hAnsi="Times New Roman" w:cs="Times New Roman"/>
          <w:sz w:val="24"/>
        </w:rPr>
        <w:t>wanych pandemią koronawirusa. W </w:t>
      </w:r>
      <w:r w:rsidR="00D5309D" w:rsidRPr="00E17DAB">
        <w:rPr>
          <w:rFonts w:ascii="Times New Roman" w:eastAsiaTheme="minorEastAsia" w:hAnsi="Times New Roman" w:cs="Times New Roman"/>
          <w:sz w:val="24"/>
        </w:rPr>
        <w:t>szczególności obserwacja numer 175, gdzie liczba przypadków osób chorych na COVID-19 osiąga wartość powyżej pierwszego kwarty</w:t>
      </w:r>
      <w:r w:rsidR="00522072">
        <w:rPr>
          <w:rFonts w:ascii="Times New Roman" w:eastAsiaTheme="minorEastAsia" w:hAnsi="Times New Roman" w:cs="Times New Roman"/>
          <w:sz w:val="24"/>
        </w:rPr>
        <w:t>la, a liczba zgonów wynosi 0. W </w:t>
      </w:r>
      <w:r w:rsidR="00D5309D" w:rsidRPr="00E17DAB">
        <w:rPr>
          <w:rFonts w:ascii="Times New Roman" w:eastAsiaTheme="minorEastAsia" w:hAnsi="Times New Roman" w:cs="Times New Roman"/>
          <w:sz w:val="24"/>
        </w:rPr>
        <w:t>przypadku obserwacji numer 224 liczba zgonów jest równa zero, j</w:t>
      </w:r>
      <w:r w:rsidR="00B8089B">
        <w:rPr>
          <w:rFonts w:ascii="Times New Roman" w:eastAsiaTheme="minorEastAsia" w:hAnsi="Times New Roman" w:cs="Times New Roman"/>
          <w:sz w:val="24"/>
        </w:rPr>
        <w:t>ednakże liczba zachorowań w </w:t>
      </w:r>
      <w:r w:rsidR="00D5309D" w:rsidRPr="00E17DAB">
        <w:rPr>
          <w:rFonts w:ascii="Times New Roman" w:eastAsiaTheme="minorEastAsia" w:hAnsi="Times New Roman" w:cs="Times New Roman"/>
          <w:sz w:val="24"/>
        </w:rPr>
        <w:t>porównaniu do innych powiatów jest niewielka.</w:t>
      </w:r>
    </w:p>
    <w:p w:rsidR="00B8089B" w:rsidRPr="00757927" w:rsidRDefault="00B8089B" w:rsidP="00B8089B">
      <w:pPr>
        <w:tabs>
          <w:tab w:val="left" w:pos="709"/>
        </w:tabs>
        <w:spacing w:after="0" w:line="360" w:lineRule="auto"/>
        <w:jc w:val="both"/>
        <w:rPr>
          <w:sz w:val="24"/>
          <w:szCs w:val="20"/>
        </w:rPr>
      </w:pPr>
    </w:p>
    <w:p w:rsidR="00721ABC" w:rsidRPr="00B8089B" w:rsidRDefault="00F42E15" w:rsidP="002E5A62">
      <w:pPr>
        <w:rPr>
          <w:rFonts w:ascii="Times New Roman" w:eastAsia="Times New Roman" w:hAnsi="Times New Roman" w:cs="Times New Roman"/>
          <w:b/>
          <w:sz w:val="24"/>
          <w:szCs w:val="24"/>
          <w:lang w:eastAsia="pl-PL"/>
        </w:rPr>
      </w:pPr>
      <w:r w:rsidRPr="00B8089B">
        <w:rPr>
          <w:rFonts w:ascii="Times New Roman" w:eastAsia="Times New Roman" w:hAnsi="Times New Roman" w:cs="Times New Roman"/>
          <w:b/>
          <w:sz w:val="24"/>
          <w:szCs w:val="24"/>
          <w:lang w:eastAsia="pl-PL"/>
        </w:rPr>
        <w:t>5.6.2. Standaryzowane reszty</w:t>
      </w:r>
    </w:p>
    <w:p w:rsidR="00535929" w:rsidRDefault="00535929" w:rsidP="00522072">
      <w:pPr>
        <w:spacing w:after="0" w:line="360" w:lineRule="auto"/>
        <w:jc w:val="both"/>
        <w:rPr>
          <w:rFonts w:eastAsiaTheme="minorEastAsia" w:cstheme="minorHAnsi"/>
        </w:rPr>
      </w:pPr>
      <w:r>
        <w:rPr>
          <w:rFonts w:eastAsiaTheme="minorEastAsia" w:cstheme="minorHAnsi"/>
          <w:b/>
        </w:rPr>
        <w:tab/>
      </w:r>
      <w:r w:rsidRPr="00B8089B">
        <w:rPr>
          <w:rFonts w:ascii="Times New Roman" w:eastAsiaTheme="minorEastAsia" w:hAnsi="Times New Roman" w:cs="Times New Roman"/>
          <w:sz w:val="24"/>
        </w:rPr>
        <w:t xml:space="preserve">Kolejną statystyką służącą do wykrywania </w:t>
      </w:r>
      <w:r w:rsidR="00652837" w:rsidRPr="00B8089B">
        <w:rPr>
          <w:rFonts w:ascii="Times New Roman" w:eastAsiaTheme="minorEastAsia" w:hAnsi="Times New Roman" w:cs="Times New Roman"/>
          <w:sz w:val="24"/>
        </w:rPr>
        <w:t>obserwacji nietypowych są reszty standardowe. Diagnozując model testem Jarque-Bera potwierdzono, iż reszty mają rozkład normalny, dlatego wystandaryzowana reszta również ma rozk</w:t>
      </w:r>
      <w:r w:rsidR="00981FA1">
        <w:rPr>
          <w:rFonts w:ascii="Times New Roman" w:eastAsiaTheme="minorEastAsia" w:hAnsi="Times New Roman" w:cs="Times New Roman"/>
          <w:sz w:val="24"/>
        </w:rPr>
        <w:t>ład normalny. Przyjmuje się, że </w:t>
      </w:r>
      <w:r w:rsidR="00652837" w:rsidRPr="00B8089B">
        <w:rPr>
          <w:rFonts w:ascii="Times New Roman" w:eastAsiaTheme="minorEastAsia" w:hAnsi="Times New Roman" w:cs="Times New Roman"/>
          <w:sz w:val="24"/>
        </w:rPr>
        <w:t>obserwację mo</w:t>
      </w:r>
      <w:r w:rsidR="00361B1E" w:rsidRPr="00B8089B">
        <w:rPr>
          <w:rFonts w:ascii="Times New Roman" w:eastAsiaTheme="minorEastAsia" w:hAnsi="Times New Roman" w:cs="Times New Roman"/>
          <w:sz w:val="24"/>
        </w:rPr>
        <w:t>ż</w:t>
      </w:r>
      <w:r w:rsidR="00652837" w:rsidRPr="00B8089B">
        <w:rPr>
          <w:rFonts w:ascii="Times New Roman" w:eastAsiaTheme="minorEastAsia" w:hAnsi="Times New Roman" w:cs="Times New Roman"/>
          <w:sz w:val="24"/>
        </w:rPr>
        <w:t>na uznać za nietypową jeśli wartość bezwzględna wystandaryzowanej reszty będzie przyjmować wartości większe od 2 (Mycielski, 2010).</w:t>
      </w:r>
    </w:p>
    <w:p w:rsidR="00721ABC" w:rsidRDefault="00361B1E" w:rsidP="006A5C05">
      <w:pPr>
        <w:spacing w:after="0" w:line="360" w:lineRule="auto"/>
        <w:jc w:val="both"/>
        <w:rPr>
          <w:rFonts w:eastAsiaTheme="minorEastAsia" w:cstheme="minorHAnsi"/>
        </w:rPr>
      </w:pPr>
      <w:r>
        <w:rPr>
          <w:rFonts w:eastAsiaTheme="minorEastAsia" w:cstheme="minorHAnsi"/>
        </w:rPr>
        <w:tab/>
      </w:r>
      <w:r w:rsidR="00347A7C" w:rsidRPr="00981FA1">
        <w:rPr>
          <w:rFonts w:ascii="Times New Roman" w:eastAsiaTheme="minorEastAsia" w:hAnsi="Times New Roman" w:cs="Times New Roman"/>
          <w:sz w:val="24"/>
        </w:rPr>
        <w:t>Dla ostatecznej wersji modelu (Załąc</w:t>
      </w:r>
      <w:r w:rsidR="00522072">
        <w:rPr>
          <w:rFonts w:ascii="Times New Roman" w:eastAsiaTheme="minorEastAsia" w:hAnsi="Times New Roman" w:cs="Times New Roman"/>
          <w:sz w:val="24"/>
        </w:rPr>
        <w:t>znik 4.</w:t>
      </w:r>
      <w:r w:rsidR="00981FA1">
        <w:rPr>
          <w:rFonts w:ascii="Times New Roman" w:eastAsiaTheme="minorEastAsia" w:hAnsi="Times New Roman" w:cs="Times New Roman"/>
          <w:sz w:val="24"/>
        </w:rPr>
        <w:t>) odnotowano 17</w:t>
      </w:r>
      <w:r w:rsidR="00347A7C" w:rsidRPr="00981FA1">
        <w:rPr>
          <w:rFonts w:ascii="Times New Roman" w:eastAsiaTheme="minorEastAsia" w:hAnsi="Times New Roman" w:cs="Times New Roman"/>
          <w:sz w:val="24"/>
        </w:rPr>
        <w:t xml:space="preserve"> obserwacji, których wartość bezwzględna jest wyższa od 2. Największe wartości </w:t>
      </w:r>
      <w:r w:rsidR="00981FA1">
        <w:rPr>
          <w:rFonts w:ascii="Times New Roman" w:eastAsiaTheme="minorEastAsia" w:hAnsi="Times New Roman" w:cs="Times New Roman"/>
          <w:sz w:val="24"/>
        </w:rPr>
        <w:t>odnotowały obserwacje numer: 224 (3,408177</w:t>
      </w:r>
      <w:r w:rsidR="00347A7C" w:rsidRPr="00981FA1">
        <w:rPr>
          <w:rFonts w:ascii="Times New Roman" w:eastAsiaTheme="minorEastAsia" w:hAnsi="Times New Roman" w:cs="Times New Roman"/>
          <w:sz w:val="24"/>
        </w:rPr>
        <w:t xml:space="preserve">) oraz </w:t>
      </w:r>
      <w:r w:rsidR="00981FA1">
        <w:rPr>
          <w:rFonts w:ascii="Times New Roman" w:eastAsiaTheme="minorEastAsia" w:hAnsi="Times New Roman" w:cs="Times New Roman"/>
          <w:sz w:val="24"/>
        </w:rPr>
        <w:t>175</w:t>
      </w:r>
      <w:r w:rsidR="00347A7C" w:rsidRPr="00981FA1">
        <w:rPr>
          <w:rFonts w:ascii="Times New Roman" w:eastAsiaTheme="minorEastAsia" w:hAnsi="Times New Roman" w:cs="Times New Roman"/>
          <w:sz w:val="24"/>
        </w:rPr>
        <w:t xml:space="preserve"> (</w:t>
      </w:r>
      <w:r w:rsidR="00981FA1">
        <w:rPr>
          <w:rFonts w:ascii="Times New Roman" w:eastAsiaTheme="minorEastAsia" w:hAnsi="Times New Roman" w:cs="Times New Roman"/>
          <w:sz w:val="24"/>
        </w:rPr>
        <w:t>2,936103</w:t>
      </w:r>
      <w:r w:rsidR="00347A7C" w:rsidRPr="00981FA1">
        <w:rPr>
          <w:rFonts w:ascii="Times New Roman" w:eastAsiaTheme="minorEastAsia" w:hAnsi="Times New Roman" w:cs="Times New Roman"/>
          <w:sz w:val="24"/>
        </w:rPr>
        <w:t>).</w:t>
      </w:r>
      <w:r w:rsidR="00347A7C">
        <w:rPr>
          <w:rFonts w:eastAsiaTheme="minorEastAsia" w:cstheme="minorHAnsi"/>
        </w:rPr>
        <w:t xml:space="preserve"> </w:t>
      </w:r>
    </w:p>
    <w:p w:rsidR="002A1F63" w:rsidRDefault="002A1F63" w:rsidP="00D66922">
      <w:pPr>
        <w:spacing w:after="0" w:line="360" w:lineRule="auto"/>
        <w:jc w:val="both"/>
        <w:rPr>
          <w:rFonts w:ascii="Times New Roman" w:eastAsiaTheme="minorEastAsia" w:hAnsi="Times New Roman" w:cs="Times New Roman"/>
          <w:sz w:val="24"/>
        </w:rPr>
      </w:pPr>
      <w:r>
        <w:rPr>
          <w:rFonts w:eastAsiaTheme="minorEastAsia" w:cstheme="minorHAnsi"/>
        </w:rPr>
        <w:tab/>
      </w:r>
      <w:r w:rsidR="00522072">
        <w:rPr>
          <w:rFonts w:ascii="Times New Roman" w:eastAsiaTheme="minorEastAsia" w:hAnsi="Times New Roman" w:cs="Times New Roman"/>
          <w:sz w:val="24"/>
        </w:rPr>
        <w:t>Na wykresie (Rys. 14</w:t>
      </w:r>
      <w:r w:rsidRPr="006A5C05">
        <w:rPr>
          <w:rFonts w:ascii="Times New Roman" w:eastAsiaTheme="minorEastAsia" w:hAnsi="Times New Roman" w:cs="Times New Roman"/>
          <w:sz w:val="24"/>
        </w:rPr>
        <w:t>.) możemy sprawdzić jak zmienia się rozrzut standaryzowanych reszt wraz ze wzrostem dźwigni, ale także zaobserwować obs</w:t>
      </w:r>
      <w:r w:rsidR="006A5C05" w:rsidRPr="006A5C05">
        <w:rPr>
          <w:rFonts w:ascii="Times New Roman" w:eastAsiaTheme="minorEastAsia" w:hAnsi="Times New Roman" w:cs="Times New Roman"/>
          <w:sz w:val="24"/>
        </w:rPr>
        <w:t>erwacje wpływowe (29, 179, 345), których usunięcie mogłoby spowodować znaczne zmiany parametrów modelu.</w:t>
      </w:r>
    </w:p>
    <w:p w:rsidR="00D66922" w:rsidRPr="006A5C05" w:rsidRDefault="00D66922" w:rsidP="00D66922">
      <w:pPr>
        <w:spacing w:after="0" w:line="360" w:lineRule="auto"/>
        <w:jc w:val="both"/>
        <w:rPr>
          <w:rFonts w:ascii="Times New Roman" w:eastAsiaTheme="minorEastAsia" w:hAnsi="Times New Roman" w:cs="Times New Roman"/>
          <w:sz w:val="24"/>
        </w:rPr>
      </w:pPr>
    </w:p>
    <w:p w:rsidR="0047716F" w:rsidRPr="006D30C6"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14</w:t>
      </w:r>
      <w:r w:rsidR="0047716F" w:rsidRPr="006D30C6">
        <w:rPr>
          <w:rFonts w:ascii="Times New Roman" w:eastAsia="Times New Roman" w:hAnsi="Times New Roman" w:cs="Times New Roman"/>
          <w:sz w:val="24"/>
          <w:szCs w:val="24"/>
          <w:lang w:eastAsia="pl-PL"/>
        </w:rPr>
        <w:t>. Wykres standaryzowanych reszt i dźwigni dla ostatecznej wersji modelu (Załącznik</w:t>
      </w:r>
      <w:r>
        <w:rPr>
          <w:rFonts w:ascii="Times New Roman" w:eastAsia="Times New Roman" w:hAnsi="Times New Roman" w:cs="Times New Roman"/>
          <w:sz w:val="24"/>
          <w:szCs w:val="24"/>
          <w:lang w:eastAsia="pl-PL"/>
        </w:rPr>
        <w:t> 4.)</w:t>
      </w:r>
    </w:p>
    <w:p w:rsidR="00367783" w:rsidRDefault="00367783" w:rsidP="0047716F">
      <w:pPr>
        <w:tabs>
          <w:tab w:val="left" w:pos="8738"/>
        </w:tabs>
        <w:jc w:val="both"/>
      </w:pPr>
      <w:r>
        <w:rPr>
          <w:noProof/>
          <w:lang w:eastAsia="pl-PL"/>
        </w:rPr>
        <w:drawing>
          <wp:inline distT="0" distB="0" distL="0" distR="0">
            <wp:extent cx="5760720" cy="288036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siduals vs lever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47716F" w:rsidRPr="00522072" w:rsidRDefault="0047716F" w:rsidP="0047716F">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47716F" w:rsidRDefault="0047716F" w:rsidP="00347A7C">
      <w:pPr>
        <w:rPr>
          <w:rFonts w:eastAsiaTheme="minorEastAsia" w:cstheme="minorHAnsi"/>
        </w:rPr>
      </w:pPr>
    </w:p>
    <w:p w:rsidR="00363670" w:rsidRPr="006A5C05" w:rsidRDefault="00363670" w:rsidP="006A5C05">
      <w:pPr>
        <w:tabs>
          <w:tab w:val="left" w:pos="709"/>
        </w:tabs>
        <w:spacing w:after="0" w:line="360" w:lineRule="auto"/>
        <w:jc w:val="both"/>
        <w:rPr>
          <w:rFonts w:ascii="Times New Roman" w:eastAsia="Times New Roman" w:hAnsi="Times New Roman" w:cs="Times New Roman"/>
          <w:b/>
          <w:sz w:val="24"/>
          <w:szCs w:val="24"/>
          <w:lang w:eastAsia="pl-PL"/>
        </w:rPr>
      </w:pPr>
      <w:r w:rsidRPr="006A5C05">
        <w:rPr>
          <w:rFonts w:ascii="Times New Roman" w:eastAsia="Times New Roman" w:hAnsi="Times New Roman" w:cs="Times New Roman"/>
          <w:b/>
          <w:sz w:val="24"/>
          <w:szCs w:val="24"/>
          <w:lang w:eastAsia="pl-PL"/>
        </w:rPr>
        <w:t>5.6.3. Odległość Cooka</w:t>
      </w:r>
    </w:p>
    <w:p w:rsidR="006A5C05" w:rsidRDefault="00363670" w:rsidP="006A5C05">
      <w:pPr>
        <w:spacing w:line="360" w:lineRule="auto"/>
        <w:jc w:val="both"/>
        <w:rPr>
          <w:rFonts w:ascii="Calibri" w:eastAsia="Times New Roman" w:hAnsi="Calibri" w:cs="Calibri"/>
          <w:color w:val="000000"/>
          <w:lang w:eastAsia="pl-PL"/>
        </w:rPr>
      </w:pPr>
      <w:r>
        <w:rPr>
          <w:rFonts w:eastAsiaTheme="minorEastAsia" w:cstheme="minorHAnsi"/>
        </w:rPr>
        <w:tab/>
      </w:r>
      <w:r w:rsidRPr="006A5C05">
        <w:rPr>
          <w:rFonts w:ascii="Times New Roman" w:eastAsiaTheme="minorEastAsia" w:hAnsi="Times New Roman" w:cs="Times New Roman"/>
          <w:sz w:val="24"/>
        </w:rPr>
        <w:t xml:space="preserve">Statystyka Cooka mierzy wpływ pojedynczej obserwacji na wynik regresji liniowej. Nieformalna reguła mówi, że powinniśmy przyjrzeć się obserwacjom, dla których odległość Cooka jest wyższa od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4</m:t>
            </m:r>
          </m:num>
          <m:den>
            <m:r>
              <w:rPr>
                <w:rFonts w:ascii="Cambria Math" w:eastAsiaTheme="minorEastAsia" w:hAnsi="Cambria Math" w:cs="Times New Roman"/>
                <w:sz w:val="24"/>
              </w:rPr>
              <m:t>N</m:t>
            </m:r>
          </m:den>
        </m:f>
      </m:oMath>
      <w:r w:rsidRPr="006A5C05">
        <w:rPr>
          <w:rFonts w:ascii="Times New Roman" w:eastAsiaTheme="minorEastAsia" w:hAnsi="Times New Roman" w:cs="Times New Roman"/>
          <w:sz w:val="24"/>
        </w:rPr>
        <w:t xml:space="preserve"> (w tym modelu gdy jest większa niż </w:t>
      </w:r>
      <w:r w:rsidR="006A5C05" w:rsidRPr="006A5C05">
        <w:rPr>
          <w:rFonts w:ascii="Times New Roman" w:eastAsiaTheme="minorEastAsia" w:hAnsi="Times New Roman" w:cs="Times New Roman"/>
          <w:sz w:val="24"/>
        </w:rPr>
        <w:t>0,010526</w:t>
      </w:r>
      <w:r w:rsidRPr="006A5C05">
        <w:rPr>
          <w:rFonts w:ascii="Times New Roman" w:eastAsiaTheme="minorEastAsia" w:hAnsi="Times New Roman" w:cs="Times New Roman"/>
          <w:sz w:val="24"/>
        </w:rPr>
        <w:t>).</w:t>
      </w:r>
      <w:r w:rsidR="00522072">
        <w:rPr>
          <w:rFonts w:ascii="Times New Roman" w:eastAsiaTheme="minorEastAsia" w:hAnsi="Times New Roman" w:cs="Times New Roman"/>
          <w:sz w:val="24"/>
        </w:rPr>
        <w:t xml:space="preserve"> Na podstawie wykresu (Rys. 15</w:t>
      </w:r>
      <w:r w:rsidR="005927B0" w:rsidRPr="006A5C05">
        <w:rPr>
          <w:rFonts w:ascii="Times New Roman" w:eastAsiaTheme="minorEastAsia" w:hAnsi="Times New Roman" w:cs="Times New Roman"/>
          <w:sz w:val="24"/>
        </w:rPr>
        <w:t xml:space="preserve">.) możemy zauważyć trzy obserwacje nietypowe: </w:t>
      </w:r>
      <w:r w:rsidR="006A5C05">
        <w:rPr>
          <w:rFonts w:ascii="Times New Roman" w:eastAsiaTheme="minorEastAsia" w:hAnsi="Times New Roman" w:cs="Times New Roman"/>
          <w:sz w:val="24"/>
        </w:rPr>
        <w:t>29, 179, 345</w:t>
      </w:r>
      <w:r w:rsidR="005927B0" w:rsidRPr="006A5C05">
        <w:rPr>
          <w:rFonts w:ascii="Times New Roman" w:eastAsiaTheme="minorEastAsia" w:hAnsi="Times New Roman" w:cs="Times New Roman"/>
          <w:sz w:val="24"/>
        </w:rPr>
        <w:t>.</w:t>
      </w: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927B0" w:rsidRPr="006D30C6"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15</w:t>
      </w:r>
      <w:r w:rsidR="005927B0" w:rsidRPr="006D30C6">
        <w:rPr>
          <w:rFonts w:ascii="Times New Roman" w:eastAsia="Times New Roman" w:hAnsi="Times New Roman" w:cs="Times New Roman"/>
          <w:sz w:val="24"/>
          <w:szCs w:val="24"/>
          <w:lang w:eastAsia="pl-PL"/>
        </w:rPr>
        <w:t>. Wykres przedstawiający odległości Cooka dla ostat</w:t>
      </w:r>
      <w:r>
        <w:rPr>
          <w:rFonts w:ascii="Times New Roman" w:eastAsia="Times New Roman" w:hAnsi="Times New Roman" w:cs="Times New Roman"/>
          <w:sz w:val="24"/>
          <w:szCs w:val="24"/>
          <w:lang w:eastAsia="pl-PL"/>
        </w:rPr>
        <w:t>ecznej wersji modelu (Załącznik 4.)</w:t>
      </w:r>
    </w:p>
    <w:p w:rsidR="005927B0" w:rsidRPr="00B1700A" w:rsidRDefault="006A5C05" w:rsidP="005927B0">
      <w:pPr>
        <w:tabs>
          <w:tab w:val="left" w:pos="8738"/>
        </w:tabs>
        <w:jc w:val="center"/>
      </w:pPr>
      <w:r>
        <w:rPr>
          <w:noProof/>
          <w:lang w:eastAsia="pl-PL"/>
        </w:rPr>
        <w:drawing>
          <wp:inline distT="0" distB="0" distL="0" distR="0">
            <wp:extent cx="5760720" cy="2880360"/>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oks distanc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5927B0" w:rsidRDefault="005927B0" w:rsidP="005927B0">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0047716F"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522072" w:rsidRPr="00522072" w:rsidRDefault="00522072" w:rsidP="005927B0">
      <w:pPr>
        <w:tabs>
          <w:tab w:val="left" w:pos="8738"/>
        </w:tabs>
        <w:ind w:left="720" w:hanging="720"/>
        <w:jc w:val="both"/>
        <w:rPr>
          <w:rFonts w:ascii="Times New Roman" w:hAnsi="Times New Roman" w:cs="Times New Roman"/>
          <w:sz w:val="20"/>
          <w:szCs w:val="20"/>
        </w:rPr>
      </w:pPr>
    </w:p>
    <w:p w:rsidR="00363670" w:rsidRPr="006A5C05" w:rsidRDefault="00F47239" w:rsidP="006A5C05">
      <w:pPr>
        <w:spacing w:line="360" w:lineRule="auto"/>
        <w:jc w:val="both"/>
        <w:rPr>
          <w:rFonts w:ascii="Times New Roman" w:eastAsiaTheme="minorEastAsia" w:hAnsi="Times New Roman" w:cs="Times New Roman"/>
          <w:sz w:val="24"/>
        </w:rPr>
      </w:pPr>
      <w:r>
        <w:rPr>
          <w:rFonts w:ascii="Calibri" w:eastAsia="Times New Roman" w:hAnsi="Calibri" w:cs="Calibri"/>
          <w:color w:val="000000"/>
          <w:lang w:eastAsia="pl-PL"/>
        </w:rPr>
        <w:tab/>
      </w:r>
      <w:r w:rsidRPr="006A5C05">
        <w:rPr>
          <w:rFonts w:ascii="Times New Roman" w:eastAsiaTheme="minorEastAsia" w:hAnsi="Times New Roman" w:cs="Times New Roman"/>
          <w:sz w:val="24"/>
        </w:rPr>
        <w:t xml:space="preserve">Na wykresie </w:t>
      </w:r>
      <w:r w:rsidR="006A5C05">
        <w:rPr>
          <w:rFonts w:ascii="Times New Roman" w:eastAsiaTheme="minorEastAsia" w:hAnsi="Times New Roman" w:cs="Times New Roman"/>
          <w:sz w:val="24"/>
        </w:rPr>
        <w:t xml:space="preserve">pojawiły się wartości, które zanotowano w przypadku standaryzowanych reszt i dźwigni, </w:t>
      </w:r>
      <w:r w:rsidR="006E0C6E">
        <w:rPr>
          <w:rFonts w:ascii="Times New Roman" w:eastAsiaTheme="minorEastAsia" w:hAnsi="Times New Roman" w:cs="Times New Roman"/>
          <w:sz w:val="24"/>
        </w:rPr>
        <w:t>dlatego</w:t>
      </w:r>
      <w:r w:rsidRPr="006A5C05">
        <w:rPr>
          <w:rFonts w:ascii="Times New Roman" w:eastAsiaTheme="minorEastAsia" w:hAnsi="Times New Roman" w:cs="Times New Roman"/>
          <w:sz w:val="24"/>
        </w:rPr>
        <w:t xml:space="preserve"> postanowiono </w:t>
      </w:r>
      <w:r w:rsidR="006E0C6E">
        <w:rPr>
          <w:rFonts w:ascii="Times New Roman" w:eastAsiaTheme="minorEastAsia" w:hAnsi="Times New Roman" w:cs="Times New Roman"/>
          <w:sz w:val="24"/>
        </w:rPr>
        <w:t xml:space="preserve">stworzyć model wykluczając obserwacje, które mogą być outlierami, to jest 29, 175 i 345. W wyniku ich usunięcia możemy zaobserwować </w:t>
      </w:r>
      <w:r w:rsidR="0090596A">
        <w:rPr>
          <w:rFonts w:ascii="Times New Roman" w:eastAsiaTheme="minorEastAsia" w:hAnsi="Times New Roman" w:cs="Times New Roman"/>
          <w:sz w:val="24"/>
        </w:rPr>
        <w:t xml:space="preserve">niewielkie </w:t>
      </w:r>
      <w:r w:rsidR="006E0C6E">
        <w:rPr>
          <w:rFonts w:ascii="Times New Roman" w:eastAsiaTheme="minorEastAsia" w:hAnsi="Times New Roman" w:cs="Times New Roman"/>
          <w:sz w:val="24"/>
        </w:rPr>
        <w:t xml:space="preserve">zmiany wartości parametrów β zmiennych objaśniających, a także spadek wartości współczynnika determinacji i jego </w:t>
      </w:r>
      <w:r w:rsidR="00910C58">
        <w:rPr>
          <w:rFonts w:ascii="Times New Roman" w:eastAsiaTheme="minorEastAsia" w:hAnsi="Times New Roman" w:cs="Times New Roman"/>
          <w:sz w:val="24"/>
        </w:rPr>
        <w:t>skorygowanej wersji (Załącznik 7</w:t>
      </w:r>
      <w:r w:rsidR="006E0C6E">
        <w:rPr>
          <w:rFonts w:ascii="Times New Roman" w:eastAsiaTheme="minorEastAsia" w:hAnsi="Times New Roman" w:cs="Times New Roman"/>
          <w:sz w:val="24"/>
        </w:rPr>
        <w:t xml:space="preserve">.). </w:t>
      </w:r>
      <w:r w:rsidR="0090596A">
        <w:rPr>
          <w:rFonts w:ascii="Times New Roman" w:eastAsiaTheme="minorEastAsia" w:hAnsi="Times New Roman" w:cs="Times New Roman"/>
          <w:sz w:val="24"/>
        </w:rPr>
        <w:t>Mimo wszystko zdecydowałam, aby wnioskowanie statystyczne prowadzić na wersji modelu ekonometrycznego zbudowanej na pełnej bazie danych zawierającej 380 obserwacji.</w:t>
      </w:r>
    </w:p>
    <w:p w:rsidR="00363670" w:rsidRPr="00363670" w:rsidRDefault="00363670" w:rsidP="00347A7C">
      <w:pPr>
        <w:rPr>
          <w:rFonts w:eastAsiaTheme="minorEastAsia" w:cstheme="minorHAnsi"/>
        </w:rPr>
      </w:pPr>
    </w:p>
    <w:p w:rsidR="00363670" w:rsidRDefault="00BA001B"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ROZDZIAŁ V</w:t>
      </w:r>
      <w:r w:rsidR="00910C58">
        <w:rPr>
          <w:rFonts w:ascii="Times New Roman" w:eastAsiaTheme="minorEastAsia" w:hAnsi="Times New Roman" w:cs="Times New Roman"/>
          <w:b/>
          <w:sz w:val="24"/>
        </w:rPr>
        <w:t>I</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Default="002630FD"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Weryfikacja h</w:t>
      </w:r>
      <w:r w:rsidR="00BE5224" w:rsidRPr="00EB26B3">
        <w:rPr>
          <w:rFonts w:ascii="Times New Roman" w:eastAsiaTheme="minorEastAsia" w:hAnsi="Times New Roman" w:cs="Times New Roman"/>
          <w:b/>
          <w:sz w:val="24"/>
        </w:rPr>
        <w:t>i</w:t>
      </w:r>
      <w:r w:rsidRPr="00EB26B3">
        <w:rPr>
          <w:rFonts w:ascii="Times New Roman" w:eastAsiaTheme="minorEastAsia" w:hAnsi="Times New Roman" w:cs="Times New Roman"/>
          <w:b/>
          <w:sz w:val="24"/>
        </w:rPr>
        <w:t>potez</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Pr="00EB26B3" w:rsidRDefault="00910C58" w:rsidP="00EB26B3">
      <w:pPr>
        <w:spacing w:line="36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t>6</w:t>
      </w:r>
      <w:r w:rsidR="00BA001B" w:rsidRPr="00EB26B3">
        <w:rPr>
          <w:rFonts w:ascii="Times New Roman" w:eastAsiaTheme="minorEastAsia" w:hAnsi="Times New Roman" w:cs="Times New Roman"/>
          <w:b/>
          <w:sz w:val="24"/>
        </w:rPr>
        <w:t>.1. Interpretacja wyników estymacji</w:t>
      </w:r>
    </w:p>
    <w:p w:rsidR="00BE5224" w:rsidRPr="00EB26B3" w:rsidRDefault="00BE5224"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r>
      <w:r w:rsidR="00972CF8" w:rsidRPr="00EB26B3">
        <w:rPr>
          <w:rFonts w:ascii="Times New Roman" w:eastAsiaTheme="minorEastAsia" w:hAnsi="Times New Roman" w:cs="Times New Roman"/>
          <w:sz w:val="24"/>
        </w:rPr>
        <w:t>W wyniku przeprowadzenia kolejnych iteracji modelu, finalna postać funkcyjna prezentuje się następująco:</w:t>
      </w:r>
    </w:p>
    <w:p w:rsidR="00972CF8" w:rsidRPr="00EB26B3" w:rsidRDefault="00972CF8" w:rsidP="00EB26B3">
      <w:pPr>
        <w:spacing w:line="360" w:lineRule="auto"/>
        <w:jc w:val="both"/>
        <w:rPr>
          <w:rFonts w:ascii="Times New Roman" w:eastAsiaTheme="minorEastAsia" w:hAnsi="Times New Roman" w:cs="Times New Roman"/>
          <w:sz w:val="24"/>
        </w:rPr>
      </w:pPr>
      <m:oMath>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birth</m:t>
            </m:r>
          </m:e>
        </m:func>
        <m:r>
          <w:rPr>
            <w:rFonts w:ascii="Cambria Math" w:eastAsiaTheme="minorEastAsia" w:hAnsi="Cambria Math" w:cs="Times New Roman"/>
            <w:sz w:val="24"/>
          </w:rPr>
          <m:t>.</m:t>
        </m:r>
        <m:r>
          <w:rPr>
            <w:rFonts w:ascii="Cambria Math" w:eastAsiaTheme="minorEastAsia" w:hAnsi="Cambria Math" w:cs="Times New Roman"/>
            <w:sz w:val="24"/>
          </w:rPr>
          <m:t>rate</m:t>
        </m:r>
        <m:r>
          <w:rPr>
            <w:rFonts w:ascii="Cambria Math" w:eastAsiaTheme="minorEastAsia" w:hAnsi="Cambria Math" w:cs="Times New Roman"/>
            <w:sz w:val="24"/>
          </w:rPr>
          <m:t>=0.0498-0.0004 covid19.deaths+0.0929 marriage.rate-0.4357 divorce.rate-0.0372</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unemployment.rate+3.0904 women.working+0.0437</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median.house.price-0.0002 social.expenditure+0.0001 family.expediture+0.00002 children+</m:t>
                </m:r>
                <m:r>
                  <w:rPr>
                    <w:rFonts w:ascii="Cambria Math" w:eastAsiaTheme="minorEastAsia" w:hAnsi="Cambria Math" w:cs="Times New Roman"/>
                    <w:sz w:val="24"/>
                  </w:rPr>
                  <m:t>0.0011 doctors-0.0001 bus.stops</m:t>
                </m:r>
              </m:e>
            </m:func>
          </m:e>
        </m:func>
      </m:oMath>
      <w:r w:rsidRPr="00EB26B3">
        <w:rPr>
          <w:rFonts w:ascii="Times New Roman" w:eastAsiaTheme="minorEastAsia" w:hAnsi="Times New Roman" w:cs="Times New Roman"/>
          <w:sz w:val="24"/>
        </w:rPr>
        <w:t xml:space="preserve"> </w:t>
      </w:r>
    </w:p>
    <w:p w:rsidR="00AF6873" w:rsidRPr="00EB26B3" w:rsidRDefault="00E95B85"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wartości współczynnika determinacji wiadomo, że model</w:t>
      </w:r>
      <w:r w:rsidR="00AF6873" w:rsidRPr="00EB26B3">
        <w:rPr>
          <w:rFonts w:ascii="Times New Roman" w:eastAsiaTheme="minorEastAsia" w:hAnsi="Times New Roman" w:cs="Times New Roman"/>
          <w:sz w:val="24"/>
        </w:rPr>
        <w:t xml:space="preserve"> wyjaśnia zmienność logarytmu ws</w:t>
      </w:r>
      <w:r w:rsidRPr="00EB26B3">
        <w:rPr>
          <w:rFonts w:ascii="Times New Roman" w:eastAsiaTheme="minorEastAsia" w:hAnsi="Times New Roman" w:cs="Times New Roman"/>
          <w:sz w:val="24"/>
        </w:rPr>
        <w:t>półczynnika urodzeń w 75.75%. Na poziomie istotności α</w:t>
      </w:r>
      <w:r w:rsidR="00AF6873" w:rsidRPr="00EB26B3">
        <w:rPr>
          <w:rFonts w:ascii="Times New Roman" w:eastAsiaTheme="minorEastAsia" w:hAnsi="Times New Roman" w:cs="Times New Roman"/>
          <w:sz w:val="24"/>
        </w:rPr>
        <w:t xml:space="preserve"> = 0.05 wszystkie zmienne są łącznie oraz pojedynczo istotne.</w:t>
      </w:r>
    </w:p>
    <w:p w:rsidR="00AF6873" w:rsidRPr="00EB26B3" w:rsidRDefault="00AF6873"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oszacowań parametrów możemy wyciągnąć następujące wnioski:</w:t>
      </w:r>
    </w:p>
    <w:p w:rsidR="00AF6873" w:rsidRPr="00EB26B3" w:rsidRDefault="00AF6873"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śmierć na skutek COVID-19 spowoduje zmniejszenie współczynnika urodzeń o</w:t>
      </w:r>
      <w:r w:rsidR="00984725" w:rsidRPr="00EB26B3">
        <w:rPr>
          <w:rFonts w:ascii="Times New Roman" w:eastAsiaTheme="minorEastAsia" w:hAnsi="Times New Roman" w:cs="Times New Roman"/>
          <w:sz w:val="24"/>
        </w:rPr>
        <w:t xml:space="preserve"> 0.04%, ceteris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współczynnika małżeństw o jednostkę spowoduje wzrost współczynnika urodzeń o 9.73%, ceteris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współczynnika rozwodów o jednostkę spowoduje spadek współczynnika urodzeń o 35.32%</w:t>
      </w:r>
      <w:r w:rsidR="006D2D9F" w:rsidRPr="00EB26B3">
        <w:rPr>
          <w:rFonts w:ascii="Times New Roman" w:eastAsiaTheme="minorEastAsia" w:hAnsi="Times New Roman" w:cs="Times New Roman"/>
          <w:sz w:val="24"/>
        </w:rPr>
        <w:t>, ceteris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stopy bezrobocia o 1% spowoduje spadek współczynnika urodzeń o 3.72%</w:t>
      </w:r>
      <w:r w:rsidR="006D2D9F" w:rsidRPr="00EB26B3">
        <w:rPr>
          <w:rFonts w:ascii="Times New Roman" w:eastAsiaTheme="minorEastAsia" w:hAnsi="Times New Roman" w:cs="Times New Roman"/>
          <w:sz w:val="24"/>
        </w:rPr>
        <w:t>, ceteris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odsetka kobiet w wieku reprod</w:t>
      </w:r>
      <w:r w:rsidR="00EB26B3">
        <w:rPr>
          <w:rFonts w:ascii="Times New Roman" w:eastAsiaTheme="minorEastAsia" w:hAnsi="Times New Roman" w:cs="Times New Roman"/>
          <w:sz w:val="24"/>
        </w:rPr>
        <w:t>ukcyjnym o jednostkę sprawi, że </w:t>
      </w:r>
      <w:r w:rsidRPr="00EB26B3">
        <w:rPr>
          <w:rFonts w:ascii="Times New Roman" w:eastAsiaTheme="minorEastAsia" w:hAnsi="Times New Roman" w:cs="Times New Roman"/>
          <w:sz w:val="24"/>
        </w:rPr>
        <w:t>współczynnik urodzeń zwiększy się o 2098.6%, ceteris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w:t>
      </w:r>
      <w:r w:rsidR="0060001F" w:rsidRPr="00EB26B3">
        <w:rPr>
          <w:rFonts w:ascii="Times New Roman" w:eastAsiaTheme="minorEastAsia" w:hAnsi="Times New Roman" w:cs="Times New Roman"/>
          <w:sz w:val="24"/>
        </w:rPr>
        <w:t xml:space="preserve"> mediany cen na rynku mieszkaniowym o 1% spowoduje zwiększenie współczynnika urodzeń o 4,37%</w:t>
      </w:r>
      <w:r w:rsidR="006D2D9F" w:rsidRPr="00EB26B3">
        <w:rPr>
          <w:rFonts w:ascii="Times New Roman" w:eastAsiaTheme="minorEastAsia" w:hAnsi="Times New Roman" w:cs="Times New Roman"/>
          <w:sz w:val="24"/>
        </w:rPr>
        <w:t>, ceteris paribus;</w:t>
      </w:r>
    </w:p>
    <w:p w:rsidR="0060001F" w:rsidRPr="00EB26B3" w:rsidRDefault="006000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wydatków na pomoc społeczną o jednostkę sprawi, że zmienna objaśniana zmniejszy się o 0.021%</w:t>
      </w:r>
      <w:r w:rsidR="006D2D9F" w:rsidRPr="00EB26B3">
        <w:rPr>
          <w:rFonts w:ascii="Times New Roman" w:eastAsiaTheme="minorEastAsia" w:hAnsi="Times New Roman" w:cs="Times New Roman"/>
          <w:sz w:val="24"/>
        </w:rPr>
        <w:t>, ceteris paribus;</w:t>
      </w:r>
    </w:p>
    <w:p w:rsidR="006000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 przypadku zwiększenia wydatków na rodzinę o jednostkę, zmienna zależna wzrośnie o 0.008%</w:t>
      </w:r>
      <w:r w:rsidR="006D2D9F" w:rsidRPr="00EB26B3">
        <w:rPr>
          <w:rFonts w:ascii="Times New Roman" w:eastAsiaTheme="minorEastAsia" w:hAnsi="Times New Roman" w:cs="Times New Roman"/>
          <w:sz w:val="24"/>
        </w:rPr>
        <w:t>, ceteris paribus;</w:t>
      </w:r>
    </w:p>
    <w:p w:rsidR="004874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dodatkowa osoba w grupie wiekowej do 2 lat spowoduje zwiększenie współczynnika </w:t>
      </w:r>
      <w:r w:rsidR="006D2D9F" w:rsidRPr="00EB26B3">
        <w:rPr>
          <w:rFonts w:ascii="Times New Roman" w:eastAsiaTheme="minorEastAsia" w:hAnsi="Times New Roman" w:cs="Times New Roman"/>
          <w:sz w:val="24"/>
        </w:rPr>
        <w:t xml:space="preserve">urodzeń </w:t>
      </w:r>
      <w:r w:rsidRPr="00EB26B3">
        <w:rPr>
          <w:rFonts w:ascii="Times New Roman" w:eastAsiaTheme="minorEastAsia" w:hAnsi="Times New Roman" w:cs="Times New Roman"/>
          <w:sz w:val="24"/>
        </w:rPr>
        <w:t>o 0.002%</w:t>
      </w:r>
      <w:r w:rsidR="006D2D9F" w:rsidRPr="00EB26B3">
        <w:rPr>
          <w:rFonts w:ascii="Times New Roman" w:eastAsiaTheme="minorEastAsia" w:hAnsi="Times New Roman" w:cs="Times New Roman"/>
          <w:sz w:val="24"/>
        </w:rPr>
        <w:t>, ceteris paribus;</w:t>
      </w:r>
    </w:p>
    <w:p w:rsidR="006D2D9F" w:rsidRPr="00EB26B3" w:rsidRDefault="006D2D9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odsetka personelu medycznego na 10 tysięcy mieszkańców o jednostkę wpłynie na wzrost współczynnika urodzeń o 0.114%, ceteris paribus;</w:t>
      </w:r>
    </w:p>
    <w:p w:rsidR="00AF6873" w:rsidRDefault="006D2D9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dodatkowy przystanek autobusowy lub tramwajowy sprawi, że współczynnik urodzeń zmaleje o 0.007%, ceteris paribus.</w:t>
      </w:r>
    </w:p>
    <w:p w:rsidR="00566B07" w:rsidRPr="00EB26B3" w:rsidRDefault="00566B07" w:rsidP="00566B07">
      <w:pPr>
        <w:pStyle w:val="Akapitzlist"/>
        <w:spacing w:line="360" w:lineRule="auto"/>
        <w:jc w:val="both"/>
        <w:rPr>
          <w:rFonts w:ascii="Times New Roman" w:eastAsiaTheme="minorEastAsia" w:hAnsi="Times New Roman" w:cs="Times New Roman"/>
          <w:sz w:val="24"/>
        </w:rPr>
      </w:pPr>
    </w:p>
    <w:p w:rsidR="006D6AB8" w:rsidRDefault="006D6AB8" w:rsidP="00347A7C">
      <w:pPr>
        <w:rPr>
          <w:rFonts w:ascii="Times New Roman" w:eastAsiaTheme="minorEastAsia" w:hAnsi="Times New Roman" w:cs="Times New Roman"/>
          <w:b/>
          <w:sz w:val="24"/>
          <w:szCs w:val="24"/>
        </w:rPr>
      </w:pPr>
    </w:p>
    <w:p w:rsidR="006D6AB8" w:rsidRDefault="006D6AB8" w:rsidP="00347A7C">
      <w:pPr>
        <w:rPr>
          <w:rFonts w:ascii="Times New Roman" w:eastAsiaTheme="minorEastAsia" w:hAnsi="Times New Roman" w:cs="Times New Roman"/>
          <w:b/>
          <w:sz w:val="24"/>
          <w:szCs w:val="24"/>
        </w:rPr>
      </w:pPr>
    </w:p>
    <w:p w:rsidR="00BA001B" w:rsidRPr="00566B07" w:rsidRDefault="00566B07" w:rsidP="00347A7C">
      <w:pPr>
        <w:rPr>
          <w:rFonts w:ascii="Times New Roman" w:eastAsiaTheme="minorEastAsia" w:hAnsi="Times New Roman" w:cs="Times New Roman"/>
          <w:b/>
          <w:sz w:val="24"/>
          <w:szCs w:val="24"/>
        </w:rPr>
      </w:pPr>
      <w:r w:rsidRPr="00566B07">
        <w:rPr>
          <w:rFonts w:ascii="Times New Roman" w:eastAsiaTheme="minorEastAsia" w:hAnsi="Times New Roman" w:cs="Times New Roman"/>
          <w:b/>
          <w:sz w:val="24"/>
          <w:szCs w:val="24"/>
        </w:rPr>
        <w:t>6</w:t>
      </w:r>
      <w:r w:rsidR="00BA001B" w:rsidRPr="00566B07">
        <w:rPr>
          <w:rFonts w:ascii="Times New Roman" w:eastAsiaTheme="minorEastAsia" w:hAnsi="Times New Roman" w:cs="Times New Roman"/>
          <w:b/>
          <w:sz w:val="24"/>
          <w:szCs w:val="24"/>
        </w:rPr>
        <w:t xml:space="preserve">.2. </w:t>
      </w:r>
      <w:r w:rsidR="00415C79" w:rsidRPr="00566B07">
        <w:rPr>
          <w:rFonts w:ascii="Times New Roman" w:eastAsiaTheme="minorEastAsia" w:hAnsi="Times New Roman" w:cs="Times New Roman"/>
          <w:b/>
          <w:sz w:val="24"/>
          <w:szCs w:val="24"/>
        </w:rPr>
        <w:t>Weryfikacja hipotez badawczych</w:t>
      </w:r>
    </w:p>
    <w:p w:rsidR="003E4204" w:rsidRPr="0092778A" w:rsidRDefault="003E4204" w:rsidP="0092778A">
      <w:pPr>
        <w:spacing w:line="360" w:lineRule="auto"/>
        <w:jc w:val="both"/>
        <w:rPr>
          <w:rFonts w:ascii="Times New Roman" w:eastAsia="Times New Roman" w:hAnsi="Times New Roman" w:cs="Times New Roman"/>
          <w:color w:val="000000"/>
          <w:sz w:val="24"/>
          <w:szCs w:val="24"/>
          <w:u w:val="single"/>
          <w:lang w:eastAsia="pl-PL"/>
        </w:rPr>
      </w:pPr>
      <w:r w:rsidRPr="003E4204">
        <w:rPr>
          <w:rFonts w:ascii="Times New Roman" w:eastAsia="Times New Roman" w:hAnsi="Times New Roman" w:cs="Times New Roman"/>
          <w:color w:val="000000"/>
          <w:sz w:val="24"/>
          <w:szCs w:val="24"/>
          <w:lang w:eastAsia="pl-PL"/>
        </w:rPr>
        <w:tab/>
      </w:r>
      <w:r w:rsidRPr="003E4204">
        <w:rPr>
          <w:rFonts w:ascii="Times New Roman" w:eastAsia="Times New Roman" w:hAnsi="Times New Roman" w:cs="Times New Roman"/>
          <w:color w:val="000000"/>
          <w:sz w:val="24"/>
          <w:szCs w:val="24"/>
          <w:u w:val="single"/>
          <w:lang w:eastAsia="pl-PL"/>
        </w:rPr>
        <w:t>H0: Pandemia COVID-19 negatywnie wpływa n</w:t>
      </w:r>
      <w:r w:rsidR="00566B07">
        <w:rPr>
          <w:rFonts w:ascii="Times New Roman" w:eastAsia="Times New Roman" w:hAnsi="Times New Roman" w:cs="Times New Roman"/>
          <w:color w:val="000000"/>
          <w:sz w:val="24"/>
          <w:szCs w:val="24"/>
          <w:u w:val="single"/>
          <w:lang w:eastAsia="pl-PL"/>
        </w:rPr>
        <w:t>a liczbę urodzonych dzieci – ze </w:t>
      </w:r>
      <w:r w:rsidRPr="003E4204">
        <w:rPr>
          <w:rFonts w:ascii="Times New Roman" w:eastAsia="Times New Roman" w:hAnsi="Times New Roman" w:cs="Times New Roman"/>
          <w:color w:val="000000"/>
          <w:sz w:val="24"/>
          <w:szCs w:val="24"/>
          <w:u w:val="single"/>
          <w:lang w:eastAsia="pl-PL"/>
        </w:rPr>
        <w:t>względu na wzrost bezrobocia spowodowany zamrożeniem gospodarki.</w:t>
      </w:r>
    </w:p>
    <w:p w:rsidR="00415C79" w:rsidRDefault="00910C58" w:rsidP="0092778A">
      <w:pPr>
        <w:spacing w:line="360" w:lineRule="auto"/>
        <w:jc w:val="both"/>
        <w:rPr>
          <w:rFonts w:ascii="Times New Roman" w:eastAsiaTheme="minorEastAsia" w:hAnsi="Times New Roman" w:cs="Times New Roman"/>
          <w:sz w:val="24"/>
          <w:szCs w:val="24"/>
        </w:rPr>
      </w:pPr>
      <w:r w:rsidRPr="0092778A">
        <w:rPr>
          <w:rFonts w:ascii="Times New Roman" w:eastAsiaTheme="minorEastAsia" w:hAnsi="Times New Roman" w:cs="Times New Roman"/>
          <w:sz w:val="24"/>
          <w:szCs w:val="24"/>
        </w:rPr>
        <w:tab/>
      </w:r>
      <w:r w:rsidR="008A001B" w:rsidRPr="0092778A">
        <w:rPr>
          <w:rFonts w:ascii="Times New Roman" w:eastAsiaTheme="minorEastAsia" w:hAnsi="Times New Roman" w:cs="Times New Roman"/>
          <w:sz w:val="24"/>
          <w:szCs w:val="24"/>
        </w:rPr>
        <w:t>Estymacje parametrów</w:t>
      </w:r>
      <w:r w:rsidR="0092778A" w:rsidRPr="0092778A">
        <w:rPr>
          <w:rFonts w:ascii="Times New Roman" w:eastAsiaTheme="minorEastAsia" w:hAnsi="Times New Roman" w:cs="Times New Roman"/>
          <w:sz w:val="24"/>
          <w:szCs w:val="24"/>
        </w:rPr>
        <w:t xml:space="preserve"> modelu potwierdziły założenie</w:t>
      </w:r>
      <w:r w:rsidR="008A001B" w:rsidRPr="0092778A">
        <w:rPr>
          <w:rFonts w:ascii="Times New Roman" w:eastAsiaTheme="minorEastAsia" w:hAnsi="Times New Roman" w:cs="Times New Roman"/>
          <w:sz w:val="24"/>
          <w:szCs w:val="24"/>
        </w:rPr>
        <w:t xml:space="preserve">, że wzrost bezrobocia ujemnie wpływa na współczynnik urodzeń. W porównaniu z przewidywaniami Kearney i Levine’a (2020) negatywny efekt jest mniejszy, ponieważ model przewiduje, że wzrost stopy bezrobocia o 1% spowoduje spadek wskaźnika o 3.72%. </w:t>
      </w:r>
    </w:p>
    <w:p w:rsidR="0092778A" w:rsidRDefault="0092778A" w:rsidP="00780C8E">
      <w:pPr>
        <w:spacing w:before="240" w:after="0" w:line="360" w:lineRule="auto"/>
        <w:jc w:val="both"/>
        <w:rPr>
          <w:rFonts w:ascii="Times New Roman" w:eastAsia="Times New Roman" w:hAnsi="Times New Roman" w:cs="Times New Roman"/>
          <w:color w:val="000000"/>
          <w:sz w:val="24"/>
          <w:szCs w:val="24"/>
          <w:u w:val="single"/>
          <w:lang w:eastAsia="pl-PL"/>
        </w:rPr>
      </w:pPr>
      <w:r w:rsidRPr="0092778A">
        <w:rPr>
          <w:rFonts w:ascii="Times New Roman" w:eastAsia="Times New Roman" w:hAnsi="Times New Roman" w:cs="Times New Roman"/>
          <w:color w:val="000000"/>
          <w:sz w:val="24"/>
          <w:szCs w:val="24"/>
          <w:lang w:eastAsia="pl-PL"/>
        </w:rPr>
        <w:tab/>
      </w:r>
      <w:r w:rsidRPr="0092778A">
        <w:rPr>
          <w:rFonts w:ascii="Times New Roman" w:eastAsia="Times New Roman" w:hAnsi="Times New Roman" w:cs="Times New Roman"/>
          <w:color w:val="000000"/>
          <w:sz w:val="24"/>
          <w:szCs w:val="24"/>
          <w:u w:val="single"/>
          <w:lang w:eastAsia="pl-PL"/>
        </w:rPr>
        <w:t>H1: Pandemia COVID-19 negatywnie wpływa na liczbę urodzonych dzieci – ze względu na śmiertelność.</w:t>
      </w:r>
    </w:p>
    <w:p w:rsidR="0092778A" w:rsidRDefault="0092778A" w:rsidP="00780C8E">
      <w:pPr>
        <w:spacing w:after="0" w:line="360" w:lineRule="auto"/>
        <w:jc w:val="both"/>
        <w:rPr>
          <w:rFonts w:ascii="Times New Roman" w:eastAsia="Times New Roman" w:hAnsi="Times New Roman" w:cs="Times New Roman"/>
          <w:color w:val="000000"/>
          <w:sz w:val="24"/>
          <w:szCs w:val="24"/>
          <w:lang w:eastAsia="pl-PL"/>
        </w:rPr>
      </w:pPr>
      <w:r w:rsidRPr="0092778A">
        <w:rPr>
          <w:rFonts w:ascii="Times New Roman" w:eastAsia="Times New Roman" w:hAnsi="Times New Roman" w:cs="Times New Roman"/>
          <w:color w:val="000000"/>
          <w:sz w:val="24"/>
          <w:szCs w:val="24"/>
          <w:lang w:eastAsia="pl-PL"/>
        </w:rPr>
        <w:tab/>
      </w:r>
      <w:r w:rsidR="00780C8E">
        <w:rPr>
          <w:rFonts w:ascii="Times New Roman" w:eastAsia="Times New Roman" w:hAnsi="Times New Roman" w:cs="Times New Roman"/>
          <w:color w:val="000000"/>
          <w:sz w:val="24"/>
          <w:szCs w:val="24"/>
          <w:lang w:eastAsia="pl-PL"/>
        </w:rPr>
        <w:t>Hipoteza została potwierdzona, zgony spowodowane chorobą wywołaną SARS-Cov-2 wpływają ujemnie na współczynnik urodzeń. Ryzyko śmierci jest wysokie wśród osób starszych, dlatego można wnioskować, że potencjalni rodzice nie decydują się mieć potomstwa ze względu na brak instytucji dziadków. Jednak warto wspomnieć, że zgony występowały również wśród osób młodych (w wieku reprodukcyjnym). Z parametru przy zmiennej dotyczącej kobiet w wieku reprodukcyjnym można snuć wnioski o tym, iż zgony wśród grupy ludzi w wieku 15-49 lat wpływają na współczynnik urodzeń jeszcze bardziej.</w:t>
      </w:r>
    </w:p>
    <w:p w:rsidR="00566B07" w:rsidRPr="00566B07" w:rsidRDefault="00566B07" w:rsidP="00E22295">
      <w:pPr>
        <w:spacing w:before="240" w:after="0" w:line="360" w:lineRule="auto"/>
        <w:jc w:val="both"/>
        <w:rPr>
          <w:rFonts w:ascii="Times New Roman" w:eastAsia="Times New Roman" w:hAnsi="Times New Roman" w:cs="Times New Roman"/>
          <w:color w:val="000000"/>
          <w:sz w:val="24"/>
          <w:szCs w:val="24"/>
          <w:u w:val="single"/>
          <w:lang w:eastAsia="pl-PL"/>
        </w:rPr>
      </w:pPr>
      <w:r w:rsidRPr="00566B07">
        <w:rPr>
          <w:rFonts w:ascii="Times New Roman" w:eastAsia="Times New Roman" w:hAnsi="Times New Roman" w:cs="Times New Roman"/>
          <w:color w:val="000000"/>
          <w:sz w:val="24"/>
          <w:szCs w:val="24"/>
          <w:lang w:eastAsia="pl-PL"/>
        </w:rPr>
        <w:tab/>
      </w:r>
      <w:r w:rsidRPr="00566B07">
        <w:rPr>
          <w:rFonts w:ascii="Times New Roman" w:eastAsia="Times New Roman" w:hAnsi="Times New Roman" w:cs="Times New Roman"/>
          <w:color w:val="000000"/>
          <w:sz w:val="24"/>
          <w:szCs w:val="24"/>
          <w:u w:val="single"/>
          <w:lang w:eastAsia="pl-PL"/>
        </w:rPr>
        <w:t>H2: Zwiększenie wydatków na dzieci powoduje wzrost współczynnika urodzeń.</w:t>
      </w:r>
    </w:p>
    <w:p w:rsidR="00566B07" w:rsidRDefault="00566B07" w:rsidP="00E22295">
      <w:pPr>
        <w:spacing w:after="0" w:line="360" w:lineRule="auto"/>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Chcąc zbadać postawioną hipotezę, należy</w:t>
      </w:r>
      <w:r w:rsidR="00E22295">
        <w:rPr>
          <w:rFonts w:ascii="Times New Roman" w:eastAsia="Times New Roman" w:hAnsi="Times New Roman" w:cs="Times New Roman"/>
          <w:color w:val="000000"/>
          <w:sz w:val="24"/>
          <w:szCs w:val="24"/>
          <w:lang w:eastAsia="pl-PL"/>
        </w:rPr>
        <w:t xml:space="preserve"> odpowiedzieć na pytanie jak na </w:t>
      </w:r>
      <w:r>
        <w:rPr>
          <w:rFonts w:ascii="Times New Roman" w:eastAsia="Times New Roman" w:hAnsi="Times New Roman" w:cs="Times New Roman"/>
          <w:color w:val="000000"/>
          <w:sz w:val="24"/>
          <w:szCs w:val="24"/>
          <w:lang w:eastAsia="pl-PL"/>
        </w:rPr>
        <w:t>współczynnik urodzeń wpłyną dodatkowe jednostk</w:t>
      </w:r>
      <w:r w:rsidR="00E22295">
        <w:rPr>
          <w:rFonts w:ascii="Times New Roman" w:eastAsia="Times New Roman" w:hAnsi="Times New Roman" w:cs="Times New Roman"/>
          <w:color w:val="000000"/>
          <w:sz w:val="24"/>
          <w:szCs w:val="24"/>
          <w:lang w:eastAsia="pl-PL"/>
        </w:rPr>
        <w:t>i wydatków budżetów powiatów na </w:t>
      </w:r>
      <w:r>
        <w:rPr>
          <w:rFonts w:ascii="Times New Roman" w:eastAsia="Times New Roman" w:hAnsi="Times New Roman" w:cs="Times New Roman"/>
          <w:color w:val="000000"/>
          <w:sz w:val="24"/>
          <w:szCs w:val="24"/>
          <w:lang w:eastAsia="pl-PL"/>
        </w:rPr>
        <w:t xml:space="preserve">pomoc społeczną i rodzinę. </w:t>
      </w:r>
    </w:p>
    <w:p w:rsidR="00780C8E" w:rsidRPr="0092778A" w:rsidRDefault="00566B07" w:rsidP="00E22295">
      <w:pPr>
        <w:spacing w:after="0" w:line="360" w:lineRule="auto"/>
        <w:jc w:val="both"/>
        <w:rPr>
          <w:rFonts w:ascii="Times New Roman" w:eastAsia="Times New Roman" w:hAnsi="Times New Roman" w:cs="Times New Roman"/>
          <w:color w:val="000000"/>
          <w:sz w:val="24"/>
          <w:szCs w:val="24"/>
          <w:lang w:eastAsia="pl-PL"/>
        </w:rPr>
      </w:pPr>
      <m:oMathPara>
        <m:oMath>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birth.rate</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social.expenditure=x+1, family.expenditure=y+1</m:t>
                  </m:r>
                </m:e>
              </m:d>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 xml:space="preserve">birth.rate </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 xml:space="preserve"> social.expenditure=x, family.expenditure=y</m:t>
                      </m:r>
                    </m:e>
                  </m:d>
                  <m:r>
                    <w:rPr>
                      <w:rFonts w:ascii="Cambria Math" w:eastAsia="Times New Roman" w:hAnsi="Cambria Math" w:cs="Times New Roman"/>
                      <w:color w:val="000000"/>
                      <w:sz w:val="24"/>
                      <w:szCs w:val="24"/>
                      <w:lang w:eastAsia="pl-PL"/>
                    </w:rPr>
                    <m:t>= -0.0002</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x+1</m:t>
                      </m:r>
                    </m:e>
                  </m:d>
                  <m:r>
                    <w:rPr>
                      <w:rFonts w:ascii="Cambria Math" w:eastAsia="Times New Roman" w:hAnsi="Cambria Math" w:cs="Times New Roman"/>
                      <w:color w:val="000000"/>
                      <w:sz w:val="24"/>
                      <w:szCs w:val="24"/>
                      <w:lang w:eastAsia="pl-PL"/>
                    </w:rPr>
                    <m:t>+0.0001</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y+1</m:t>
                      </m:r>
                    </m:e>
                  </m:d>
                  <m:r>
                    <w:rPr>
                      <w:rFonts w:ascii="Cambria Math" w:eastAsia="Times New Roman" w:hAnsi="Cambria Math" w:cs="Times New Roman"/>
                      <w:color w:val="000000"/>
                      <w:sz w:val="24"/>
                      <w:szCs w:val="24"/>
                      <w:lang w:eastAsia="pl-PL"/>
                    </w:rPr>
                    <m:t>+0.0002x-0.0001y= -0.0001</m:t>
                  </m:r>
                </m:e>
              </m:func>
            </m:e>
          </m:func>
        </m:oMath>
      </m:oMathPara>
    </w:p>
    <w:p w:rsidR="0092778A" w:rsidRDefault="00B37669" w:rsidP="00E222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Paradoksalnie dodatkowe jednostki pieniężne przeznaczone pośrednio na dzieci powodują spadek wzrostu współczynnika urodzeń o 0.1%.</w:t>
      </w:r>
      <w:r w:rsidR="002E4B75">
        <w:rPr>
          <w:rFonts w:ascii="Times New Roman" w:eastAsiaTheme="minorEastAsia" w:hAnsi="Times New Roman" w:cs="Times New Roman"/>
          <w:sz w:val="24"/>
          <w:szCs w:val="24"/>
        </w:rPr>
        <w:t xml:space="preserve"> Jest to sprzeczne między innymi z wynikami badań Kalwija (2010), który potwierdził empirycznie dodatnią zależność między </w:t>
      </w:r>
      <w:r w:rsidR="00424971">
        <w:rPr>
          <w:rFonts w:ascii="Times New Roman" w:eastAsiaTheme="minorEastAsia" w:hAnsi="Times New Roman" w:cs="Times New Roman"/>
          <w:sz w:val="24"/>
          <w:szCs w:val="24"/>
        </w:rPr>
        <w:t xml:space="preserve">wdrażaniem narzędzi polityki prorodzinnej przez państwa a wzrostem dzietności. Odrzucenie powyższej hipotezy może być spowodowane tym, że </w:t>
      </w:r>
      <w:r w:rsidR="00E22295">
        <w:rPr>
          <w:rFonts w:ascii="Times New Roman" w:eastAsiaTheme="minorEastAsia" w:hAnsi="Times New Roman" w:cs="Times New Roman"/>
          <w:sz w:val="24"/>
          <w:szCs w:val="24"/>
        </w:rPr>
        <w:t>zaproponowane zmienne mogą oddziaływać na podniesienie jakości dzieci</w:t>
      </w:r>
      <w:r w:rsidR="00424971">
        <w:rPr>
          <w:rFonts w:ascii="Times New Roman" w:eastAsiaTheme="minorEastAsia" w:hAnsi="Times New Roman" w:cs="Times New Roman"/>
          <w:sz w:val="24"/>
          <w:szCs w:val="24"/>
        </w:rPr>
        <w:t xml:space="preserve"> jako dobra, a nie </w:t>
      </w:r>
      <w:r w:rsidR="00E22295">
        <w:rPr>
          <w:rFonts w:ascii="Times New Roman" w:eastAsiaTheme="minorEastAsia" w:hAnsi="Times New Roman" w:cs="Times New Roman"/>
          <w:sz w:val="24"/>
          <w:szCs w:val="24"/>
        </w:rPr>
        <w:t>ich liczby</w:t>
      </w:r>
      <w:r w:rsidR="00424971">
        <w:rPr>
          <w:rFonts w:ascii="Times New Roman" w:eastAsiaTheme="minorEastAsia" w:hAnsi="Times New Roman" w:cs="Times New Roman"/>
          <w:sz w:val="24"/>
          <w:szCs w:val="24"/>
        </w:rPr>
        <w:t>. Powiaty w ramach budżetu przeznaczonego na pomoc społeczną mogą przekazywać pieniądz</w:t>
      </w:r>
      <w:r w:rsidR="00E22295">
        <w:rPr>
          <w:rFonts w:ascii="Times New Roman" w:eastAsiaTheme="minorEastAsia" w:hAnsi="Times New Roman" w:cs="Times New Roman"/>
          <w:sz w:val="24"/>
          <w:szCs w:val="24"/>
        </w:rPr>
        <w:t>e rodzinom potrzebującym, które poprawią dobrostan dziecka, a nie przeznaczą je na wydanie na świat nowego potomka.</w:t>
      </w:r>
    </w:p>
    <w:p w:rsidR="006D6AB8" w:rsidRDefault="00E22295" w:rsidP="00D66922">
      <w:pPr>
        <w:spacing w:after="0" w:line="360" w:lineRule="auto"/>
        <w:jc w:val="both"/>
        <w:rPr>
          <w:rFonts w:ascii="Times New Roman" w:eastAsia="Times New Roman" w:hAnsi="Times New Roman" w:cs="Times New Roman"/>
          <w:color w:val="000000"/>
          <w:sz w:val="24"/>
          <w:szCs w:val="24"/>
          <w:lang w:eastAsia="pl-PL"/>
        </w:rPr>
      </w:pPr>
      <w:r w:rsidRPr="00E22295">
        <w:rPr>
          <w:rFonts w:ascii="Times New Roman" w:eastAsia="Times New Roman" w:hAnsi="Times New Roman" w:cs="Times New Roman"/>
          <w:color w:val="000000"/>
          <w:sz w:val="24"/>
          <w:szCs w:val="24"/>
          <w:lang w:eastAsia="pl-PL"/>
        </w:rPr>
        <w:tab/>
      </w:r>
    </w:p>
    <w:p w:rsidR="00E22295" w:rsidRPr="00E22295" w:rsidRDefault="00E22295" w:rsidP="00D66922">
      <w:pPr>
        <w:spacing w:after="0" w:line="360" w:lineRule="auto"/>
        <w:jc w:val="both"/>
        <w:rPr>
          <w:rFonts w:ascii="Times New Roman" w:eastAsia="Times New Roman" w:hAnsi="Times New Roman" w:cs="Times New Roman"/>
          <w:color w:val="000000"/>
          <w:sz w:val="24"/>
          <w:szCs w:val="24"/>
          <w:u w:val="single"/>
          <w:lang w:eastAsia="pl-PL"/>
        </w:rPr>
      </w:pPr>
      <w:r w:rsidRPr="00E22295">
        <w:rPr>
          <w:rFonts w:ascii="Times New Roman" w:eastAsia="Times New Roman" w:hAnsi="Times New Roman" w:cs="Times New Roman"/>
          <w:color w:val="000000"/>
          <w:sz w:val="24"/>
          <w:szCs w:val="24"/>
          <w:u w:val="single"/>
          <w:lang w:eastAsia="pl-PL"/>
        </w:rPr>
        <w:t>H3: Wzrost cen mieszkań na rynku ujemnie koreluje ze współczynnikiem urodzeń.</w:t>
      </w:r>
    </w:p>
    <w:p w:rsidR="00957E3B" w:rsidRDefault="00E22295" w:rsidP="00D6692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57E3B">
        <w:rPr>
          <w:rFonts w:ascii="Times New Roman" w:eastAsiaTheme="minorEastAsia" w:hAnsi="Times New Roman" w:cs="Times New Roman"/>
          <w:sz w:val="24"/>
          <w:szCs w:val="24"/>
        </w:rPr>
        <w:t xml:space="preserve">Hipoteza ta została odrzucona, ponieważ z modelu wynika, że wzrost mediany cen </w:t>
      </w:r>
      <w:r w:rsidR="00D66922">
        <w:rPr>
          <w:rFonts w:ascii="Times New Roman" w:eastAsiaTheme="minorEastAsia" w:hAnsi="Times New Roman" w:cs="Times New Roman"/>
          <w:sz w:val="24"/>
          <w:szCs w:val="24"/>
        </w:rPr>
        <w:t>za </w:t>
      </w:r>
      <w:r w:rsidR="00957E3B">
        <w:rPr>
          <w:rFonts w:ascii="Times New Roman" w:eastAsiaTheme="minorEastAsia" w:hAnsi="Times New Roman" w:cs="Times New Roman"/>
          <w:sz w:val="24"/>
          <w:szCs w:val="24"/>
        </w:rPr>
        <w:t>metr kwadratowy lokalu mieszkaniowego o 1% spowoduje wzrost współczynnika urodzeń o 4.37%. Taką zależność zasygnalizował</w:t>
      </w:r>
      <w:r w:rsidR="000573D5">
        <w:rPr>
          <w:rFonts w:ascii="Times New Roman" w:eastAsiaTheme="minorEastAsia" w:hAnsi="Times New Roman" w:cs="Times New Roman"/>
          <w:sz w:val="24"/>
          <w:szCs w:val="24"/>
        </w:rPr>
        <w:t xml:space="preserve">o kilkoro </w:t>
      </w:r>
      <w:r w:rsidR="00957E3B">
        <w:rPr>
          <w:rFonts w:ascii="Times New Roman" w:eastAsiaTheme="minorEastAsia" w:hAnsi="Times New Roman" w:cs="Times New Roman"/>
          <w:sz w:val="24"/>
          <w:szCs w:val="24"/>
        </w:rPr>
        <w:t>badaczy</w:t>
      </w:r>
      <w:r w:rsidR="000573D5">
        <w:rPr>
          <w:rFonts w:ascii="Times New Roman" w:eastAsiaTheme="minorEastAsia" w:hAnsi="Times New Roman" w:cs="Times New Roman"/>
          <w:sz w:val="24"/>
          <w:szCs w:val="24"/>
        </w:rPr>
        <w:t>, na przykład Dettling i Kearney (2014), które wykazały, że wzrost cen domów o 10 000 dolarów przełoży się na wzrost urodzeń o 0.8%. Wskazują również, że zwiększenie narodzin dzieci zauważamy w przypadku właścicieli domów (w przeciwieństwie do spadku rozrodczości wśród osób nieposiadających nieruchomości). Jeśli przyjęlibyśmy założenie o braku różnic między rynkiem mieszkaniowym w Stanach Zjednoczonych a w Polsce, to można wnioskować, że Polacy są w większości właścicielami domów, w których mieszkają.</w:t>
      </w:r>
    </w:p>
    <w:p w:rsidR="00D66922" w:rsidRDefault="00D66922" w:rsidP="00D66922">
      <w:pPr>
        <w:spacing w:line="360" w:lineRule="auto"/>
        <w:jc w:val="both"/>
        <w:rPr>
          <w:rFonts w:ascii="Times New Roman" w:eastAsiaTheme="minorEastAsia" w:hAnsi="Times New Roman" w:cs="Times New Roman"/>
          <w:sz w:val="24"/>
          <w:szCs w:val="24"/>
        </w:rPr>
      </w:pPr>
    </w:p>
    <w:p w:rsidR="002630FD" w:rsidRPr="000927C7" w:rsidRDefault="002630FD" w:rsidP="00347A7C">
      <w:pPr>
        <w:rPr>
          <w:rFonts w:ascii="Times New Roman" w:eastAsiaTheme="minorEastAsia" w:hAnsi="Times New Roman" w:cs="Times New Roman"/>
          <w:b/>
          <w:sz w:val="24"/>
          <w:szCs w:val="24"/>
        </w:rPr>
      </w:pPr>
      <w:r w:rsidRPr="000927C7">
        <w:rPr>
          <w:rFonts w:ascii="Times New Roman" w:eastAsiaTheme="minorEastAsia" w:hAnsi="Times New Roman" w:cs="Times New Roman"/>
          <w:b/>
          <w:sz w:val="24"/>
          <w:szCs w:val="24"/>
        </w:rPr>
        <w:t>ZAKOŃCZENIE</w:t>
      </w:r>
    </w:p>
    <w:p w:rsidR="000573D5" w:rsidRPr="000927C7" w:rsidRDefault="00D87EFF" w:rsidP="00D66922">
      <w:pPr>
        <w:spacing w:after="0"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Model opracowany w powyższej pracy potwierdził część hipotez. Okazuje się, ż</w:t>
      </w:r>
      <w:r w:rsidR="00D66922">
        <w:rPr>
          <w:rFonts w:ascii="Times New Roman" w:eastAsiaTheme="minorEastAsia" w:hAnsi="Times New Roman" w:cs="Times New Roman"/>
          <w:sz w:val="24"/>
          <w:szCs w:val="24"/>
        </w:rPr>
        <w:t>e </w:t>
      </w:r>
      <w:r w:rsidRPr="000927C7">
        <w:rPr>
          <w:rFonts w:ascii="Times New Roman" w:eastAsiaTheme="minorEastAsia" w:hAnsi="Times New Roman" w:cs="Times New Roman"/>
          <w:sz w:val="24"/>
          <w:szCs w:val="24"/>
        </w:rPr>
        <w:t xml:space="preserve">większość wyników nie odbiega znacznie od tych przedstawionych w literaturze. Jednak należy ostrożnie wnioskować z oszacowań parametrów modelu, gdyż z powodu braku danych na poziomie powiatów wiele zmiennych mających wpływ na współczynnik urodzeń (potencjalnie istotnych) nie zostało uwzględnionych, co mogło doprowadzić do obciążenia szacunków. </w:t>
      </w:r>
    </w:p>
    <w:p w:rsidR="00D87EFF" w:rsidRDefault="00D87EFF" w:rsidP="000927C7">
      <w:pPr>
        <w:spacing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 xml:space="preserve">Problem niskiego współczynnika urodzeń jest istotny i powinien być dogłębnie opracowany, ponieważ skutki starzenia się społeczeństwa będziemy odczuwać coraz bardziej. </w:t>
      </w:r>
      <w:r w:rsidR="000927C7" w:rsidRPr="000927C7">
        <w:rPr>
          <w:rFonts w:ascii="Times New Roman" w:eastAsiaTheme="minorEastAsia" w:hAnsi="Times New Roman" w:cs="Times New Roman"/>
          <w:sz w:val="24"/>
          <w:szCs w:val="24"/>
        </w:rPr>
        <w:t>Zbadanie wpływu pandemii na wskaźnik może pomóc stworzyć nowe programy, które będą pomagały podjąć decyzję o urodzeniu dziecka – na przykład tworzeniu nowych miejsc opieki dziennej, aby rodzice mogli łączyć wychowywanie dziecka z pracą.</w:t>
      </w: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757927" w:rsidRDefault="00C05910" w:rsidP="00571AA7">
      <w:pPr>
        <w:spacing w:after="0" w:line="360" w:lineRule="auto"/>
        <w:jc w:val="both"/>
        <w:rPr>
          <w:rFonts w:ascii="Times New Roman" w:eastAsia="Times New Roman" w:hAnsi="Times New Roman" w:cs="Times New Roman"/>
          <w:b/>
          <w:caps/>
          <w:sz w:val="24"/>
          <w:szCs w:val="24"/>
          <w:lang w:eastAsia="pl-PL"/>
        </w:rPr>
      </w:pPr>
      <w:r w:rsidRPr="00C05910">
        <w:rPr>
          <w:rFonts w:ascii="Times New Roman" w:eastAsia="Times New Roman" w:hAnsi="Times New Roman" w:cs="Times New Roman"/>
          <w:b/>
          <w:caps/>
          <w:sz w:val="24"/>
          <w:szCs w:val="24"/>
          <w:lang w:eastAsia="pl-PL"/>
        </w:rPr>
        <w:t>BIBLIOGRAFIA</w:t>
      </w: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Arcuri, L. (2019</w:t>
      </w:r>
      <w:r w:rsidRPr="00C05910">
        <w:rPr>
          <w:rFonts w:ascii="Times New Roman" w:eastAsia="Times New Roman" w:hAnsi="Times New Roman" w:cs="Times New Roman"/>
          <w:sz w:val="24"/>
          <w:szCs w:val="24"/>
          <w:lang w:eastAsia="pl-PL"/>
        </w:rPr>
        <w:t xml:space="preserve">). 4 Contributing Factors to Declining Fertility Rates. Empowered Women’s Health. Retrieved January 16, 2022, from </w:t>
      </w:r>
      <w:hyperlink r:id="rId24" w:history="1">
        <w:r w:rsidRPr="00845CD7">
          <w:rPr>
            <w:rStyle w:val="Hipercze"/>
            <w:rFonts w:ascii="Times New Roman" w:eastAsia="Times New Roman" w:hAnsi="Times New Roman" w:cs="Times New Roman"/>
            <w:sz w:val="24"/>
            <w:szCs w:val="24"/>
            <w:lang w:eastAsia="pl-PL"/>
          </w:rPr>
          <w:t>https://www.volusonclub.net/empowered-womens-health/4-contributing-factors-to-declining-fertility-rates-a-global-overview/</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Becker, G. S. (1960). An Economic Analysis of Fertility. National Bureau of Economic Research, 209–240. </w:t>
      </w:r>
      <w:hyperlink r:id="rId25" w:history="1">
        <w:r w:rsidRPr="00845CD7">
          <w:rPr>
            <w:rStyle w:val="Hipercze"/>
            <w:rFonts w:ascii="Times New Roman" w:eastAsia="Times New Roman" w:hAnsi="Times New Roman" w:cs="Times New Roman"/>
            <w:sz w:val="24"/>
            <w:szCs w:val="24"/>
            <w:lang w:eastAsia="pl-PL"/>
          </w:rPr>
          <w:t>https://www.nber.org/system/files/chapters/c2387/c2387.pdf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Birth rate, crude (per 1,000 people). (1960–2000). [</w:t>
      </w:r>
      <w:r>
        <w:rPr>
          <w:rFonts w:ascii="Times New Roman" w:eastAsia="Times New Roman" w:hAnsi="Times New Roman" w:cs="Times New Roman"/>
          <w:sz w:val="24"/>
          <w:szCs w:val="24"/>
          <w:lang w:eastAsia="pl-PL"/>
        </w:rPr>
        <w:t>Baza danych</w:t>
      </w:r>
      <w:r w:rsidRPr="00C05910">
        <w:rPr>
          <w:rFonts w:ascii="Times New Roman" w:eastAsia="Times New Roman" w:hAnsi="Times New Roman" w:cs="Times New Roman"/>
          <w:sz w:val="24"/>
          <w:szCs w:val="24"/>
          <w:lang w:eastAsia="pl-PL"/>
        </w:rPr>
        <w:t xml:space="preserve">]. World Bank. </w:t>
      </w:r>
      <w:hyperlink r:id="rId26" w:history="1">
        <w:r w:rsidRPr="00845CD7">
          <w:rPr>
            <w:rStyle w:val="Hipercze"/>
            <w:rFonts w:ascii="Times New Roman" w:eastAsia="Times New Roman" w:hAnsi="Times New Roman" w:cs="Times New Roman"/>
            <w:sz w:val="24"/>
            <w:szCs w:val="24"/>
            <w:lang w:eastAsia="pl-PL"/>
          </w:rPr>
          <w:t>https://data.worldbank.org/indicator/SP.DYN.CBRT.IN</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Black, D. A., Kolesnikova, N., Sanders, S. G., &amp; Taylor, L. J. (2013). Are Children “Normal”? Review of Economics and Statistics, 95(1), 21–33. </w:t>
      </w:r>
      <w:hyperlink r:id="rId27" w:history="1">
        <w:r w:rsidRPr="00845CD7">
          <w:rPr>
            <w:rStyle w:val="Hipercze"/>
            <w:rFonts w:ascii="Times New Roman" w:eastAsia="Times New Roman" w:hAnsi="Times New Roman" w:cs="Times New Roman"/>
            <w:sz w:val="24"/>
            <w:szCs w:val="24"/>
            <w:lang w:eastAsia="pl-PL"/>
          </w:rPr>
          <w:t>https://doi.org/10.1162/rest_a_00257</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Chromińska, M. (1998). Czynnik ekonomiczny we współczesnych koncepcjach ludnościowych. Ruch Prawniczy, Ekonomiczny i Socjologiczny, 3, 361–372. </w:t>
      </w:r>
      <w:hyperlink r:id="rId28" w:history="1">
        <w:r w:rsidRPr="00845CD7">
          <w:rPr>
            <w:rStyle w:val="Hipercze"/>
            <w:rFonts w:ascii="Times New Roman" w:eastAsia="Times New Roman" w:hAnsi="Times New Roman" w:cs="Times New Roman"/>
            <w:sz w:val="24"/>
            <w:szCs w:val="24"/>
            <w:lang w:eastAsia="pl-PL"/>
          </w:rPr>
          <w:t>https://repozytorium.amu.edu.pl/bitstream/10593/5490/1/24_Maria_Chrominska_Czynnik%20ekonomiczny%20we%20wsp%C3%B3%C5%82czesnych%20koncepcjach_361-372.pdf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Currie, J., &amp; Schwandt, H. (2014). Short- and long-term effects of unemployment on fertility. Proceedings of the National Academy of Sciences, 111(41), 14734–14739. </w:t>
      </w:r>
      <w:hyperlink r:id="rId29" w:history="1">
        <w:r w:rsidRPr="00845CD7">
          <w:rPr>
            <w:rStyle w:val="Hipercze"/>
            <w:rFonts w:ascii="Times New Roman" w:eastAsia="Times New Roman" w:hAnsi="Times New Roman" w:cs="Times New Roman"/>
            <w:sz w:val="24"/>
            <w:szCs w:val="24"/>
            <w:lang w:eastAsia="pl-PL"/>
          </w:rPr>
          <w:t>https://doi.org/10.1073/pnas.1408975111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Dettling, L. J., &amp; Kearney, M. S. (2014). House prices and birth rates: The impact of the real estate market on the decision to have a baby. Journal of Public Economics, 110, 82–100. </w:t>
      </w:r>
      <w:hyperlink r:id="rId30" w:history="1">
        <w:r w:rsidRPr="00845CD7">
          <w:rPr>
            <w:rStyle w:val="Hipercze"/>
            <w:rFonts w:ascii="Times New Roman" w:eastAsia="Times New Roman" w:hAnsi="Times New Roman" w:cs="Times New Roman"/>
            <w:sz w:val="24"/>
            <w:szCs w:val="24"/>
            <w:lang w:eastAsia="pl-PL"/>
          </w:rPr>
          <w:t>https://doi.org/10.1016/j.jpubeco.2013.09.009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Ermisch, J. (1988). Economic influences on birth rates. National Institute Economic Review, 126(1), 71–92. https://doi.org/10.1177/002795018812600108</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Hrynkiewicz, J., Witkowski, J., &amp; Potrykowska, A. (2018). Sytuacja demograficzna Polski jako wyzwanie dla polityki społecznej i gospodarczej. Rządowa Rada Ludnościowa.</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Kalwij, A. (2010). The impact of family policy expenditure on fertility in western Europe. Demography, 47(2), 503–519. </w:t>
      </w:r>
      <w:hyperlink r:id="rId31" w:history="1">
        <w:r w:rsidRPr="00845CD7">
          <w:rPr>
            <w:rStyle w:val="Hipercze"/>
            <w:rFonts w:ascii="Times New Roman" w:eastAsia="Times New Roman" w:hAnsi="Times New Roman" w:cs="Times New Roman"/>
            <w:sz w:val="24"/>
            <w:szCs w:val="24"/>
            <w:lang w:eastAsia="pl-PL"/>
          </w:rPr>
          <w:t>https://doi.org/10.1353/dem.0.0104</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Kearney, M. S., &amp; Wilson, R. (2018). Male Earnings, Marriageable Men, and Nonmarital Fertility: Evidence from the Fracking Boom. The Review of Economics and Statistics, 100(4), 678–690. </w:t>
      </w:r>
      <w:hyperlink r:id="rId32" w:history="1">
        <w:r w:rsidRPr="00845CD7">
          <w:rPr>
            <w:rStyle w:val="Hipercze"/>
            <w:rFonts w:ascii="Times New Roman" w:eastAsia="Times New Roman" w:hAnsi="Times New Roman" w:cs="Times New Roman"/>
            <w:sz w:val="24"/>
            <w:szCs w:val="24"/>
            <w:lang w:eastAsia="pl-PL"/>
          </w:rPr>
          <w:t>https://doi.org/10.1162/rest_a_00739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Lindberg, L. D., VandeVusse, A., Mu</w:t>
      </w:r>
      <w:r>
        <w:rPr>
          <w:rFonts w:ascii="Times New Roman" w:eastAsia="Times New Roman" w:hAnsi="Times New Roman" w:cs="Times New Roman"/>
          <w:sz w:val="24"/>
          <w:szCs w:val="24"/>
          <w:lang w:eastAsia="pl-PL"/>
        </w:rPr>
        <w:t>eller, J., &amp; Kirstein, M. (2020</w:t>
      </w:r>
      <w:r w:rsidRPr="00C05910">
        <w:rPr>
          <w:rFonts w:ascii="Times New Roman" w:eastAsia="Times New Roman" w:hAnsi="Times New Roman" w:cs="Times New Roman"/>
          <w:sz w:val="24"/>
          <w:szCs w:val="24"/>
          <w:lang w:eastAsia="pl-PL"/>
        </w:rPr>
        <w:t xml:space="preserve">). Early Impacts of the COVID-19 Pandemic: Findings from the 2020 Guttmacher Survey of Reproductive Health Experiences. Guttmacher Institute. Retrieved January 18, 2022, from </w:t>
      </w:r>
      <w:hyperlink r:id="rId33" w:history="1">
        <w:r w:rsidRPr="00845CD7">
          <w:rPr>
            <w:rStyle w:val="Hipercze"/>
            <w:rFonts w:ascii="Times New Roman" w:eastAsia="Times New Roman" w:hAnsi="Times New Roman" w:cs="Times New Roman"/>
            <w:sz w:val="24"/>
            <w:szCs w:val="24"/>
            <w:lang w:eastAsia="pl-PL"/>
          </w:rPr>
          <w:t>https://www.guttmacher.org/report/early-impacts-covid-19-pandemic-findings-2020-guttmacher-survey-reproductive-health</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Lindo, J. M. (2010). Are Children Really Inferior Goods? Journal of Human Resources, 45(2), 301–327. </w:t>
      </w:r>
      <w:hyperlink r:id="rId34" w:history="1">
        <w:r w:rsidRPr="00845CD7">
          <w:rPr>
            <w:rStyle w:val="Hipercze"/>
            <w:rFonts w:ascii="Times New Roman" w:eastAsia="Times New Roman" w:hAnsi="Times New Roman" w:cs="Times New Roman"/>
            <w:sz w:val="24"/>
            <w:szCs w:val="24"/>
            <w:lang w:eastAsia="pl-PL"/>
          </w:rPr>
          <w:t>https://doi.org/10.3368/jhr.45.2.301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Lovenheim, M. F., &amp; Mumford, K. J. (2013). Do Family Wealth Shocks Affect Fertility Choices? Evidence from the Housing Market. Review of Economics and Statistics, 95(2</w:t>
      </w:r>
      <w:r>
        <w:rPr>
          <w:rFonts w:ascii="Times New Roman" w:eastAsia="Times New Roman" w:hAnsi="Times New Roman" w:cs="Times New Roman"/>
          <w:sz w:val="24"/>
          <w:szCs w:val="24"/>
          <w:lang w:eastAsia="pl-PL"/>
        </w:rPr>
        <w:t>h</w:t>
      </w:r>
      <w:r w:rsidRPr="00C05910">
        <w:rPr>
          <w:rFonts w:ascii="Times New Roman" w:eastAsia="Times New Roman" w:hAnsi="Times New Roman" w:cs="Times New Roman"/>
          <w:sz w:val="24"/>
          <w:szCs w:val="24"/>
          <w:lang w:eastAsia="pl-PL"/>
        </w:rPr>
        <w:t xml:space="preserve">), 464–475. </w:t>
      </w:r>
      <w:hyperlink r:id="rId35" w:history="1">
        <w:r w:rsidRPr="00845CD7">
          <w:rPr>
            <w:rStyle w:val="Hipercze"/>
            <w:rFonts w:ascii="Times New Roman" w:eastAsia="Times New Roman" w:hAnsi="Times New Roman" w:cs="Times New Roman"/>
            <w:sz w:val="24"/>
            <w:szCs w:val="24"/>
            <w:lang w:eastAsia="pl-PL"/>
          </w:rPr>
          <w:t>https://doi.org/10.1162/rest_a_00266</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Ministerstwo Zdrowia. (2020). Raport zakażeń koronawirusem (SARS-CoV-2)</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6" w:history="1">
        <w:r w:rsidRPr="00845CD7">
          <w:rPr>
            <w:rStyle w:val="Hipercze"/>
            <w:rFonts w:ascii="Times New Roman" w:eastAsia="Times New Roman" w:hAnsi="Times New Roman" w:cs="Times New Roman"/>
            <w:sz w:val="24"/>
            <w:szCs w:val="24"/>
            <w:lang w:eastAsia="pl-PL"/>
          </w:rPr>
          <w:t>https://www.gov.pl/web/koronawirus/wykaz-zarazen-koronawirusem-sars-cov-2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Mycielski, J. (2010). Ekonometria. Wydział Nauk Ekonomicznych, Uniwersytet Warszawski.</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Rogalski, M. (2020). COVID-19 w powiatach</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7" w:history="1">
        <w:r w:rsidRPr="00845CD7">
          <w:rPr>
            <w:rStyle w:val="Hipercze"/>
            <w:rFonts w:ascii="Times New Roman" w:eastAsia="Times New Roman" w:hAnsi="Times New Roman" w:cs="Times New Roman"/>
            <w:sz w:val="24"/>
            <w:szCs w:val="24"/>
            <w:lang w:eastAsia="pl-PL"/>
          </w:rPr>
          <w:t>https://docs.google.com/spreadsheets/d/1Tv6jKMUYdK6ws6SxxAsHVxZbglZfisC8x_HZ1jacmBM/edit#gid=42091932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Udry, J. R. (1970). The effect of the Great Blackout of 1965 on births in New York City. Demography, 7(3), 325–327. </w:t>
      </w:r>
      <w:hyperlink r:id="rId38" w:history="1">
        <w:r w:rsidRPr="00845CD7">
          <w:rPr>
            <w:rStyle w:val="Hipercze"/>
            <w:rFonts w:ascii="Times New Roman" w:eastAsia="Times New Roman" w:hAnsi="Times New Roman" w:cs="Times New Roman"/>
            <w:sz w:val="24"/>
            <w:szCs w:val="24"/>
            <w:lang w:eastAsia="pl-PL"/>
          </w:rPr>
          <w:t>https://doi.org/10.2307/2060151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Vandenbroucke, G. (2016, December 13). The Link between Fertility and Income. Federal Reserve Bank of St. Louis. Retrieved January 15, 2022, from https://www.stlouisfed.org/on-the-economy/2016/december/link-fertility-income</w:t>
      </w: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E01D81" w:rsidRDefault="00E01D81" w:rsidP="00757927">
      <w:pPr>
        <w:spacing w:after="0" w:line="360" w:lineRule="auto"/>
        <w:jc w:val="both"/>
        <w:rPr>
          <w:rFonts w:ascii="Times New Roman" w:eastAsia="Times New Roman" w:hAnsi="Times New Roman" w:cs="Times New Roman"/>
          <w:b/>
          <w:sz w:val="24"/>
          <w:szCs w:val="24"/>
          <w:lang w:eastAsia="pl-PL"/>
        </w:rPr>
      </w:pPr>
      <w:r w:rsidRPr="00E01D81">
        <w:rPr>
          <w:rFonts w:ascii="Times New Roman" w:eastAsia="Times New Roman" w:hAnsi="Times New Roman" w:cs="Times New Roman"/>
          <w:b/>
          <w:caps/>
          <w:sz w:val="24"/>
          <w:szCs w:val="24"/>
          <w:lang w:eastAsia="pl-PL"/>
        </w:rPr>
        <w:t>ZAŁĄCZNIKI</w:t>
      </w:r>
    </w:p>
    <w:p w:rsidR="00757927" w:rsidRPr="00757927" w:rsidRDefault="00757927" w:rsidP="0075792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1</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Podstawowe statystyki zmie</w:t>
      </w:r>
      <w:r w:rsidR="006554E2">
        <w:rPr>
          <w:rFonts w:ascii="Times New Roman" w:eastAsia="Times New Roman" w:hAnsi="Times New Roman" w:cs="Times New Roman"/>
          <w:b/>
          <w:sz w:val="24"/>
          <w:szCs w:val="24"/>
          <w:lang w:eastAsia="pl-PL"/>
        </w:rPr>
        <w:t>nnych ostatecznej wersji modelu</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Statistic              N    Mean    St. Dev.     Min    Pctl(25)  Pctl(75)     Max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ln_birth_rate         380   2.169     0.149     1.732     2.067     2.254     2.736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covid19_deaths        380  23.379    27.376       0        2.8       34        243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marriage_rate         380   3.661     0.432     2.600     3.300     4.000     5.100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divorce_rate          380   0.133     0.212     0.017     0.061     0.142     3.267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ln_unemployment_rate  380   1.984     0.490     0.531     1.668     2.354     3.165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women_reproductive    380   0.449     0.019     0.381     0.437     0.461     0.501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ln_median_house_price 380   8.187     0.319     7.184     7.978     8.375     9.391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social_expenditure    380  360.896   180.647   133.097   237.094   434.694  1,162.852</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family_expenditure    380 1,819.767  669.389  1,173.412 1,436.539 1,723.992 3,877.993</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children              380 5,005.884 6,918.297    779     2,410.2   5,296.8   105,383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doctors               380  37.059    32.608     1.000    17.150    45.100    199.400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bus_stops             380  437.532   356.981     82       235.5     540.2     4,342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sectPr w:rsidR="00757927" w:rsidRPr="00757927" w:rsidSect="001E16E8">
          <w:footerReference w:type="default" r:id="rId39"/>
          <w:pgSz w:w="11906" w:h="16838"/>
          <w:pgMar w:top="1418" w:right="1418" w:bottom="1418" w:left="1418" w:header="709" w:footer="709" w:gutter="0"/>
          <w:cols w:space="708"/>
          <w:docGrid w:linePitch="360"/>
        </w:sectPr>
      </w:pPr>
      <w:r w:rsidRPr="00757927">
        <w:rPr>
          <w:rFonts w:ascii="Courier New" w:eastAsia="Times New Roman" w:hAnsi="Courier New" w:cs="Courier New"/>
          <w:caps/>
          <w:sz w:val="16"/>
          <w:szCs w:val="24"/>
          <w:lang w:eastAsia="pl-PL"/>
        </w:rPr>
        <w:t>-------------------------------------------------------------------------------------</w:t>
      </w:r>
    </w:p>
    <w:p w:rsidR="00C14939" w:rsidRPr="00571AA7" w:rsidRDefault="00571AA7" w:rsidP="00571AA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2</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t>
      </w:r>
      <w:r w:rsidR="00C14939">
        <w:rPr>
          <w:rFonts w:ascii="Times New Roman" w:eastAsia="Times New Roman" w:hAnsi="Times New Roman" w:cs="Times New Roman"/>
          <w:b/>
          <w:sz w:val="24"/>
          <w:szCs w:val="24"/>
          <w:lang w:eastAsia="pl-PL"/>
        </w:rPr>
        <w:t>wersji modelu nr 1 (wersja wstępna)</w:t>
      </w:r>
    </w:p>
    <w:p w:rsidR="00571AA7" w:rsidRDefault="00571AA7" w:rsidP="00C823BD">
      <w:pPr>
        <w:spacing w:after="0"/>
        <w:rPr>
          <w:rFonts w:ascii="Courier New" w:eastAsiaTheme="minorEastAsia" w:hAnsi="Courier New" w:cs="Courier New"/>
          <w:sz w:val="14"/>
          <w:szCs w:val="14"/>
          <w:lang w:val="en-GB"/>
        </w:rPr>
        <w:sectPr w:rsidR="00571AA7" w:rsidSect="00571AA7">
          <w:pgSz w:w="16838" w:h="11906" w:orient="landscape"/>
          <w:pgMar w:top="1418" w:right="1418" w:bottom="1418" w:left="1418" w:header="709" w:footer="709" w:gutter="0"/>
          <w:cols w:space="708"/>
          <w:docGrid w:linePitch="360"/>
        </w:sectPr>
      </w:pP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Dependent variable: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ln_birth_rate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covid19_cases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covid19_deaths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covid19_quarantine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marriage_rate                  0.091***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(0.011)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divorce_rate                   -0.410***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(0.093)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budget_reve_pc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unemployment_rate              -0.004***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women_reproductive             3.046***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(0.407)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femininity_ratio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avg_salary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women_working                   -0.076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(0.139)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men_working                     0.196*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median_house_price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house_ratio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houses_area_pc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avg_people_per_house            -0.014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(0.027)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education_expenditure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health_expenditure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social_expenditure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(0.00005)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family_expenditure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children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nursery_places                -0.00003**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doctors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urbanisation_rate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bus_stops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Constant                        0.701**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(0.351)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Observations                      380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R2                               0.767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Adjusted R2                      0.751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Residual Std. Error              0.074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F Statistic                    46.634***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sectPr w:rsidR="00C823BD" w:rsidRPr="00C823BD" w:rsidSect="00571AA7">
          <w:type w:val="continuous"/>
          <w:pgSz w:w="16838" w:h="11906" w:orient="landscape"/>
          <w:pgMar w:top="1418" w:right="1418" w:bottom="1418" w:left="1418" w:header="709" w:footer="709" w:gutter="0"/>
          <w:cols w:num="2" w:space="708"/>
          <w:docGrid w:linePitch="360"/>
        </w:sectPr>
      </w:pPr>
      <w:r w:rsidRPr="00C823BD">
        <w:rPr>
          <w:rFonts w:ascii="Courier New" w:eastAsiaTheme="minorEastAsia" w:hAnsi="Courier New" w:cs="Courier New"/>
          <w:sz w:val="14"/>
          <w:szCs w:val="14"/>
          <w:lang w:val="en-GB"/>
        </w:rPr>
        <w:t>Note:                 *p&lt;0.1; **p&lt;0.05; ***p&lt;0.01</w:t>
      </w:r>
    </w:p>
    <w:p w:rsidR="00571AA7" w:rsidRPr="00571AA7" w:rsidRDefault="00571AA7" w:rsidP="00571AA7">
      <w:pPr>
        <w:spacing w:after="0" w:line="360" w:lineRule="auto"/>
        <w:jc w:val="both"/>
        <w:rPr>
          <w:rFonts w:ascii="Times New Roman" w:eastAsia="Times New Roman" w:hAnsi="Times New Roman" w:cs="Times New Roman"/>
          <w:b/>
          <w:sz w:val="24"/>
          <w:szCs w:val="24"/>
          <w:lang w:eastAsia="pl-PL"/>
        </w:rPr>
        <w:sectPr w:rsidR="00571AA7" w:rsidRPr="00571AA7" w:rsidSect="00571AA7">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Załącznik 3</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Rezultaty regresji</w:t>
      </w:r>
      <w:r w:rsidR="00BC3EB0">
        <w:rPr>
          <w:rFonts w:ascii="Times New Roman" w:eastAsia="Times New Roman" w:hAnsi="Times New Roman" w:cs="Times New Roman"/>
          <w:b/>
          <w:sz w:val="24"/>
          <w:szCs w:val="24"/>
          <w:lang w:eastAsia="pl-PL"/>
        </w:rPr>
        <w:t xml:space="preserve"> liniowej dla wersji przejściowej modelu</w:t>
      </w:r>
      <w:r>
        <w:rPr>
          <w:rFonts w:ascii="Times New Roman" w:eastAsia="Times New Roman" w:hAnsi="Times New Roman" w:cs="Times New Roman"/>
          <w:b/>
          <w:sz w:val="24"/>
          <w:szCs w:val="24"/>
          <w:lang w:eastAsia="pl-PL"/>
        </w:rPr>
        <w:t xml:space="preserve"> (</w:t>
      </w:r>
      <w:r w:rsidR="00BC3EB0">
        <w:rPr>
          <w:rFonts w:ascii="Times New Roman" w:eastAsia="Times New Roman" w:hAnsi="Times New Roman" w:cs="Times New Roman"/>
          <w:b/>
          <w:sz w:val="24"/>
          <w:szCs w:val="24"/>
          <w:lang w:eastAsia="pl-PL"/>
        </w:rPr>
        <w:t>dodanie potęg i interakcji</w:t>
      </w:r>
      <w:r>
        <w:rPr>
          <w:rFonts w:ascii="Times New Roman" w:eastAsia="Times New Roman" w:hAnsi="Times New Roman" w:cs="Times New Roman"/>
          <w:b/>
          <w:sz w:val="24"/>
          <w:szCs w:val="24"/>
          <w:lang w:eastAsia="pl-PL"/>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Dependent variable: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ln_birth_rate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covid19_cases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covid19_deaths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covid19_quarantine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marriage_rate                           0.083***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divorce_rate                            -0.426***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(0.096)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budget_reve_pc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unemployment_rate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women_reproductive                      2.642***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femininity_ratio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avg_salary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women_working                            -0.076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(0.138)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men_working                              0.201**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median_house_price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house_ratio                               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houses_area_pc                           -0.014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houses_area_pc_2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avg_people_per_house                     -0.008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(0.027)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education_expenditure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health_expenditure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social_expenditure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family_expenditure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children                               0.00003***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nursery_places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doctors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urbanisation_rate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bus_stops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nurseryxchildren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education_expenditurexchildren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Constant                                1.182***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Observations                               380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R2                                        0.772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Adjusted R2                               0.754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Residual Std. Error                       0.074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F Statistic                             42.487***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C14939" w:rsidRDefault="00571AA7" w:rsidP="00571AA7">
      <w:pPr>
        <w:spacing w:after="0"/>
        <w:rPr>
          <w:rFonts w:ascii="Courier New" w:eastAsiaTheme="minorEastAsia" w:hAnsi="Courier New" w:cs="Courier New"/>
          <w:sz w:val="14"/>
          <w:szCs w:val="14"/>
          <w:lang w:val="en-GB"/>
        </w:rPr>
        <w:sectPr w:rsidR="00C14939" w:rsidSect="00C14939">
          <w:type w:val="continuous"/>
          <w:pgSz w:w="16838" w:h="11906" w:orient="landscape"/>
          <w:pgMar w:top="1418" w:right="1418" w:bottom="1418" w:left="1418" w:header="709" w:footer="709" w:gutter="0"/>
          <w:cols w:num="2" w:space="708"/>
          <w:docGrid w:linePitch="360"/>
        </w:sectPr>
      </w:pPr>
      <w:r w:rsidRPr="00571AA7">
        <w:rPr>
          <w:rFonts w:ascii="Courier New" w:eastAsiaTheme="minorEastAsia" w:hAnsi="Courier New" w:cs="Courier New"/>
          <w:sz w:val="14"/>
          <w:szCs w:val="14"/>
          <w:lang w:val="en-GB"/>
        </w:rPr>
        <w:t>Note:                          *p&lt;0.1; **p&lt;0.05; ***p&lt;0.01</w:t>
      </w:r>
    </w:p>
    <w:p w:rsidR="00C14939" w:rsidRPr="00571AA7" w:rsidRDefault="00C14939" w:rsidP="00C14939">
      <w:pPr>
        <w:spacing w:after="0" w:line="360" w:lineRule="auto"/>
        <w:jc w:val="both"/>
        <w:rPr>
          <w:rFonts w:ascii="Times New Roman" w:eastAsia="Times New Roman" w:hAnsi="Times New Roman" w:cs="Times New Roman"/>
          <w:b/>
          <w:sz w:val="24"/>
          <w:szCs w:val="24"/>
          <w:lang w:eastAsia="pl-PL"/>
        </w:rPr>
        <w:sectPr w:rsidR="00C14939" w:rsidRPr="00571AA7" w:rsidSect="00C14939">
          <w:type w:val="continuous"/>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w:t>
      </w:r>
      <w:r w:rsidR="00E01D81">
        <w:rPr>
          <w:rFonts w:ascii="Times New Roman" w:eastAsia="Times New Roman" w:hAnsi="Times New Roman" w:cs="Times New Roman"/>
          <w:b/>
          <w:sz w:val="24"/>
          <w:szCs w:val="24"/>
          <w:lang w:eastAsia="pl-PL"/>
        </w:rPr>
        <w:t>k 4</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wersji </w:t>
      </w:r>
      <w:r w:rsidR="00BC3EB0">
        <w:rPr>
          <w:rFonts w:ascii="Times New Roman" w:eastAsia="Times New Roman" w:hAnsi="Times New Roman" w:cs="Times New Roman"/>
          <w:b/>
          <w:sz w:val="24"/>
          <w:szCs w:val="24"/>
          <w:lang w:eastAsia="pl-PL"/>
        </w:rPr>
        <w:t>przejściowej modelu (zlogarytmowane zmienne) oraz finalnej</w:t>
      </w:r>
    </w:p>
    <w:p w:rsidR="00BC3EB0" w:rsidRDefault="00BC3EB0" w:rsidP="00BC3EB0">
      <w:pPr>
        <w:spacing w:after="0" w:line="240" w:lineRule="auto"/>
        <w:jc w:val="both"/>
        <w:rPr>
          <w:rFonts w:ascii="Courier New" w:eastAsiaTheme="minorEastAsia" w:hAnsi="Courier New" w:cs="Courier New"/>
          <w:sz w:val="12"/>
          <w:szCs w:val="14"/>
        </w:rPr>
      </w:pPr>
    </w:p>
    <w:p w:rsidR="006554E2" w:rsidRPr="00BC3EB0"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Dependent variable: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ln_birth_rate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wersja przejściowa         wersja finalna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(1)                       (2)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covid19_cases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covid19_deaths                        -0.001***                 -0.0004**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covid19_quarantine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marriage_rate                          0.082***                 0.093***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(0.012)                   (0.011)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divorce_rate                          -0.430***                 -0.436***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(0.095)                   (0.081)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budget_reve_pc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ln_unemployment_rate                   -0.032**                 -0.037***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(0.013)                   (0.010)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women_reproductive                     2.644***                 3.090***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(0.426)                   (0.284)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femininity_ratio                        -0.004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ln_avg_salary                          -0.092*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(0.049)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women_working                           -0.078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men_working                             0.182*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ln_median_house_price                  0.049***                 0.044***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(0.018)                   (0.016)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house_ratio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houses_area_pc                          -0.012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(0.015)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houses_area_pc_2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avg_people_per_house                    -0.008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(0.027)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education_expenditure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6554E2" w:rsidRDefault="006554E2" w:rsidP="00BC3EB0">
      <w:pPr>
        <w:spacing w:after="0" w:line="240" w:lineRule="auto"/>
        <w:jc w:val="both"/>
        <w:rPr>
          <w:rFonts w:ascii="Courier New" w:eastAsiaTheme="minorEastAsia" w:hAnsi="Courier New" w:cs="Courier New"/>
          <w:sz w:val="12"/>
          <w:szCs w:val="14"/>
        </w:rPr>
      </w:pPr>
    </w:p>
    <w:p w:rsidR="006554E2"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health_expenditure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social_expenditure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(0.00005)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family_expenditure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children                              0.00003***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nursery_places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doctors                                0.001***                 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(0.0003)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urbanisation_rate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bus_stops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nurseryxchildren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education_expenditurexchildren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Constant                               1.532**                    0.050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(0.618)                   (0.173)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Observations                             380                       380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R2                                      0.774                     0.758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Adjusted R2                             0.756                     0.750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Residual Std. Error                0.074 (df = 351)         0.075 (df = 368)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F Statistic                    42.901*** (df = 28; 351) 104.519*** (df = 11; 368)</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1700DB" w:rsidRPr="00BC3EB0" w:rsidRDefault="00BC3EB0" w:rsidP="00BC3EB0">
      <w:pPr>
        <w:spacing w:after="0" w:line="240" w:lineRule="auto"/>
        <w:jc w:val="both"/>
        <w:rPr>
          <w:rFonts w:ascii="Courier New" w:eastAsiaTheme="minorEastAsia" w:hAnsi="Courier New" w:cs="Courier New"/>
          <w:sz w:val="12"/>
          <w:szCs w:val="14"/>
        </w:rPr>
        <w:sectPr w:rsidR="001700DB" w:rsidRPr="00BC3EB0" w:rsidSect="00571AA7">
          <w:type w:val="continuous"/>
          <w:pgSz w:w="16838" w:h="11906" w:orient="landscape"/>
          <w:pgMar w:top="1418" w:right="1418" w:bottom="1418" w:left="1418" w:header="709" w:footer="709" w:gutter="0"/>
          <w:cols w:num="2" w:space="708"/>
          <w:docGrid w:linePitch="360"/>
        </w:sectPr>
      </w:pPr>
      <w:r w:rsidRPr="00BC3EB0">
        <w:rPr>
          <w:rFonts w:ascii="Courier New" w:eastAsiaTheme="minorEastAsia" w:hAnsi="Courier New" w:cs="Courier New"/>
          <w:sz w:val="12"/>
          <w:szCs w:val="14"/>
        </w:rPr>
        <w:t>Note:                                                 *p&lt;0.1; **p&lt;0.05; ***p&lt;0.01</w:t>
      </w:r>
    </w:p>
    <w:p w:rsidR="00BC7E1F" w:rsidRDefault="00E01D81" w:rsidP="00BC7E1F">
      <w:pPr>
        <w:spacing w:before="240"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5</w:t>
      </w:r>
      <w:r w:rsidR="00BC7E1F" w:rsidRPr="00571AA7">
        <w:rPr>
          <w:rFonts w:ascii="Times New Roman" w:eastAsia="Times New Roman" w:hAnsi="Times New Roman" w:cs="Times New Roman"/>
          <w:b/>
          <w:sz w:val="24"/>
          <w:szCs w:val="24"/>
          <w:lang w:eastAsia="pl-PL"/>
        </w:rPr>
        <w:t xml:space="preserve">. </w:t>
      </w:r>
      <w:r w:rsidR="00BC7E1F">
        <w:rPr>
          <w:rFonts w:ascii="Times New Roman" w:eastAsia="Times New Roman" w:hAnsi="Times New Roman" w:cs="Times New Roman"/>
          <w:b/>
          <w:sz w:val="24"/>
          <w:szCs w:val="24"/>
          <w:lang w:eastAsia="pl-PL"/>
        </w:rPr>
        <w:t>Rezultaty regresji dla MNK, SUMNK i WMNK</w:t>
      </w:r>
    </w:p>
    <w:p w:rsidR="00BC7E1F" w:rsidRPr="00BC7E1F" w:rsidRDefault="00BC7E1F" w:rsidP="00BC7E1F">
      <w:pPr>
        <w:spacing w:after="0" w:line="240" w:lineRule="auto"/>
        <w:jc w:val="both"/>
        <w:rPr>
          <w:rFonts w:ascii="Courier New" w:eastAsiaTheme="minorEastAsia" w:hAnsi="Courier New" w:cs="Courier New"/>
          <w:sz w:val="14"/>
          <w:szCs w:val="14"/>
        </w:rPr>
      </w:pPr>
    </w:p>
    <w:p w:rsidR="00BC7E1F" w:rsidRDefault="00BC7E1F" w:rsidP="00BC7E1F">
      <w:pPr>
        <w:spacing w:after="0" w:line="240" w:lineRule="auto"/>
        <w:jc w:val="both"/>
        <w:rPr>
          <w:rFonts w:ascii="Courier New" w:eastAsiaTheme="minorEastAsia" w:hAnsi="Courier New" w:cs="Courier New"/>
          <w:sz w:val="14"/>
          <w:szCs w:val="14"/>
        </w:rPr>
        <w:sectPr w:rsidR="00BC7E1F" w:rsidSect="00BC7E1F">
          <w:pgSz w:w="11906" w:h="16838"/>
          <w:pgMar w:top="1418" w:right="1418" w:bottom="1418" w:left="1418" w:header="709" w:footer="709" w:gutter="0"/>
          <w:cols w:space="708"/>
          <w:docGrid w:linePitch="360"/>
        </w:sectPr>
      </w:pP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Dependent variable: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ln_birth_rate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OLS       normal      OLS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MNK       SUMNK       WMNK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(1)        (2)        (3)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covid19_deaths                 -0.0004**  -0.0004**  -0.0004**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marriage_rate                   0.093***   0.093***   0.093***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(0.011)    (0.011)    (0.011)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divorce_rate                   -0.436***  -0.436***  -0.450***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(0.081)    (0.081)    (0.085)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ln_unemployment_rate           -0.037***  -0.037***  -0.037***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(0.010)    (0.010)    (0.010)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women_reproductive              3.090***   3.090***   3.113***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(0.284)    (0.284)    (0.283)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ln_median_house_price           0.044***   0.044***   0.041***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(0.016)    (0.016)    (0.015)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social_expenditure             -0.0002*** -0.0002*** -0.0002***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(0.00004)  (0.00004)  (0.00004)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family_expenditure             0.0001***  0.0001***  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(0.00001)  (0.00001)  (0.00001)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children                       0.00002*** 0.00002*** 0.00002***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(0.00000)  (0.00000)  (0.00000)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doctors                         0.001***   0.001***   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bus_stops                      -0.0001*** -0.0001*** -0.0001***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(0.00002)  (0.00002)  (0.00002)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Constant                         0.050      0.050      0.059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(0.173)    (0.173)    (0.173)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Observations                      380        380        380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R2                               0.758                 0.752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Adjusted R2                      0.750                 0.745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Log Likelihood                             452.643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Akaike Inf. Crit.                          -881.285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Residual Std. Error (df = 368)   0.075                 1.264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F Statistic (df = 11; 368)     104.519***            101.551***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sectPr w:rsidR="00BC7E1F" w:rsidRPr="006554E2" w:rsidSect="00BC7E1F">
          <w:type w:val="continuous"/>
          <w:pgSz w:w="11906" w:h="16838"/>
          <w:pgMar w:top="1418" w:right="1418" w:bottom="1418" w:left="1418" w:header="709" w:footer="709" w:gutter="0"/>
          <w:cols w:space="708"/>
          <w:docGrid w:linePitch="360"/>
        </w:sectPr>
      </w:pPr>
      <w:r w:rsidRPr="006554E2">
        <w:rPr>
          <w:rFonts w:ascii="Courier New" w:eastAsiaTheme="minorEastAsia" w:hAnsi="Courier New" w:cs="Courier New"/>
          <w:sz w:val="20"/>
          <w:szCs w:val="14"/>
        </w:rPr>
        <w:t>Note:                               *p&lt;0.1; **p&lt;0.05; ***p&lt;0.01</w:t>
      </w:r>
    </w:p>
    <w:p w:rsidR="006554E2" w:rsidRDefault="00E01D81" w:rsidP="006554E2">
      <w:pPr>
        <w:spacing w:before="240" w:after="0" w:line="360" w:lineRule="auto"/>
        <w:jc w:val="both"/>
        <w:rPr>
          <w:rFonts w:ascii="Courier New" w:eastAsiaTheme="minorEastAsia" w:hAnsi="Courier New" w:cs="Courier New"/>
          <w:szCs w:val="24"/>
          <w:lang w:val="en-GB"/>
        </w:rPr>
      </w:pPr>
      <w:r>
        <w:rPr>
          <w:rFonts w:ascii="Times New Roman" w:eastAsia="Times New Roman" w:hAnsi="Times New Roman" w:cs="Times New Roman"/>
          <w:b/>
          <w:sz w:val="24"/>
          <w:szCs w:val="24"/>
          <w:lang w:eastAsia="pl-PL"/>
        </w:rPr>
        <w:t>Załącznik 6</w:t>
      </w:r>
      <w:r w:rsidR="006554E2" w:rsidRPr="00571AA7">
        <w:rPr>
          <w:rFonts w:ascii="Times New Roman" w:eastAsia="Times New Roman" w:hAnsi="Times New Roman" w:cs="Times New Roman"/>
          <w:b/>
          <w:sz w:val="24"/>
          <w:szCs w:val="24"/>
          <w:lang w:eastAsia="pl-PL"/>
        </w:rPr>
        <w:t xml:space="preserve">. </w:t>
      </w:r>
      <w:r w:rsidR="006554E2" w:rsidRPr="00D67B0B">
        <w:rPr>
          <w:rFonts w:ascii="Times New Roman" w:eastAsia="Times New Roman" w:hAnsi="Times New Roman" w:cs="Times New Roman"/>
          <w:b/>
          <w:sz w:val="24"/>
          <w:szCs w:val="24"/>
          <w:lang w:eastAsia="pl-PL"/>
        </w:rPr>
        <w:t>Estymator Newey’a-West</w:t>
      </w:r>
      <w:r w:rsidR="006554E2">
        <w:rPr>
          <w:rFonts w:ascii="Times New Roman" w:eastAsia="Times New Roman" w:hAnsi="Times New Roman" w:cs="Times New Roman"/>
          <w:b/>
          <w:sz w:val="24"/>
          <w:szCs w:val="24"/>
          <w:lang w:eastAsia="pl-PL"/>
        </w:rPr>
        <w:t>a macierzy wariancji kowariancji</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Dependent variable: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ln_birth_rate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OLS            coefficient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test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wersja finalna estymator Neweya-Westa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covid19_deaths          -0.0004**          -0.0004**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marriage_rate            0.093***           0.093***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(0.011)            (0.012)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divorce_rate            -0.436***          -0.436***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(0.081)            (0.089)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ln_unemployment_rate    -0.037***          -0.037***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(0.010)            (0.009)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women_reproductive       3.090***           3.090***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(0.284)            (0.325)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ln_median_house_price    0.044***           0.044**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(0.016)            (0.017)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social_expenditure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(0.00004)          (0.00004)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family_expenditure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(0.00001)          (0.00001)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r w:rsidR="006554E2"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children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(0.00000)          (0.00000)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doctors                  0.001***           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bus_stops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Constant                  0.050              0.050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(0.173)            (0.215)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Observations               380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R2                        0.758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Adjusted R2               0.750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Residual Std. Error       0.075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F Statistic             104.519***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0596A"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Note:                           *p&lt;0.1; **p&lt;0.05; ***p&lt;0.01</w:t>
      </w:r>
    </w:p>
    <w:p w:rsidR="0090596A" w:rsidRDefault="0090596A" w:rsidP="00D67B0B">
      <w:pPr>
        <w:spacing w:after="0" w:line="240" w:lineRule="auto"/>
        <w:rPr>
          <w:rFonts w:ascii="Courier New" w:eastAsiaTheme="minorEastAsia" w:hAnsi="Courier New" w:cs="Courier New"/>
          <w:szCs w:val="24"/>
          <w:lang w:val="en-GB"/>
        </w:rPr>
      </w:pPr>
    </w:p>
    <w:p w:rsidR="0090596A" w:rsidRPr="00D67B0B" w:rsidRDefault="00E01D81" w:rsidP="0090596A">
      <w:pPr>
        <w:spacing w:before="240" w:after="0" w:line="360" w:lineRule="auto"/>
        <w:jc w:val="both"/>
        <w:rPr>
          <w:rFonts w:ascii="Courier New" w:eastAsiaTheme="minorEastAsia" w:hAnsi="Courier New" w:cs="Courier New"/>
          <w:sz w:val="14"/>
          <w:szCs w:val="14"/>
        </w:rPr>
      </w:pPr>
      <w:r>
        <w:rPr>
          <w:rFonts w:ascii="Times New Roman" w:eastAsia="Times New Roman" w:hAnsi="Times New Roman" w:cs="Times New Roman"/>
          <w:b/>
          <w:sz w:val="24"/>
          <w:szCs w:val="24"/>
          <w:lang w:eastAsia="pl-PL"/>
        </w:rPr>
        <w:t>Załącznik 7</w:t>
      </w:r>
      <w:r w:rsidR="0090596A" w:rsidRPr="00571AA7">
        <w:rPr>
          <w:rFonts w:ascii="Times New Roman" w:eastAsia="Times New Roman" w:hAnsi="Times New Roman" w:cs="Times New Roman"/>
          <w:b/>
          <w:sz w:val="24"/>
          <w:szCs w:val="24"/>
          <w:lang w:eastAsia="pl-PL"/>
        </w:rPr>
        <w:t xml:space="preserve">. </w:t>
      </w:r>
      <w:r w:rsidR="009A7513">
        <w:rPr>
          <w:rFonts w:ascii="Times New Roman" w:eastAsia="Times New Roman" w:hAnsi="Times New Roman" w:cs="Times New Roman"/>
          <w:b/>
          <w:sz w:val="24"/>
          <w:szCs w:val="24"/>
          <w:lang w:eastAsia="pl-PL"/>
        </w:rPr>
        <w:t>Rezultaty regresji finalnej wersji modelu oraz modelu z wykluczeniem obserwacji nietypowych</w:t>
      </w:r>
    </w:p>
    <w:p w:rsidR="0090596A" w:rsidRDefault="0090596A" w:rsidP="0090596A">
      <w:pPr>
        <w:spacing w:after="0" w:line="240" w:lineRule="auto"/>
        <w:rPr>
          <w:rFonts w:ascii="Courier New" w:eastAsiaTheme="minorEastAsia" w:hAnsi="Courier New" w:cs="Courier New"/>
          <w:sz w:val="14"/>
          <w:szCs w:val="24"/>
          <w:lang w:val="en-GB"/>
        </w:rPr>
        <w:sectPr w:rsidR="0090596A" w:rsidSect="00BC7E1F">
          <w:pgSz w:w="11906" w:h="16838"/>
          <w:pgMar w:top="1418" w:right="1418" w:bottom="1418" w:left="1418" w:header="709" w:footer="709" w:gutter="0"/>
          <w:cols w:space="708"/>
          <w:docGrid w:linePitch="360"/>
        </w:sectPr>
      </w:pPr>
    </w:p>
    <w:p w:rsidR="0090596A" w:rsidRPr="00BC7E1F" w:rsidRDefault="0090596A" w:rsidP="0090596A">
      <w:pPr>
        <w:spacing w:after="0" w:line="240" w:lineRule="auto"/>
        <w:rPr>
          <w:rFonts w:ascii="Courier New" w:eastAsiaTheme="minorEastAsia" w:hAnsi="Courier New" w:cs="Courier New"/>
          <w:sz w:val="20"/>
          <w:szCs w:val="24"/>
          <w:lang w:val="en-GB"/>
        </w:rPr>
      </w:pP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Dependent variable: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ln_birth_rate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wersja finalna         wersja bez outlierów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covid19_deaths                -0.0004**                 -0.0004**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marriage_rate                 0.093***                  0.086***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(0.011)                   (0.011)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divorce_rate                  -0.436***                 -0.489***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(0.081)                   (0.087)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ln_unemployment_rate          -0.037***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(0.010)                   (0.010)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women_reproductive            3.090***                  2.982***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(0.284)                   (0.286)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ln_median_house_price         0.044***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(0.016)                   (0.016)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social_expenditure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(0.00004)                 (0.00004)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family_expenditure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(0.00001)                 (0.00001)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children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(0.00000)                 (0.00000)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doctors                       0.001***                  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bus_stops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Constant                        0.050                     0.161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(0.173)                   (0.178)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Observations                     380                       377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R2                              0.758                     0.756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Adjusted R2                     0.750                     0.749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Residual Std. Error       0.075 (df = 368)          0.074 (df = 365)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F Statistic           104.519*** (df = 11; 368) 102.930*** (df = 11; 365)</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Note:                                         *p&lt;0.1; **p&lt;0.05; ***p&lt;0.01</w:t>
      </w:r>
    </w:p>
    <w:sectPr w:rsidR="0090596A" w:rsidRPr="00BC7E1F" w:rsidSect="00BC7E1F">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69" w:rsidRDefault="002F7769" w:rsidP="00FC5805">
      <w:pPr>
        <w:spacing w:after="0" w:line="240" w:lineRule="auto"/>
      </w:pPr>
      <w:r>
        <w:separator/>
      </w:r>
    </w:p>
  </w:endnote>
  <w:endnote w:type="continuationSeparator" w:id="0">
    <w:p w:rsidR="002F7769" w:rsidRDefault="002F7769" w:rsidP="00FC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712660517"/>
      <w:docPartObj>
        <w:docPartGallery w:val="Page Numbers (Bottom of Page)"/>
        <w:docPartUnique/>
      </w:docPartObj>
    </w:sdtPr>
    <w:sdtContent>
      <w:p w:rsidR="00F10AF8" w:rsidRPr="001F72B3" w:rsidRDefault="00F10AF8">
        <w:pPr>
          <w:pStyle w:val="Stopka"/>
          <w:jc w:val="center"/>
          <w:rPr>
            <w:rFonts w:ascii="Times New Roman" w:hAnsi="Times New Roman" w:cs="Times New Roman"/>
            <w:sz w:val="24"/>
          </w:rPr>
        </w:pPr>
        <w:r w:rsidRPr="001F72B3">
          <w:rPr>
            <w:rFonts w:ascii="Times New Roman" w:hAnsi="Times New Roman" w:cs="Times New Roman"/>
            <w:sz w:val="24"/>
          </w:rPr>
          <w:fldChar w:fldCharType="begin"/>
        </w:r>
        <w:r w:rsidRPr="001F72B3">
          <w:rPr>
            <w:rFonts w:ascii="Times New Roman" w:hAnsi="Times New Roman" w:cs="Times New Roman"/>
            <w:sz w:val="24"/>
          </w:rPr>
          <w:instrText>PAGE   \* MERGEFORMAT</w:instrText>
        </w:r>
        <w:r w:rsidRPr="001F72B3">
          <w:rPr>
            <w:rFonts w:ascii="Times New Roman" w:hAnsi="Times New Roman" w:cs="Times New Roman"/>
            <w:sz w:val="24"/>
          </w:rPr>
          <w:fldChar w:fldCharType="separate"/>
        </w:r>
        <w:r w:rsidR="002F7769">
          <w:rPr>
            <w:rFonts w:ascii="Times New Roman" w:hAnsi="Times New Roman" w:cs="Times New Roman"/>
            <w:noProof/>
            <w:sz w:val="24"/>
          </w:rPr>
          <w:t>1</w:t>
        </w:r>
        <w:r w:rsidRPr="001F72B3">
          <w:rPr>
            <w:rFonts w:ascii="Times New Roman" w:hAnsi="Times New Roman" w:cs="Times New Roman"/>
            <w:sz w:val="24"/>
          </w:rPr>
          <w:fldChar w:fldCharType="end"/>
        </w:r>
      </w:p>
    </w:sdtContent>
  </w:sdt>
  <w:p w:rsidR="00F10AF8" w:rsidRDefault="00F10AF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69" w:rsidRDefault="002F7769" w:rsidP="00FC5805">
      <w:pPr>
        <w:spacing w:after="0" w:line="240" w:lineRule="auto"/>
      </w:pPr>
      <w:r>
        <w:separator/>
      </w:r>
    </w:p>
  </w:footnote>
  <w:footnote w:type="continuationSeparator" w:id="0">
    <w:p w:rsidR="002F7769" w:rsidRDefault="002F7769" w:rsidP="00FC5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nsid w:val="4F09613F"/>
    <w:multiLevelType w:val="hybridMultilevel"/>
    <w:tmpl w:val="E21CC7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A0"/>
    <w:rsid w:val="00005CDD"/>
    <w:rsid w:val="000145F4"/>
    <w:rsid w:val="00017DF9"/>
    <w:rsid w:val="000325C6"/>
    <w:rsid w:val="00044B51"/>
    <w:rsid w:val="00051E5C"/>
    <w:rsid w:val="00052437"/>
    <w:rsid w:val="00052555"/>
    <w:rsid w:val="000573D5"/>
    <w:rsid w:val="00064470"/>
    <w:rsid w:val="0007177E"/>
    <w:rsid w:val="00072AF6"/>
    <w:rsid w:val="00081612"/>
    <w:rsid w:val="000927C7"/>
    <w:rsid w:val="000B683F"/>
    <w:rsid w:val="000C344E"/>
    <w:rsid w:val="000D5C3B"/>
    <w:rsid w:val="000D6AE0"/>
    <w:rsid w:val="000F0106"/>
    <w:rsid w:val="000F0920"/>
    <w:rsid w:val="000F5328"/>
    <w:rsid w:val="0011190C"/>
    <w:rsid w:val="00120030"/>
    <w:rsid w:val="00121A6C"/>
    <w:rsid w:val="00121E60"/>
    <w:rsid w:val="0014577B"/>
    <w:rsid w:val="00152514"/>
    <w:rsid w:val="0016668D"/>
    <w:rsid w:val="001700DB"/>
    <w:rsid w:val="00171B36"/>
    <w:rsid w:val="0017304F"/>
    <w:rsid w:val="00173DA1"/>
    <w:rsid w:val="00174B5A"/>
    <w:rsid w:val="001816E0"/>
    <w:rsid w:val="00191C95"/>
    <w:rsid w:val="001925E8"/>
    <w:rsid w:val="001A15D6"/>
    <w:rsid w:val="001A27A3"/>
    <w:rsid w:val="001B4B57"/>
    <w:rsid w:val="001C4A62"/>
    <w:rsid w:val="001C5341"/>
    <w:rsid w:val="001D3A2B"/>
    <w:rsid w:val="001E16E8"/>
    <w:rsid w:val="001E3763"/>
    <w:rsid w:val="001F4270"/>
    <w:rsid w:val="001F57FB"/>
    <w:rsid w:val="001F5CB8"/>
    <w:rsid w:val="001F72B3"/>
    <w:rsid w:val="002014E5"/>
    <w:rsid w:val="00203B29"/>
    <w:rsid w:val="002113BA"/>
    <w:rsid w:val="002119C2"/>
    <w:rsid w:val="00223371"/>
    <w:rsid w:val="00223CA4"/>
    <w:rsid w:val="002257F0"/>
    <w:rsid w:val="00250C18"/>
    <w:rsid w:val="002612AA"/>
    <w:rsid w:val="002630FD"/>
    <w:rsid w:val="00270231"/>
    <w:rsid w:val="00287406"/>
    <w:rsid w:val="00297B79"/>
    <w:rsid w:val="002A1F63"/>
    <w:rsid w:val="002A33DE"/>
    <w:rsid w:val="002A768A"/>
    <w:rsid w:val="002D3208"/>
    <w:rsid w:val="002D3BBF"/>
    <w:rsid w:val="002E2D8D"/>
    <w:rsid w:val="002E4B75"/>
    <w:rsid w:val="002E5A62"/>
    <w:rsid w:val="002F2602"/>
    <w:rsid w:val="002F4842"/>
    <w:rsid w:val="002F564E"/>
    <w:rsid w:val="002F7046"/>
    <w:rsid w:val="002F7769"/>
    <w:rsid w:val="003062DE"/>
    <w:rsid w:val="003105EA"/>
    <w:rsid w:val="0031499F"/>
    <w:rsid w:val="00315962"/>
    <w:rsid w:val="00317985"/>
    <w:rsid w:val="00321824"/>
    <w:rsid w:val="00323CF2"/>
    <w:rsid w:val="0032439F"/>
    <w:rsid w:val="00324D43"/>
    <w:rsid w:val="0034165C"/>
    <w:rsid w:val="00346A3D"/>
    <w:rsid w:val="00347A7C"/>
    <w:rsid w:val="00351F63"/>
    <w:rsid w:val="00356ECB"/>
    <w:rsid w:val="00357BBC"/>
    <w:rsid w:val="00361B1E"/>
    <w:rsid w:val="00361EE1"/>
    <w:rsid w:val="00363670"/>
    <w:rsid w:val="00367783"/>
    <w:rsid w:val="00372EAD"/>
    <w:rsid w:val="003741E6"/>
    <w:rsid w:val="00374A7F"/>
    <w:rsid w:val="00384094"/>
    <w:rsid w:val="003944D8"/>
    <w:rsid w:val="0039793C"/>
    <w:rsid w:val="003A0D4B"/>
    <w:rsid w:val="003A2B6A"/>
    <w:rsid w:val="003A3DA3"/>
    <w:rsid w:val="003B75F2"/>
    <w:rsid w:val="003D414D"/>
    <w:rsid w:val="003E4204"/>
    <w:rsid w:val="003E73B3"/>
    <w:rsid w:val="00415311"/>
    <w:rsid w:val="00415C79"/>
    <w:rsid w:val="00421B91"/>
    <w:rsid w:val="00424971"/>
    <w:rsid w:val="0042504C"/>
    <w:rsid w:val="00426A5E"/>
    <w:rsid w:val="00427E8A"/>
    <w:rsid w:val="00437373"/>
    <w:rsid w:val="0044574F"/>
    <w:rsid w:val="00462C6A"/>
    <w:rsid w:val="00463F5F"/>
    <w:rsid w:val="00464847"/>
    <w:rsid w:val="0047290D"/>
    <w:rsid w:val="0047716F"/>
    <w:rsid w:val="0048741F"/>
    <w:rsid w:val="00497F39"/>
    <w:rsid w:val="004A163B"/>
    <w:rsid w:val="004A26BF"/>
    <w:rsid w:val="004E1FAD"/>
    <w:rsid w:val="004E275B"/>
    <w:rsid w:val="00506DAC"/>
    <w:rsid w:val="00510A1E"/>
    <w:rsid w:val="00522072"/>
    <w:rsid w:val="00523417"/>
    <w:rsid w:val="00530960"/>
    <w:rsid w:val="00532A96"/>
    <w:rsid w:val="00532ED4"/>
    <w:rsid w:val="005338E0"/>
    <w:rsid w:val="00535929"/>
    <w:rsid w:val="005429B8"/>
    <w:rsid w:val="00560520"/>
    <w:rsid w:val="00564C0B"/>
    <w:rsid w:val="00566B07"/>
    <w:rsid w:val="00571AA7"/>
    <w:rsid w:val="00572B40"/>
    <w:rsid w:val="00584082"/>
    <w:rsid w:val="005927B0"/>
    <w:rsid w:val="00597A0E"/>
    <w:rsid w:val="005A324C"/>
    <w:rsid w:val="005A6A62"/>
    <w:rsid w:val="005B2700"/>
    <w:rsid w:val="005B7FC6"/>
    <w:rsid w:val="005C051F"/>
    <w:rsid w:val="005C3BA0"/>
    <w:rsid w:val="005D0726"/>
    <w:rsid w:val="005E1BE0"/>
    <w:rsid w:val="005E61B7"/>
    <w:rsid w:val="005E693D"/>
    <w:rsid w:val="005F118D"/>
    <w:rsid w:val="0060001F"/>
    <w:rsid w:val="00615FF3"/>
    <w:rsid w:val="00633454"/>
    <w:rsid w:val="00642FC3"/>
    <w:rsid w:val="00652837"/>
    <w:rsid w:val="00653885"/>
    <w:rsid w:val="006554E2"/>
    <w:rsid w:val="006604F4"/>
    <w:rsid w:val="006631EA"/>
    <w:rsid w:val="00666289"/>
    <w:rsid w:val="00670A7A"/>
    <w:rsid w:val="00670E42"/>
    <w:rsid w:val="0067289E"/>
    <w:rsid w:val="00674CEB"/>
    <w:rsid w:val="00683515"/>
    <w:rsid w:val="00685DFA"/>
    <w:rsid w:val="006947D1"/>
    <w:rsid w:val="00695CE5"/>
    <w:rsid w:val="00696575"/>
    <w:rsid w:val="006A5921"/>
    <w:rsid w:val="006A5C05"/>
    <w:rsid w:val="006B367B"/>
    <w:rsid w:val="006B3B06"/>
    <w:rsid w:val="006C5EB2"/>
    <w:rsid w:val="006D2D9F"/>
    <w:rsid w:val="006D30C6"/>
    <w:rsid w:val="006D4B10"/>
    <w:rsid w:val="006D4C33"/>
    <w:rsid w:val="006D6AB8"/>
    <w:rsid w:val="006D7740"/>
    <w:rsid w:val="006E0C6E"/>
    <w:rsid w:val="006F12AC"/>
    <w:rsid w:val="006F390B"/>
    <w:rsid w:val="006F3A44"/>
    <w:rsid w:val="006F479C"/>
    <w:rsid w:val="007000C8"/>
    <w:rsid w:val="00704294"/>
    <w:rsid w:val="00721ABC"/>
    <w:rsid w:val="00742D6A"/>
    <w:rsid w:val="00747F22"/>
    <w:rsid w:val="00757927"/>
    <w:rsid w:val="00770A34"/>
    <w:rsid w:val="00780C8E"/>
    <w:rsid w:val="0078452A"/>
    <w:rsid w:val="007906DF"/>
    <w:rsid w:val="00793B08"/>
    <w:rsid w:val="007940D9"/>
    <w:rsid w:val="007A23D1"/>
    <w:rsid w:val="007B2E8F"/>
    <w:rsid w:val="007B47FF"/>
    <w:rsid w:val="007C5ABF"/>
    <w:rsid w:val="007D3BA4"/>
    <w:rsid w:val="007D722B"/>
    <w:rsid w:val="007E1B32"/>
    <w:rsid w:val="007E33FB"/>
    <w:rsid w:val="007F5077"/>
    <w:rsid w:val="00802A8B"/>
    <w:rsid w:val="008060F4"/>
    <w:rsid w:val="00814CC8"/>
    <w:rsid w:val="00825F85"/>
    <w:rsid w:val="0084098D"/>
    <w:rsid w:val="00841AD7"/>
    <w:rsid w:val="0084582E"/>
    <w:rsid w:val="00853E62"/>
    <w:rsid w:val="00856410"/>
    <w:rsid w:val="00856532"/>
    <w:rsid w:val="00862241"/>
    <w:rsid w:val="00875FEE"/>
    <w:rsid w:val="00883A8B"/>
    <w:rsid w:val="00892465"/>
    <w:rsid w:val="00897209"/>
    <w:rsid w:val="008A001B"/>
    <w:rsid w:val="008A381F"/>
    <w:rsid w:val="008A38F9"/>
    <w:rsid w:val="008B0F34"/>
    <w:rsid w:val="008B7D2C"/>
    <w:rsid w:val="008D1C98"/>
    <w:rsid w:val="008D34A1"/>
    <w:rsid w:val="008D6D51"/>
    <w:rsid w:val="008F26B4"/>
    <w:rsid w:val="008F366A"/>
    <w:rsid w:val="008F41A2"/>
    <w:rsid w:val="00901A23"/>
    <w:rsid w:val="0090596A"/>
    <w:rsid w:val="00910C58"/>
    <w:rsid w:val="00916383"/>
    <w:rsid w:val="009249BE"/>
    <w:rsid w:val="00924E7E"/>
    <w:rsid w:val="0092778A"/>
    <w:rsid w:val="00944EA9"/>
    <w:rsid w:val="0095255E"/>
    <w:rsid w:val="00957E3B"/>
    <w:rsid w:val="00966513"/>
    <w:rsid w:val="00972CF8"/>
    <w:rsid w:val="00980030"/>
    <w:rsid w:val="009807E2"/>
    <w:rsid w:val="00981FA1"/>
    <w:rsid w:val="00984725"/>
    <w:rsid w:val="0099085B"/>
    <w:rsid w:val="009A4713"/>
    <w:rsid w:val="009A7513"/>
    <w:rsid w:val="009B04AE"/>
    <w:rsid w:val="009B0EEC"/>
    <w:rsid w:val="009B4401"/>
    <w:rsid w:val="009C249B"/>
    <w:rsid w:val="009C4537"/>
    <w:rsid w:val="009C4A67"/>
    <w:rsid w:val="009D670B"/>
    <w:rsid w:val="009F3C4A"/>
    <w:rsid w:val="00A063E2"/>
    <w:rsid w:val="00A12F9D"/>
    <w:rsid w:val="00A20ACE"/>
    <w:rsid w:val="00A253B4"/>
    <w:rsid w:val="00A308F4"/>
    <w:rsid w:val="00A3190D"/>
    <w:rsid w:val="00A34D08"/>
    <w:rsid w:val="00A351AF"/>
    <w:rsid w:val="00A36055"/>
    <w:rsid w:val="00A41780"/>
    <w:rsid w:val="00A418F4"/>
    <w:rsid w:val="00A475AC"/>
    <w:rsid w:val="00A51D0F"/>
    <w:rsid w:val="00A55DA0"/>
    <w:rsid w:val="00A626CF"/>
    <w:rsid w:val="00A65AAD"/>
    <w:rsid w:val="00A66DCD"/>
    <w:rsid w:val="00A90BC0"/>
    <w:rsid w:val="00A922E9"/>
    <w:rsid w:val="00AD0F93"/>
    <w:rsid w:val="00AD77D6"/>
    <w:rsid w:val="00AD7D68"/>
    <w:rsid w:val="00AE4F69"/>
    <w:rsid w:val="00AF2E9E"/>
    <w:rsid w:val="00AF6873"/>
    <w:rsid w:val="00B037FB"/>
    <w:rsid w:val="00B103DE"/>
    <w:rsid w:val="00B14DDA"/>
    <w:rsid w:val="00B1700A"/>
    <w:rsid w:val="00B34D52"/>
    <w:rsid w:val="00B37669"/>
    <w:rsid w:val="00B37D9B"/>
    <w:rsid w:val="00B403D0"/>
    <w:rsid w:val="00B46A60"/>
    <w:rsid w:val="00B4774F"/>
    <w:rsid w:val="00B6089B"/>
    <w:rsid w:val="00B6196B"/>
    <w:rsid w:val="00B66FA7"/>
    <w:rsid w:val="00B7289B"/>
    <w:rsid w:val="00B72C87"/>
    <w:rsid w:val="00B74D0C"/>
    <w:rsid w:val="00B7576E"/>
    <w:rsid w:val="00B8089B"/>
    <w:rsid w:val="00B862DD"/>
    <w:rsid w:val="00B91D3F"/>
    <w:rsid w:val="00B933E3"/>
    <w:rsid w:val="00BA001B"/>
    <w:rsid w:val="00BA21A8"/>
    <w:rsid w:val="00BC3EB0"/>
    <w:rsid w:val="00BC7E1F"/>
    <w:rsid w:val="00BD09CA"/>
    <w:rsid w:val="00BD1EB4"/>
    <w:rsid w:val="00BE5224"/>
    <w:rsid w:val="00BF47F0"/>
    <w:rsid w:val="00C01CD5"/>
    <w:rsid w:val="00C047FE"/>
    <w:rsid w:val="00C05910"/>
    <w:rsid w:val="00C074CC"/>
    <w:rsid w:val="00C07B61"/>
    <w:rsid w:val="00C142DF"/>
    <w:rsid w:val="00C14939"/>
    <w:rsid w:val="00C24C7D"/>
    <w:rsid w:val="00C26253"/>
    <w:rsid w:val="00C33424"/>
    <w:rsid w:val="00C50AE6"/>
    <w:rsid w:val="00C62F74"/>
    <w:rsid w:val="00C64569"/>
    <w:rsid w:val="00C64686"/>
    <w:rsid w:val="00C65FF2"/>
    <w:rsid w:val="00C707D3"/>
    <w:rsid w:val="00C71964"/>
    <w:rsid w:val="00C823BD"/>
    <w:rsid w:val="00CA2423"/>
    <w:rsid w:val="00CB4C29"/>
    <w:rsid w:val="00CD4891"/>
    <w:rsid w:val="00D07970"/>
    <w:rsid w:val="00D10292"/>
    <w:rsid w:val="00D17FDA"/>
    <w:rsid w:val="00D25947"/>
    <w:rsid w:val="00D26937"/>
    <w:rsid w:val="00D2778D"/>
    <w:rsid w:val="00D27C58"/>
    <w:rsid w:val="00D45FC2"/>
    <w:rsid w:val="00D5309D"/>
    <w:rsid w:val="00D55D64"/>
    <w:rsid w:val="00D64A72"/>
    <w:rsid w:val="00D66922"/>
    <w:rsid w:val="00D67B0B"/>
    <w:rsid w:val="00D736EB"/>
    <w:rsid w:val="00D81220"/>
    <w:rsid w:val="00D84842"/>
    <w:rsid w:val="00D87EFF"/>
    <w:rsid w:val="00D97428"/>
    <w:rsid w:val="00DA133A"/>
    <w:rsid w:val="00DA7321"/>
    <w:rsid w:val="00DB4CB8"/>
    <w:rsid w:val="00DB707D"/>
    <w:rsid w:val="00DC0DE3"/>
    <w:rsid w:val="00DC4792"/>
    <w:rsid w:val="00DC5705"/>
    <w:rsid w:val="00DD157F"/>
    <w:rsid w:val="00DD4C1C"/>
    <w:rsid w:val="00DF2B24"/>
    <w:rsid w:val="00DF2B50"/>
    <w:rsid w:val="00E01D81"/>
    <w:rsid w:val="00E023F4"/>
    <w:rsid w:val="00E07FA0"/>
    <w:rsid w:val="00E127EA"/>
    <w:rsid w:val="00E17DAB"/>
    <w:rsid w:val="00E20A1D"/>
    <w:rsid w:val="00E22295"/>
    <w:rsid w:val="00E26F33"/>
    <w:rsid w:val="00E27D5A"/>
    <w:rsid w:val="00E3371B"/>
    <w:rsid w:val="00E43743"/>
    <w:rsid w:val="00E451D5"/>
    <w:rsid w:val="00E47BAC"/>
    <w:rsid w:val="00E52717"/>
    <w:rsid w:val="00E56E3E"/>
    <w:rsid w:val="00E62360"/>
    <w:rsid w:val="00E65060"/>
    <w:rsid w:val="00E7629A"/>
    <w:rsid w:val="00E8082B"/>
    <w:rsid w:val="00E819F0"/>
    <w:rsid w:val="00E9008D"/>
    <w:rsid w:val="00E94AF6"/>
    <w:rsid w:val="00E95B85"/>
    <w:rsid w:val="00EA2006"/>
    <w:rsid w:val="00EA6358"/>
    <w:rsid w:val="00EB26B3"/>
    <w:rsid w:val="00EB5696"/>
    <w:rsid w:val="00EC08F4"/>
    <w:rsid w:val="00EC44EA"/>
    <w:rsid w:val="00ED1013"/>
    <w:rsid w:val="00ED5505"/>
    <w:rsid w:val="00EE2BD0"/>
    <w:rsid w:val="00F10AF8"/>
    <w:rsid w:val="00F16DDA"/>
    <w:rsid w:val="00F23C94"/>
    <w:rsid w:val="00F25307"/>
    <w:rsid w:val="00F42E15"/>
    <w:rsid w:val="00F47239"/>
    <w:rsid w:val="00F563E6"/>
    <w:rsid w:val="00F56934"/>
    <w:rsid w:val="00F61EFC"/>
    <w:rsid w:val="00F665DB"/>
    <w:rsid w:val="00F907B4"/>
    <w:rsid w:val="00FB1464"/>
    <w:rsid w:val="00FB73F4"/>
    <w:rsid w:val="00FC5805"/>
    <w:rsid w:val="00FE4F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5D7B5-C48D-4D2E-9017-33862732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07FA0"/>
    <w:rPr>
      <w:color w:val="808080"/>
    </w:rPr>
  </w:style>
  <w:style w:type="character" w:styleId="Hipercze">
    <w:name w:val="Hyperlink"/>
    <w:basedOn w:val="Domylnaczcionkaakapitu"/>
    <w:uiPriority w:val="99"/>
    <w:unhideWhenUsed/>
    <w:rsid w:val="000F0106"/>
    <w:rPr>
      <w:color w:val="0563C1" w:themeColor="hyperlink"/>
      <w:u w:val="single"/>
    </w:rPr>
  </w:style>
  <w:style w:type="paragraph" w:styleId="Tekstprzypisukocowego">
    <w:name w:val="endnote text"/>
    <w:basedOn w:val="Normalny"/>
    <w:link w:val="TekstprzypisukocowegoZnak"/>
    <w:uiPriority w:val="99"/>
    <w:semiHidden/>
    <w:unhideWhenUsed/>
    <w:rsid w:val="00FC58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5805"/>
    <w:rPr>
      <w:sz w:val="20"/>
      <w:szCs w:val="20"/>
    </w:rPr>
  </w:style>
  <w:style w:type="character" w:styleId="Odwoanieprzypisukocowego">
    <w:name w:val="endnote reference"/>
    <w:basedOn w:val="Domylnaczcionkaakapitu"/>
    <w:uiPriority w:val="99"/>
    <w:semiHidden/>
    <w:unhideWhenUsed/>
    <w:rsid w:val="00FC5805"/>
    <w:rPr>
      <w:vertAlign w:val="superscript"/>
    </w:rPr>
  </w:style>
  <w:style w:type="paragraph" w:styleId="Akapitzlist">
    <w:name w:val="List Paragraph"/>
    <w:basedOn w:val="Normalny"/>
    <w:uiPriority w:val="34"/>
    <w:qFormat/>
    <w:rsid w:val="001B4B57"/>
    <w:pPr>
      <w:ind w:left="720"/>
      <w:contextualSpacing/>
    </w:pPr>
  </w:style>
  <w:style w:type="paragraph" w:styleId="Nagwek">
    <w:name w:val="header"/>
    <w:basedOn w:val="Normalny"/>
    <w:link w:val="NagwekZnak"/>
    <w:uiPriority w:val="99"/>
    <w:unhideWhenUsed/>
    <w:rsid w:val="00DD157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D157F"/>
  </w:style>
  <w:style w:type="paragraph" w:styleId="Stopka">
    <w:name w:val="footer"/>
    <w:basedOn w:val="Normalny"/>
    <w:link w:val="StopkaZnak"/>
    <w:uiPriority w:val="99"/>
    <w:unhideWhenUsed/>
    <w:rsid w:val="00DD157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D157F"/>
  </w:style>
  <w:style w:type="character" w:styleId="Odwoaniedokomentarza">
    <w:name w:val="annotation reference"/>
    <w:basedOn w:val="Domylnaczcionkaakapitu"/>
    <w:uiPriority w:val="99"/>
    <w:semiHidden/>
    <w:unhideWhenUsed/>
    <w:rsid w:val="00361EE1"/>
    <w:rPr>
      <w:sz w:val="16"/>
      <w:szCs w:val="16"/>
    </w:rPr>
  </w:style>
  <w:style w:type="paragraph" w:styleId="Tekstkomentarza">
    <w:name w:val="annotation text"/>
    <w:basedOn w:val="Normalny"/>
    <w:link w:val="TekstkomentarzaZnak"/>
    <w:uiPriority w:val="99"/>
    <w:semiHidden/>
    <w:unhideWhenUsed/>
    <w:rsid w:val="00361EE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1EE1"/>
    <w:rPr>
      <w:sz w:val="20"/>
      <w:szCs w:val="20"/>
    </w:rPr>
  </w:style>
  <w:style w:type="paragraph" w:styleId="Tematkomentarza">
    <w:name w:val="annotation subject"/>
    <w:basedOn w:val="Tekstkomentarza"/>
    <w:next w:val="Tekstkomentarza"/>
    <w:link w:val="TematkomentarzaZnak"/>
    <w:uiPriority w:val="99"/>
    <w:semiHidden/>
    <w:unhideWhenUsed/>
    <w:rsid w:val="00361EE1"/>
    <w:rPr>
      <w:b/>
      <w:bCs/>
    </w:rPr>
  </w:style>
  <w:style w:type="character" w:customStyle="1" w:styleId="TematkomentarzaZnak">
    <w:name w:val="Temat komentarza Znak"/>
    <w:basedOn w:val="TekstkomentarzaZnak"/>
    <w:link w:val="Tematkomentarza"/>
    <w:uiPriority w:val="99"/>
    <w:semiHidden/>
    <w:rsid w:val="00361EE1"/>
    <w:rPr>
      <w:b/>
      <w:bCs/>
      <w:sz w:val="20"/>
      <w:szCs w:val="20"/>
    </w:rPr>
  </w:style>
  <w:style w:type="paragraph" w:styleId="Tekstdymka">
    <w:name w:val="Balloon Text"/>
    <w:basedOn w:val="Normalny"/>
    <w:link w:val="TekstdymkaZnak"/>
    <w:uiPriority w:val="99"/>
    <w:semiHidden/>
    <w:unhideWhenUsed/>
    <w:rsid w:val="00361EE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EE1"/>
    <w:rPr>
      <w:rFonts w:ascii="Segoe UI" w:hAnsi="Segoe UI" w:cs="Segoe UI"/>
      <w:sz w:val="18"/>
      <w:szCs w:val="18"/>
    </w:rPr>
  </w:style>
  <w:style w:type="table" w:styleId="Tabela-Siatka">
    <w:name w:val="Table Grid"/>
    <w:basedOn w:val="Standardowy"/>
    <w:uiPriority w:val="39"/>
    <w:rsid w:val="00C1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C0591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51532">
      <w:bodyDiv w:val="1"/>
      <w:marLeft w:val="0"/>
      <w:marRight w:val="0"/>
      <w:marTop w:val="0"/>
      <w:marBottom w:val="0"/>
      <w:divBdr>
        <w:top w:val="none" w:sz="0" w:space="0" w:color="auto"/>
        <w:left w:val="none" w:sz="0" w:space="0" w:color="auto"/>
        <w:bottom w:val="none" w:sz="0" w:space="0" w:color="auto"/>
        <w:right w:val="none" w:sz="0" w:space="0" w:color="auto"/>
      </w:divBdr>
    </w:div>
    <w:div w:id="742877946">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1184241871">
      <w:bodyDiv w:val="1"/>
      <w:marLeft w:val="0"/>
      <w:marRight w:val="0"/>
      <w:marTop w:val="0"/>
      <w:marBottom w:val="0"/>
      <w:divBdr>
        <w:top w:val="none" w:sz="0" w:space="0" w:color="auto"/>
        <w:left w:val="none" w:sz="0" w:space="0" w:color="auto"/>
        <w:bottom w:val="none" w:sz="0" w:space="0" w:color="auto"/>
        <w:right w:val="none" w:sz="0" w:space="0" w:color="auto"/>
      </w:divBdr>
    </w:div>
    <w:div w:id="1187210938">
      <w:bodyDiv w:val="1"/>
      <w:marLeft w:val="0"/>
      <w:marRight w:val="0"/>
      <w:marTop w:val="0"/>
      <w:marBottom w:val="0"/>
      <w:divBdr>
        <w:top w:val="none" w:sz="0" w:space="0" w:color="auto"/>
        <w:left w:val="none" w:sz="0" w:space="0" w:color="auto"/>
        <w:bottom w:val="none" w:sz="0" w:space="0" w:color="auto"/>
        <w:right w:val="none" w:sz="0" w:space="0" w:color="auto"/>
      </w:divBdr>
    </w:div>
    <w:div w:id="1270704027">
      <w:bodyDiv w:val="1"/>
      <w:marLeft w:val="0"/>
      <w:marRight w:val="0"/>
      <w:marTop w:val="0"/>
      <w:marBottom w:val="0"/>
      <w:divBdr>
        <w:top w:val="none" w:sz="0" w:space="0" w:color="auto"/>
        <w:left w:val="none" w:sz="0" w:space="0" w:color="auto"/>
        <w:bottom w:val="none" w:sz="0" w:space="0" w:color="auto"/>
        <w:right w:val="none" w:sz="0" w:space="0" w:color="auto"/>
      </w:divBdr>
    </w:div>
    <w:div w:id="1359889476">
      <w:bodyDiv w:val="1"/>
      <w:marLeft w:val="0"/>
      <w:marRight w:val="0"/>
      <w:marTop w:val="0"/>
      <w:marBottom w:val="0"/>
      <w:divBdr>
        <w:top w:val="none" w:sz="0" w:space="0" w:color="auto"/>
        <w:left w:val="none" w:sz="0" w:space="0" w:color="auto"/>
        <w:bottom w:val="none" w:sz="0" w:space="0" w:color="auto"/>
        <w:right w:val="none" w:sz="0" w:space="0" w:color="auto"/>
      </w:divBdr>
    </w:div>
    <w:div w:id="1506094112">
      <w:bodyDiv w:val="1"/>
      <w:marLeft w:val="0"/>
      <w:marRight w:val="0"/>
      <w:marTop w:val="0"/>
      <w:marBottom w:val="0"/>
      <w:divBdr>
        <w:top w:val="none" w:sz="0" w:space="0" w:color="auto"/>
        <w:left w:val="none" w:sz="0" w:space="0" w:color="auto"/>
        <w:bottom w:val="none" w:sz="0" w:space="0" w:color="auto"/>
        <w:right w:val="none" w:sz="0" w:space="0" w:color="auto"/>
      </w:divBdr>
    </w:div>
    <w:div w:id="1752314046">
      <w:bodyDiv w:val="1"/>
      <w:marLeft w:val="0"/>
      <w:marRight w:val="0"/>
      <w:marTop w:val="0"/>
      <w:marBottom w:val="0"/>
      <w:divBdr>
        <w:top w:val="none" w:sz="0" w:space="0" w:color="auto"/>
        <w:left w:val="none" w:sz="0" w:space="0" w:color="auto"/>
        <w:bottom w:val="none" w:sz="0" w:space="0" w:color="auto"/>
        <w:right w:val="none" w:sz="0" w:space="0" w:color="auto"/>
      </w:divBdr>
    </w:div>
    <w:div w:id="1764836884">
      <w:bodyDiv w:val="1"/>
      <w:marLeft w:val="0"/>
      <w:marRight w:val="0"/>
      <w:marTop w:val="0"/>
      <w:marBottom w:val="0"/>
      <w:divBdr>
        <w:top w:val="none" w:sz="0" w:space="0" w:color="auto"/>
        <w:left w:val="none" w:sz="0" w:space="0" w:color="auto"/>
        <w:bottom w:val="none" w:sz="0" w:space="0" w:color="auto"/>
        <w:right w:val="none" w:sz="0" w:space="0" w:color="auto"/>
      </w:divBdr>
    </w:div>
    <w:div w:id="19172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worldbank.org/indicator/SP.DYN.CBRT.IN" TargetMode="External"/><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s://doi.org/10.3368/jhr.45.2.301"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073/pnas.1408975111"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volusonclub.net/empowered-womens-health/4-contributing-factors-to-declining-fertility-rates-a-global-overview/" TargetMode="External"/><Relationship Id="rId32" Type="http://schemas.openxmlformats.org/officeDocument/2006/relationships/hyperlink" Target="https://doi.org/10.1162/rest_a_00739" TargetMode="External"/><Relationship Id="rId37" Type="http://schemas.openxmlformats.org/officeDocument/2006/relationships/hyperlink" Target="https://docs.google.com/spreadsheets/d/1Tv6jKMUYdK6ws6SxxAsHVxZbglZfisC8x_HZ1jacmBM/edit#gid=4209193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epozytorium.amu.edu.pl/bitstream/10593/5490/1/24_Maria_Chrominska_Czynnik%20ekonomiczny%20we%20wsp%C3%B3%C5%82czesnych%20koncepcjach_361-372.pdf" TargetMode="External"/><Relationship Id="rId36" Type="http://schemas.openxmlformats.org/officeDocument/2006/relationships/hyperlink" Target="https://www.gov.pl/web/koronawirus/wykaz-zarazen-koronawirusem-sars-cov-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353/dem.0.01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162/rest_a_00257" TargetMode="External"/><Relationship Id="rId30" Type="http://schemas.openxmlformats.org/officeDocument/2006/relationships/hyperlink" Target="https://doi.org/10.1016/j.jpubeco.2013.09.009" TargetMode="External"/><Relationship Id="rId35" Type="http://schemas.openxmlformats.org/officeDocument/2006/relationships/hyperlink" Target="https://doi.org/10.1162/rest_a_00266"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ber.org/system/files/chapters/c2387/c2387.pdf" TargetMode="External"/><Relationship Id="rId33" Type="http://schemas.openxmlformats.org/officeDocument/2006/relationships/hyperlink" Target="https://www.guttmacher.org/report/early-impacts-covid-19-pandemic-findings-2020-guttmacher-survey-reproductive-health" TargetMode="External"/><Relationship Id="rId38" Type="http://schemas.openxmlformats.org/officeDocument/2006/relationships/hyperlink" Target="https://doi.org/10.2307/20601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60"/>
    <w:rsid w:val="001F7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F7A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10352</TotalTime>
  <Pages>45</Pages>
  <Words>10863</Words>
  <Characters>81908</Characters>
  <Application>Microsoft Office Word</Application>
  <DocSecurity>0</DocSecurity>
  <Lines>1997</Lines>
  <Paragraphs>1066</Paragraphs>
  <ScaleCrop>false</ScaleCrop>
  <HeadingPairs>
    <vt:vector size="4" baseType="variant">
      <vt:variant>
        <vt:lpstr>Tytuł</vt:lpstr>
      </vt:variant>
      <vt:variant>
        <vt:i4>1</vt:i4>
      </vt:variant>
      <vt:variant>
        <vt:lpstr>Nagłówki</vt:lpstr>
      </vt:variant>
      <vt:variant>
        <vt:i4>11</vt:i4>
      </vt:variant>
    </vt:vector>
  </HeadingPairs>
  <TitlesOfParts>
    <vt:vector size="12" baseType="lpstr">
      <vt:lpstr/>
      <vt:lpstr>Czy COVID-19 sprawił, że nie chcemy rodzić dzieci?</vt:lpstr>
      <vt:lpstr>Analiza determinant współczynnika urodzeń</vt:lpstr>
      <vt:lpstr>Streszczenie</vt:lpstr>
      <vt:lpstr>Słowa kluczowe</vt:lpstr>
      <vt:lpstr/>
      <vt:lpstr/>
      <vt:lpstr/>
      <vt:lpstr/>
      <vt:lpstr>Tytuł pracy w języku angielskim</vt:lpstr>
      <vt:lpstr/>
      <vt:lpstr>SPIS TREŚCI</vt:lpstr>
    </vt:vector>
  </TitlesOfParts>
  <Company/>
  <LinksUpToDate>false</LinksUpToDate>
  <CharactersWithSpaces>91705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aleksandra.jedrych@interia.pl</dc:creator>
  <cp:keywords/>
  <dc:description/>
  <cp:lastModifiedBy>aleksandra.jedrych@interia.pl</cp:lastModifiedBy>
  <cp:revision>86</cp:revision>
  <cp:lastPrinted>2022-01-19T01:30:00Z</cp:lastPrinted>
  <dcterms:created xsi:type="dcterms:W3CDTF">2022-01-07T17:11:00Z</dcterms:created>
  <dcterms:modified xsi:type="dcterms:W3CDTF">2022-01-19T01:32:00Z</dcterms:modified>
</cp:coreProperties>
</file>