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5479" w14:textId="77777777" w:rsidR="003A2D41" w:rsidRPr="003A2D41" w:rsidRDefault="003A2D41" w:rsidP="003A2D41">
      <w:r w:rsidRPr="003A2D41">
        <w:t>Generated by AI. Be sure to check for accuracy.</w:t>
      </w:r>
    </w:p>
    <w:p w14:paraId="1EC26F64" w14:textId="77777777" w:rsidR="003A2D41" w:rsidRPr="003A2D41" w:rsidRDefault="003A2D41" w:rsidP="003A2D41">
      <w:r w:rsidRPr="003A2D41">
        <w:t>Meeting notes:</w:t>
      </w:r>
    </w:p>
    <w:p w14:paraId="2438031B" w14:textId="77777777" w:rsidR="003A2D41" w:rsidRPr="003A2D41" w:rsidRDefault="003A2D41" w:rsidP="003A2D41">
      <w:pPr>
        <w:numPr>
          <w:ilvl w:val="0"/>
          <w:numId w:val="3"/>
        </w:numPr>
      </w:pPr>
      <w:r w:rsidRPr="003A2D41">
        <w:rPr>
          <w:b/>
          <w:bCs/>
        </w:rPr>
        <w:t xml:space="preserve">Meeting Structure: </w:t>
      </w:r>
      <w:r w:rsidRPr="003A2D41">
        <w:t>Ajeesh Kumar A outlined the meeting structure, which will be split into two parts: confirming high-level requirements, cutover approach, and data migration process, followed by a deeper dive into the data process.</w:t>
      </w:r>
    </w:p>
    <w:p w14:paraId="13DBE9FE" w14:textId="77777777" w:rsidR="003A2D41" w:rsidRPr="003A2D41" w:rsidRDefault="003A2D41" w:rsidP="003A2D41">
      <w:pPr>
        <w:numPr>
          <w:ilvl w:val="0"/>
          <w:numId w:val="3"/>
        </w:numPr>
      </w:pPr>
      <w:r w:rsidRPr="003A2D41">
        <w:rPr>
          <w:b/>
          <w:bCs/>
        </w:rPr>
        <w:t xml:space="preserve">Data Migration Requirements: </w:t>
      </w:r>
      <w:r w:rsidRPr="003A2D41">
        <w:t>Ajeesh Kumar A explained that all active and future contacts will be migrated, while historical data will be migrated up to two years.</w:t>
      </w:r>
    </w:p>
    <w:p w14:paraId="76AC7E2D" w14:textId="77777777" w:rsidR="003A2D41" w:rsidRPr="003A2D41" w:rsidRDefault="003A2D41" w:rsidP="003A2D41">
      <w:pPr>
        <w:numPr>
          <w:ilvl w:val="1"/>
          <w:numId w:val="3"/>
        </w:numPr>
      </w:pPr>
      <w:r w:rsidRPr="003A2D41">
        <w:rPr>
          <w:b/>
          <w:bCs/>
        </w:rPr>
        <w:t xml:space="preserve">Active Contacts: </w:t>
      </w:r>
      <w:r w:rsidRPr="003A2D41">
        <w:t>Ajeesh Kumar A clarified that all active contacts, including those signed but not yet executed, will be migrated. This includes future contacts that are due to be signed.</w:t>
      </w:r>
    </w:p>
    <w:p w14:paraId="52717A6F" w14:textId="77777777" w:rsidR="003A2D41" w:rsidRPr="003A2D41" w:rsidRDefault="003A2D41" w:rsidP="003A2D41">
      <w:pPr>
        <w:numPr>
          <w:ilvl w:val="1"/>
          <w:numId w:val="3"/>
        </w:numPr>
      </w:pPr>
      <w:r w:rsidRPr="003A2D41">
        <w:rPr>
          <w:b/>
          <w:bCs/>
        </w:rPr>
        <w:t xml:space="preserve">Historical Data: </w:t>
      </w:r>
      <w:r w:rsidRPr="003A2D41">
        <w:t>Historical data will be migrated up to two years. This means that any data older than two years will not be included in the migration process.</w:t>
      </w:r>
    </w:p>
    <w:p w14:paraId="6672D85A" w14:textId="77777777" w:rsidR="003A2D41" w:rsidRPr="003A2D41" w:rsidRDefault="003A2D41" w:rsidP="003A2D41">
      <w:pPr>
        <w:numPr>
          <w:ilvl w:val="0"/>
          <w:numId w:val="3"/>
        </w:numPr>
      </w:pPr>
      <w:r w:rsidRPr="003A2D41">
        <w:rPr>
          <w:b/>
          <w:bCs/>
        </w:rPr>
        <w:t xml:space="preserve">Agenda Confirmation: </w:t>
      </w:r>
      <w:r w:rsidRPr="003A2D41">
        <w:t>Shubhanjana and GTF confirmed the agenda, which includes splitting the meeting into two parts and discussing the data migration strategy and cutover approach.</w:t>
      </w:r>
    </w:p>
    <w:p w14:paraId="5EE2E157" w14:textId="77777777" w:rsidR="003A2D41" w:rsidRPr="003A2D41" w:rsidRDefault="003A2D41" w:rsidP="003A2D41">
      <w:pPr>
        <w:numPr>
          <w:ilvl w:val="0"/>
          <w:numId w:val="3"/>
        </w:numPr>
      </w:pPr>
      <w:r w:rsidRPr="003A2D41">
        <w:rPr>
          <w:b/>
          <w:bCs/>
        </w:rPr>
        <w:t xml:space="preserve">Workshop Objectives: </w:t>
      </w:r>
      <w:r w:rsidRPr="003A2D41">
        <w:t>GTF explained the two objectives of the workshop: understanding business requirements and the environment for data migration, and discussing the technical environment for data migration.</w:t>
      </w:r>
    </w:p>
    <w:p w14:paraId="40EBAEFB" w14:textId="77777777" w:rsidR="003A2D41" w:rsidRPr="003A2D41" w:rsidRDefault="003A2D41" w:rsidP="003A2D41">
      <w:pPr>
        <w:numPr>
          <w:ilvl w:val="1"/>
          <w:numId w:val="3"/>
        </w:numPr>
      </w:pPr>
      <w:r w:rsidRPr="003A2D41">
        <w:rPr>
          <w:b/>
          <w:bCs/>
        </w:rPr>
        <w:t xml:space="preserve">Business Requirements: </w:t>
      </w:r>
      <w:r w:rsidRPr="003A2D41">
        <w:t>GTF emphasized the need to understand the business requirements and the environment in which the data migration will take place. This understanding is crucial for framing the data migration strategy.</w:t>
      </w:r>
    </w:p>
    <w:p w14:paraId="2CA4AE00" w14:textId="77777777" w:rsidR="003A2D41" w:rsidRPr="003A2D41" w:rsidRDefault="003A2D41" w:rsidP="003A2D41">
      <w:pPr>
        <w:numPr>
          <w:ilvl w:val="1"/>
          <w:numId w:val="3"/>
        </w:numPr>
      </w:pPr>
      <w:r w:rsidRPr="003A2D41">
        <w:rPr>
          <w:b/>
          <w:bCs/>
        </w:rPr>
        <w:t xml:space="preserve">Technical Environment: </w:t>
      </w:r>
      <w:r w:rsidRPr="003A2D41">
        <w:t>The second objective is to discuss the technical environment for data migration. This includes understanding the data fields and database structure to define the template for data extraction and loading.</w:t>
      </w:r>
    </w:p>
    <w:p w14:paraId="44B3EF2C" w14:textId="77777777" w:rsidR="003A2D41" w:rsidRPr="003A2D41" w:rsidRDefault="003A2D41" w:rsidP="003A2D41">
      <w:pPr>
        <w:numPr>
          <w:ilvl w:val="0"/>
          <w:numId w:val="3"/>
        </w:numPr>
      </w:pPr>
      <w:r w:rsidRPr="003A2D41">
        <w:rPr>
          <w:b/>
          <w:bCs/>
        </w:rPr>
        <w:t xml:space="preserve">Data Migration Strategy: </w:t>
      </w:r>
      <w:r w:rsidRPr="003A2D41">
        <w:t>GTF emphasized the importance of migrating live contracts and the need to map Midas data fields to Bit to Win data fields, considering the time required for data migration and the impact on business operations.</w:t>
      </w:r>
    </w:p>
    <w:p w14:paraId="45EB352A" w14:textId="77777777" w:rsidR="003A2D41" w:rsidRPr="003A2D41" w:rsidRDefault="003A2D41" w:rsidP="003A2D41">
      <w:pPr>
        <w:numPr>
          <w:ilvl w:val="1"/>
          <w:numId w:val="3"/>
        </w:numPr>
      </w:pPr>
      <w:r w:rsidRPr="003A2D41">
        <w:rPr>
          <w:b/>
          <w:bCs/>
        </w:rPr>
        <w:lastRenderedPageBreak/>
        <w:t xml:space="preserve">Live Contracts: </w:t>
      </w:r>
      <w:r w:rsidRPr="003A2D41">
        <w:t>GTF highlighted the importance of migrating all live contracts to ensure business continuity. This includes contracts that are currently active and those that will become active in the future.</w:t>
      </w:r>
    </w:p>
    <w:p w14:paraId="6B635F5A" w14:textId="77777777" w:rsidR="003A2D41" w:rsidRPr="003A2D41" w:rsidRDefault="003A2D41" w:rsidP="003A2D41">
      <w:pPr>
        <w:numPr>
          <w:ilvl w:val="1"/>
          <w:numId w:val="3"/>
        </w:numPr>
      </w:pPr>
      <w:r w:rsidRPr="003A2D41">
        <w:rPr>
          <w:b/>
          <w:bCs/>
        </w:rPr>
        <w:t xml:space="preserve">Data Mapping: </w:t>
      </w:r>
      <w:r w:rsidRPr="003A2D41">
        <w:t>There is a need to map Midas data fields to Bit to Win data fields. This mapping process is crucial for ensuring that the data migration is accurate and that the new system functions correctly.</w:t>
      </w:r>
    </w:p>
    <w:p w14:paraId="5E4DEA64" w14:textId="77777777" w:rsidR="003A2D41" w:rsidRPr="003A2D41" w:rsidRDefault="003A2D41" w:rsidP="003A2D41">
      <w:pPr>
        <w:numPr>
          <w:ilvl w:val="1"/>
          <w:numId w:val="3"/>
        </w:numPr>
      </w:pPr>
      <w:r w:rsidRPr="003A2D41">
        <w:rPr>
          <w:b/>
          <w:bCs/>
        </w:rPr>
        <w:t xml:space="preserve">Migration Time: </w:t>
      </w:r>
      <w:r w:rsidRPr="003A2D41">
        <w:t>GTF discussed the time required for data migration and its impact on business operations. The migration process needs to be planned carefully to minimize business disruption.</w:t>
      </w:r>
    </w:p>
    <w:p w14:paraId="6E25F157" w14:textId="77777777" w:rsidR="003A2D41" w:rsidRPr="003A2D41" w:rsidRDefault="003A2D41" w:rsidP="003A2D41">
      <w:pPr>
        <w:numPr>
          <w:ilvl w:val="0"/>
          <w:numId w:val="3"/>
        </w:numPr>
      </w:pPr>
      <w:r w:rsidRPr="003A2D41">
        <w:rPr>
          <w:b/>
          <w:bCs/>
        </w:rPr>
        <w:t xml:space="preserve">Technical Environment Discussion: </w:t>
      </w:r>
      <w:r w:rsidRPr="003A2D41">
        <w:t>GTF mentioned that the technical environment discussion will focus on data fields and database structure, which will help define the template for data extraction and loading.</w:t>
      </w:r>
    </w:p>
    <w:p w14:paraId="40A88FD7" w14:textId="77777777" w:rsidR="003A2D41" w:rsidRPr="003A2D41" w:rsidRDefault="003A2D41" w:rsidP="003A2D41">
      <w:pPr>
        <w:numPr>
          <w:ilvl w:val="1"/>
          <w:numId w:val="3"/>
        </w:numPr>
      </w:pPr>
      <w:r w:rsidRPr="003A2D41">
        <w:rPr>
          <w:b/>
          <w:bCs/>
        </w:rPr>
        <w:t xml:space="preserve">Data Fields: </w:t>
      </w:r>
      <w:r w:rsidRPr="003A2D41">
        <w:t>The discussion will focus on understanding the data fields that need to be migrated. This understanding is essential for defining the data extraction and loading template.</w:t>
      </w:r>
    </w:p>
    <w:p w14:paraId="1DA3010D" w14:textId="77777777" w:rsidR="003A2D41" w:rsidRPr="003A2D41" w:rsidRDefault="003A2D41" w:rsidP="003A2D41">
      <w:pPr>
        <w:numPr>
          <w:ilvl w:val="1"/>
          <w:numId w:val="3"/>
        </w:numPr>
      </w:pPr>
      <w:r w:rsidRPr="003A2D41">
        <w:rPr>
          <w:b/>
          <w:bCs/>
        </w:rPr>
        <w:t xml:space="preserve">Database Structure: </w:t>
      </w:r>
      <w:r w:rsidRPr="003A2D41">
        <w:t>The database structure will also be discussed to ensure that the data migration process is well-defined and that the new system can handle the migrated data effectively.</w:t>
      </w:r>
    </w:p>
    <w:p w14:paraId="116C1050" w14:textId="77777777" w:rsidR="003A2D41" w:rsidRPr="003A2D41" w:rsidRDefault="003A2D41" w:rsidP="003A2D41">
      <w:pPr>
        <w:numPr>
          <w:ilvl w:val="0"/>
          <w:numId w:val="3"/>
        </w:numPr>
      </w:pPr>
      <w:r w:rsidRPr="003A2D41">
        <w:rPr>
          <w:b/>
          <w:bCs/>
        </w:rPr>
        <w:t xml:space="preserve">Data Migration Approach: </w:t>
      </w:r>
      <w:r w:rsidRPr="003A2D41">
        <w:t>Shubhanjana outlined the high-level data migration approach, including preparing the strategy, extracting data, mapping and transformation, and loading data into staging and target environments.</w:t>
      </w:r>
    </w:p>
    <w:p w14:paraId="79BA9690" w14:textId="77777777" w:rsidR="003A2D41" w:rsidRPr="003A2D41" w:rsidRDefault="003A2D41" w:rsidP="003A2D41">
      <w:pPr>
        <w:numPr>
          <w:ilvl w:val="1"/>
          <w:numId w:val="3"/>
        </w:numPr>
      </w:pPr>
      <w:r w:rsidRPr="003A2D41">
        <w:rPr>
          <w:b/>
          <w:bCs/>
        </w:rPr>
        <w:t xml:space="preserve">Strategy Preparation: </w:t>
      </w:r>
      <w:r w:rsidRPr="003A2D41">
        <w:t>The first step in the data migration approach is to prepare the strategy. This involves understanding the data model, object mapping, and finalizing the cutover window.</w:t>
      </w:r>
    </w:p>
    <w:p w14:paraId="062F19C9" w14:textId="77777777" w:rsidR="003A2D41" w:rsidRPr="003A2D41" w:rsidRDefault="003A2D41" w:rsidP="003A2D41">
      <w:pPr>
        <w:numPr>
          <w:ilvl w:val="1"/>
          <w:numId w:val="3"/>
        </w:numPr>
      </w:pPr>
      <w:r w:rsidRPr="003A2D41">
        <w:rPr>
          <w:b/>
          <w:bCs/>
        </w:rPr>
        <w:t xml:space="preserve">Data Extraction: </w:t>
      </w:r>
      <w:r w:rsidRPr="003A2D41">
        <w:t>The next step is to extract data from the source systems. This involves identifying the data that needs to be migrated and extracting it in the required format.</w:t>
      </w:r>
    </w:p>
    <w:p w14:paraId="57FCF714" w14:textId="77777777" w:rsidR="003A2D41" w:rsidRPr="003A2D41" w:rsidRDefault="003A2D41" w:rsidP="003A2D41">
      <w:pPr>
        <w:numPr>
          <w:ilvl w:val="1"/>
          <w:numId w:val="3"/>
        </w:numPr>
      </w:pPr>
      <w:r w:rsidRPr="003A2D41">
        <w:rPr>
          <w:b/>
          <w:bCs/>
        </w:rPr>
        <w:t xml:space="preserve">Mapping and Transformation: </w:t>
      </w:r>
      <w:r w:rsidRPr="003A2D41">
        <w:t>Once the data is extracted, it needs to be mapped and transformed to fit the target system. This involves defining the mapping rules and building the transformation logic.</w:t>
      </w:r>
    </w:p>
    <w:p w14:paraId="1E9FA9E9" w14:textId="77777777" w:rsidR="003A2D41" w:rsidRPr="003A2D41" w:rsidRDefault="003A2D41" w:rsidP="003A2D41">
      <w:pPr>
        <w:numPr>
          <w:ilvl w:val="1"/>
          <w:numId w:val="3"/>
        </w:numPr>
      </w:pPr>
      <w:r w:rsidRPr="003A2D41">
        <w:rPr>
          <w:b/>
          <w:bCs/>
        </w:rPr>
        <w:t xml:space="preserve">Loading Data: </w:t>
      </w:r>
      <w:r w:rsidRPr="003A2D41">
        <w:t>The final step is to load the data into the staging environment and then into the target environment. This involves running reconciliation reports and fixing any issues that arise during the loading process.</w:t>
      </w:r>
    </w:p>
    <w:p w14:paraId="6E461BD8" w14:textId="77777777" w:rsidR="003A2D41" w:rsidRPr="003A2D41" w:rsidRDefault="003A2D41" w:rsidP="003A2D41">
      <w:pPr>
        <w:numPr>
          <w:ilvl w:val="0"/>
          <w:numId w:val="3"/>
        </w:numPr>
      </w:pPr>
      <w:r w:rsidRPr="003A2D41">
        <w:rPr>
          <w:b/>
          <w:bCs/>
        </w:rPr>
        <w:lastRenderedPageBreak/>
        <w:t xml:space="preserve">User Acceptance Testing: </w:t>
      </w:r>
      <w:r w:rsidRPr="003A2D41">
        <w:t>GTF suggested using the data migration process to populate the user acceptance test environment, which would help build confidence in the data migration.</w:t>
      </w:r>
    </w:p>
    <w:p w14:paraId="12A72342" w14:textId="77777777" w:rsidR="003A2D41" w:rsidRPr="003A2D41" w:rsidRDefault="003A2D41" w:rsidP="003A2D41">
      <w:pPr>
        <w:numPr>
          <w:ilvl w:val="0"/>
          <w:numId w:val="3"/>
        </w:numPr>
      </w:pPr>
      <w:r w:rsidRPr="003A2D41">
        <w:rPr>
          <w:b/>
          <w:bCs/>
        </w:rPr>
        <w:t xml:space="preserve">ETL Process: </w:t>
      </w:r>
      <w:r w:rsidRPr="003A2D41">
        <w:t>Ajeesh Kumar A explained the ETL process, which involves extracting data from Midas, transforming and cleansing it, and migrating it to the staging environment before moving it to the target environment.</w:t>
      </w:r>
    </w:p>
    <w:p w14:paraId="31006322" w14:textId="77777777" w:rsidR="003A2D41" w:rsidRPr="003A2D41" w:rsidRDefault="003A2D41" w:rsidP="003A2D41">
      <w:pPr>
        <w:numPr>
          <w:ilvl w:val="1"/>
          <w:numId w:val="3"/>
        </w:numPr>
      </w:pPr>
      <w:r w:rsidRPr="003A2D41">
        <w:rPr>
          <w:b/>
          <w:bCs/>
        </w:rPr>
        <w:t xml:space="preserve">Data Extraction: </w:t>
      </w:r>
      <w:r w:rsidRPr="003A2D41">
        <w:t>The ETL process begins with extracting data from the Midas system. This involves identifying the data that needs to be migrated and extracting it in the required format.</w:t>
      </w:r>
    </w:p>
    <w:p w14:paraId="76E7E61E" w14:textId="77777777" w:rsidR="003A2D41" w:rsidRPr="003A2D41" w:rsidRDefault="003A2D41" w:rsidP="003A2D41">
      <w:pPr>
        <w:numPr>
          <w:ilvl w:val="1"/>
          <w:numId w:val="3"/>
        </w:numPr>
      </w:pPr>
      <w:r w:rsidRPr="003A2D41">
        <w:rPr>
          <w:b/>
          <w:bCs/>
        </w:rPr>
        <w:t xml:space="preserve">Data Transformation: </w:t>
      </w:r>
      <w:r w:rsidRPr="003A2D41">
        <w:t>Once the data is extracted, it needs to be transformed and cleansed. This involves applying transformation rules and cleansing the data to ensure its accuracy and completeness.</w:t>
      </w:r>
    </w:p>
    <w:p w14:paraId="3973F3C7" w14:textId="77777777" w:rsidR="003A2D41" w:rsidRPr="003A2D41" w:rsidRDefault="003A2D41" w:rsidP="003A2D41">
      <w:pPr>
        <w:numPr>
          <w:ilvl w:val="1"/>
          <w:numId w:val="3"/>
        </w:numPr>
      </w:pPr>
      <w:r w:rsidRPr="003A2D41">
        <w:rPr>
          <w:b/>
          <w:bCs/>
        </w:rPr>
        <w:t xml:space="preserve">Staging Environment: </w:t>
      </w:r>
      <w:r w:rsidRPr="003A2D41">
        <w:t>The transformed data is then migrated to the staging environment. This step involves loading the data into the staging environment and running reconciliation reports to identify any issues.</w:t>
      </w:r>
    </w:p>
    <w:p w14:paraId="305BDBE8" w14:textId="77777777" w:rsidR="003A2D41" w:rsidRPr="003A2D41" w:rsidRDefault="003A2D41" w:rsidP="003A2D41">
      <w:pPr>
        <w:numPr>
          <w:ilvl w:val="1"/>
          <w:numId w:val="3"/>
        </w:numPr>
      </w:pPr>
      <w:r w:rsidRPr="003A2D41">
        <w:rPr>
          <w:b/>
          <w:bCs/>
        </w:rPr>
        <w:t xml:space="preserve">Target Environment: </w:t>
      </w:r>
      <w:r w:rsidRPr="003A2D41">
        <w:t>After the data is successfully loaded into the staging environment, it is then migrated to the target environment. This involves running final reconciliation reports and ensuring that the data is accurately loaded into the target system.</w:t>
      </w:r>
    </w:p>
    <w:p w14:paraId="4F10191D" w14:textId="77777777" w:rsidR="003A2D41" w:rsidRPr="003A2D41" w:rsidRDefault="003A2D41" w:rsidP="003A2D41">
      <w:pPr>
        <w:numPr>
          <w:ilvl w:val="0"/>
          <w:numId w:val="3"/>
        </w:numPr>
      </w:pPr>
      <w:r w:rsidRPr="003A2D41">
        <w:rPr>
          <w:b/>
          <w:bCs/>
        </w:rPr>
        <w:t xml:space="preserve">Cutover Activities: </w:t>
      </w:r>
      <w:r w:rsidRPr="003A2D41">
        <w:t>Ajeesh Kumar A and GTF discussed the tentative cutover activities, including the shutdown of the existing Midas system, ETL process, technical validation, and business validation before the final go-live.</w:t>
      </w:r>
    </w:p>
    <w:p w14:paraId="37A05277" w14:textId="77777777" w:rsidR="003A2D41" w:rsidRPr="003A2D41" w:rsidRDefault="003A2D41" w:rsidP="003A2D41">
      <w:pPr>
        <w:numPr>
          <w:ilvl w:val="1"/>
          <w:numId w:val="3"/>
        </w:numPr>
      </w:pPr>
      <w:r w:rsidRPr="003A2D41">
        <w:rPr>
          <w:b/>
          <w:bCs/>
        </w:rPr>
        <w:t xml:space="preserve">Shutdown of Midas: </w:t>
      </w:r>
      <w:r w:rsidRPr="003A2D41">
        <w:t>The cutover activities will begin with the shutdown of the existing Midas system. This is scheduled for the last Friday of September, and the system will be shut down at 4:00 PM.</w:t>
      </w:r>
    </w:p>
    <w:p w14:paraId="1C886C69" w14:textId="77777777" w:rsidR="003A2D41" w:rsidRPr="003A2D41" w:rsidRDefault="003A2D41" w:rsidP="003A2D41">
      <w:pPr>
        <w:numPr>
          <w:ilvl w:val="1"/>
          <w:numId w:val="3"/>
        </w:numPr>
      </w:pPr>
      <w:r w:rsidRPr="003A2D41">
        <w:rPr>
          <w:b/>
          <w:bCs/>
        </w:rPr>
        <w:t xml:space="preserve">ETL Process: </w:t>
      </w:r>
      <w:r w:rsidRPr="003A2D41">
        <w:t>Following the shutdown, the ETL process will be executed. This involves extracting data from Midas, transforming and cleansing it, and migrating it to the staging environment.</w:t>
      </w:r>
    </w:p>
    <w:p w14:paraId="38B3AF11" w14:textId="77777777" w:rsidR="003A2D41" w:rsidRPr="003A2D41" w:rsidRDefault="003A2D41" w:rsidP="003A2D41">
      <w:pPr>
        <w:numPr>
          <w:ilvl w:val="1"/>
          <w:numId w:val="3"/>
        </w:numPr>
      </w:pPr>
      <w:r w:rsidRPr="003A2D41">
        <w:rPr>
          <w:b/>
          <w:bCs/>
        </w:rPr>
        <w:t xml:space="preserve">Technical Validation: </w:t>
      </w:r>
      <w:r w:rsidRPr="003A2D41">
        <w:t>Once the data is migrated to the staging environment, technical validation will be performed. This involves running reconciliation reports and ensuring that the data is accurately loaded into the staging environment.</w:t>
      </w:r>
    </w:p>
    <w:p w14:paraId="604FFE7C" w14:textId="77777777" w:rsidR="003A2D41" w:rsidRPr="003A2D41" w:rsidRDefault="003A2D41" w:rsidP="003A2D41">
      <w:pPr>
        <w:numPr>
          <w:ilvl w:val="1"/>
          <w:numId w:val="3"/>
        </w:numPr>
      </w:pPr>
      <w:r w:rsidRPr="003A2D41">
        <w:rPr>
          <w:b/>
          <w:bCs/>
        </w:rPr>
        <w:lastRenderedPageBreak/>
        <w:t xml:space="preserve">Business Validation: </w:t>
      </w:r>
      <w:r w:rsidRPr="003A2D41">
        <w:t>After technical validation, business validation will be performed. This involves running business tests and ensuring that the data is accurately loaded into the target environment.</w:t>
      </w:r>
    </w:p>
    <w:p w14:paraId="77E2B6AE" w14:textId="77777777" w:rsidR="003A2D41" w:rsidRPr="003A2D41" w:rsidRDefault="003A2D41" w:rsidP="003A2D41">
      <w:pPr>
        <w:numPr>
          <w:ilvl w:val="1"/>
          <w:numId w:val="3"/>
        </w:numPr>
      </w:pPr>
      <w:r w:rsidRPr="003A2D41">
        <w:rPr>
          <w:b/>
          <w:bCs/>
        </w:rPr>
        <w:t xml:space="preserve">Final Go-Live: </w:t>
      </w:r>
      <w:r w:rsidRPr="003A2D41">
        <w:t>The final step is the go-live, which involves migrating the data to the target environment and ensuring that the new system is fully operational.</w:t>
      </w:r>
    </w:p>
    <w:p w14:paraId="4F873708" w14:textId="77777777" w:rsidR="003A2D41" w:rsidRPr="003A2D41" w:rsidRDefault="003A2D41" w:rsidP="003A2D41">
      <w:pPr>
        <w:numPr>
          <w:ilvl w:val="0"/>
          <w:numId w:val="3"/>
        </w:numPr>
      </w:pPr>
      <w:r w:rsidRPr="003A2D41">
        <w:rPr>
          <w:b/>
          <w:bCs/>
        </w:rPr>
        <w:t xml:space="preserve">Data Migration Workshops: </w:t>
      </w:r>
      <w:r w:rsidRPr="003A2D41">
        <w:t>Shubhanjana and GTF agreed to plan future workshops to discuss the data model, objects, and mapping for the identified data entities.</w:t>
      </w:r>
    </w:p>
    <w:p w14:paraId="115717A2" w14:textId="77777777" w:rsidR="003A2D41" w:rsidRPr="003A2D41" w:rsidRDefault="003A2D41" w:rsidP="003A2D41">
      <w:pPr>
        <w:numPr>
          <w:ilvl w:val="1"/>
          <w:numId w:val="3"/>
        </w:numPr>
      </w:pPr>
      <w:r w:rsidRPr="003A2D41">
        <w:rPr>
          <w:b/>
          <w:bCs/>
        </w:rPr>
        <w:t xml:space="preserve">Future Workshops: </w:t>
      </w:r>
      <w:r w:rsidRPr="003A2D41">
        <w:t>Shubhanjana and GTF agreed to plan future workshops to discuss the data model, objects, and mapping for the identified data entities. These workshops will help in finalizing the data migration strategy and ensuring that all data is accurately migrated to the new system.</w:t>
      </w:r>
    </w:p>
    <w:p w14:paraId="553260A4" w14:textId="77777777" w:rsidR="003A2D41" w:rsidRPr="003A2D41" w:rsidRDefault="003A2D41" w:rsidP="003A2D41">
      <w:pPr>
        <w:numPr>
          <w:ilvl w:val="1"/>
          <w:numId w:val="3"/>
        </w:numPr>
      </w:pPr>
      <w:r w:rsidRPr="003A2D41">
        <w:rPr>
          <w:b/>
          <w:bCs/>
        </w:rPr>
        <w:t xml:space="preserve">Workshop Planning: </w:t>
      </w:r>
      <w:r w:rsidRPr="003A2D41">
        <w:t>The workshops will be planned to cover various data entities, including customer master data, meter master data, meter point data, consumption data, offer details, and contract charge data. The goal is to ensure that all relevant data is accurately mapped and migrated to the new system.</w:t>
      </w:r>
    </w:p>
    <w:p w14:paraId="08B255AA" w14:textId="77777777" w:rsidR="003A2D41" w:rsidRPr="003A2D41" w:rsidRDefault="003A2D41" w:rsidP="003A2D41">
      <w:r w:rsidRPr="003A2D41">
        <w:t>Follow-up tasks:</w:t>
      </w:r>
    </w:p>
    <w:p w14:paraId="3C8D0551" w14:textId="77777777" w:rsidR="003A2D41" w:rsidRPr="003A2D41" w:rsidRDefault="003A2D41" w:rsidP="003A2D41">
      <w:pPr>
        <w:numPr>
          <w:ilvl w:val="0"/>
          <w:numId w:val="4"/>
        </w:numPr>
      </w:pPr>
      <w:r w:rsidRPr="003A2D41">
        <w:rPr>
          <w:b/>
          <w:bCs/>
        </w:rPr>
        <w:t xml:space="preserve">Data Migration Strategy: </w:t>
      </w:r>
      <w:r w:rsidRPr="003A2D41">
        <w:t>Prepare and share the data migration strategy document for sign-off. (shubhanjana)</w:t>
      </w:r>
    </w:p>
    <w:p w14:paraId="0911D4DD" w14:textId="77777777" w:rsidR="003A2D41" w:rsidRPr="003A2D41" w:rsidRDefault="003A2D41" w:rsidP="003A2D41">
      <w:pPr>
        <w:numPr>
          <w:ilvl w:val="0"/>
          <w:numId w:val="4"/>
        </w:numPr>
      </w:pPr>
      <w:r w:rsidRPr="003A2D41">
        <w:rPr>
          <w:b/>
          <w:bCs/>
        </w:rPr>
        <w:t xml:space="preserve">Data Model and Objects: </w:t>
      </w:r>
      <w:r w:rsidRPr="003A2D41">
        <w:t>Provide the data model and objects related to metre master data, metre point data, consumption data, offer details, and contract charge data. (GTF)</w:t>
      </w:r>
    </w:p>
    <w:p w14:paraId="0C1FCCFF" w14:textId="77777777" w:rsidR="003A2D41" w:rsidRPr="003A2D41" w:rsidRDefault="003A2D41" w:rsidP="003A2D41">
      <w:pPr>
        <w:numPr>
          <w:ilvl w:val="0"/>
          <w:numId w:val="4"/>
        </w:numPr>
      </w:pPr>
      <w:r w:rsidRPr="003A2D41">
        <w:rPr>
          <w:b/>
          <w:bCs/>
        </w:rPr>
        <w:t xml:space="preserve">Future Workshops Planning: </w:t>
      </w:r>
      <w:r w:rsidRPr="003A2D41">
        <w:t>Plan and schedule future workshops to discuss the identified data objects and their mapping. (shubhanjana, GTF)</w:t>
      </w:r>
    </w:p>
    <w:p w14:paraId="3B081AA5" w14:textId="77777777" w:rsidR="003A2D41" w:rsidRPr="003A2D41" w:rsidRDefault="003A2D41" w:rsidP="003A2D41">
      <w:pPr>
        <w:numPr>
          <w:ilvl w:val="0"/>
          <w:numId w:val="4"/>
        </w:numPr>
      </w:pPr>
      <w:r w:rsidRPr="003A2D41">
        <w:rPr>
          <w:b/>
          <w:bCs/>
        </w:rPr>
        <w:t xml:space="preserve">Glossary Definition: </w:t>
      </w:r>
      <w:r w:rsidRPr="003A2D41">
        <w:t>Create and get sign-off on a glossary defining terms such as active account, inactive account, and contract. (GTF)</w:t>
      </w:r>
    </w:p>
    <w:p w14:paraId="40F2F4C6" w14:textId="77777777" w:rsidR="003A2D41" w:rsidRPr="003A2D41" w:rsidRDefault="003A2D41" w:rsidP="003A2D41">
      <w:pPr>
        <w:numPr>
          <w:ilvl w:val="0"/>
          <w:numId w:val="4"/>
        </w:numPr>
      </w:pPr>
      <w:r w:rsidRPr="003A2D41">
        <w:rPr>
          <w:b/>
          <w:bCs/>
        </w:rPr>
        <w:t xml:space="preserve">Salesforce Integration: </w:t>
      </w:r>
      <w:r w:rsidRPr="003A2D41">
        <w:t>Clarify the integration approach for customer master data from Salesforce post-migration. (GTF)</w:t>
      </w:r>
    </w:p>
    <w:p w14:paraId="43A518AF" w14:textId="77777777" w:rsidR="003A2D41" w:rsidRPr="003A2D41" w:rsidRDefault="003A2D41" w:rsidP="003A2D41">
      <w:pPr>
        <w:numPr>
          <w:ilvl w:val="0"/>
          <w:numId w:val="4"/>
        </w:numPr>
      </w:pPr>
      <w:r w:rsidRPr="003A2D41">
        <w:rPr>
          <w:b/>
          <w:bCs/>
        </w:rPr>
        <w:t xml:space="preserve">Contract PDF Files: </w:t>
      </w:r>
      <w:r w:rsidRPr="003A2D41">
        <w:t>Decide whether to migrate PDF files of contracts and how to handle them in the new system. (GTF)</w:t>
      </w:r>
    </w:p>
    <w:p w14:paraId="2FB0D9BA" w14:textId="77777777" w:rsidR="003A2D41" w:rsidRPr="003A2D41" w:rsidRDefault="003A2D41" w:rsidP="003A2D41">
      <w:pPr>
        <w:numPr>
          <w:ilvl w:val="0"/>
          <w:numId w:val="4"/>
        </w:numPr>
      </w:pPr>
      <w:r w:rsidRPr="003A2D41">
        <w:rPr>
          <w:b/>
          <w:bCs/>
        </w:rPr>
        <w:lastRenderedPageBreak/>
        <w:t xml:space="preserve">Data Extraction Plan: </w:t>
      </w:r>
      <w:r w:rsidRPr="003A2D41">
        <w:t>Determine the best approach for extracting data from Midas during the migration. (GTF)</w:t>
      </w:r>
    </w:p>
    <w:p w14:paraId="2E9D7A7B" w14:textId="77777777" w:rsidR="003A2D41" w:rsidRPr="003A2D41" w:rsidRDefault="003A2D41" w:rsidP="003A2D41">
      <w:pPr>
        <w:numPr>
          <w:ilvl w:val="0"/>
          <w:numId w:val="4"/>
        </w:numPr>
      </w:pPr>
      <w:r w:rsidRPr="003A2D41">
        <w:rPr>
          <w:b/>
          <w:bCs/>
        </w:rPr>
        <w:t xml:space="preserve">Business Process Impact: </w:t>
      </w:r>
      <w:r w:rsidRPr="003A2D41">
        <w:t>Confirm that there are no business processes that will update Midas data after 4:00 PM on the Friday before the migration weekend. (GTF)</w:t>
      </w:r>
    </w:p>
    <w:p w14:paraId="284C5BEC" w14:textId="77777777" w:rsidR="008C5573" w:rsidRDefault="008C5573"/>
    <w:sectPr w:rsidR="008C5573">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E911" w14:textId="77777777" w:rsidR="000E0DAF" w:rsidRDefault="000E0DAF" w:rsidP="003A2D41">
      <w:pPr>
        <w:spacing w:after="0" w:line="240" w:lineRule="auto"/>
      </w:pPr>
      <w:r>
        <w:separator/>
      </w:r>
    </w:p>
  </w:endnote>
  <w:endnote w:type="continuationSeparator" w:id="0">
    <w:p w14:paraId="587E099F" w14:textId="77777777" w:rsidR="000E0DAF" w:rsidRDefault="000E0DAF" w:rsidP="003A2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02D4" w14:textId="7D946A7D" w:rsidR="003A2D41" w:rsidRDefault="003A2D41">
    <w:pPr>
      <w:pStyle w:val="Footer"/>
    </w:pPr>
    <w:r>
      <w:rPr>
        <w:noProof/>
      </w:rPr>
      <mc:AlternateContent>
        <mc:Choice Requires="wps">
          <w:drawing>
            <wp:anchor distT="0" distB="0" distL="0" distR="0" simplePos="0" relativeHeight="251659264" behindDoc="0" locked="0" layoutInCell="1" allowOverlap="1" wp14:anchorId="41C647F4" wp14:editId="19305EA2">
              <wp:simplePos x="635" y="635"/>
              <wp:positionH relativeFrom="page">
                <wp:align>left</wp:align>
              </wp:positionH>
              <wp:positionV relativeFrom="page">
                <wp:align>bottom</wp:align>
              </wp:positionV>
              <wp:extent cx="1520190" cy="370205"/>
              <wp:effectExtent l="0" t="0" r="3810" b="0"/>
              <wp:wrapNone/>
              <wp:docPr id="1816986638"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0190" cy="370205"/>
                      </a:xfrm>
                      <a:prstGeom prst="rect">
                        <a:avLst/>
                      </a:prstGeom>
                      <a:noFill/>
                      <a:ln>
                        <a:noFill/>
                      </a:ln>
                    </wps:spPr>
                    <wps:txbx>
                      <w:txbxContent>
                        <w:p w14:paraId="58FFBD8A" w14:textId="66172FFF" w:rsidR="003A2D41" w:rsidRPr="003A2D41" w:rsidRDefault="003A2D41" w:rsidP="003A2D41">
                          <w:pPr>
                            <w:spacing w:after="0"/>
                            <w:rPr>
                              <w:rFonts w:ascii="Calibri" w:eastAsia="Calibri" w:hAnsi="Calibri" w:cs="Calibri"/>
                              <w:noProof/>
                              <w:color w:val="000000"/>
                              <w:sz w:val="20"/>
                              <w:szCs w:val="20"/>
                            </w:rPr>
                          </w:pPr>
                          <w:r w:rsidRPr="003A2D41">
                            <w:rPr>
                              <w:rFonts w:ascii="Calibri" w:eastAsia="Calibri" w:hAnsi="Calibri" w:cs="Calibri"/>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C647F4" id="_x0000_t202" coordsize="21600,21600" o:spt="202" path="m,l,21600r21600,l21600,xe">
              <v:stroke joinstyle="miter"/>
              <v:path gradientshapeok="t" o:connecttype="rect"/>
            </v:shapetype>
            <v:shape id="Text Box 2" o:spid="_x0000_s1026" type="#_x0000_t202" alt="Personal - Individual Use" style="position:absolute;margin-left:0;margin-top:0;width:119.7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" filled="f" stroked="f">
              <v:fill o:detectmouseclick="t"/>
              <v:textbox style="mso-fit-shape-to-text:t" inset="20pt,0,0,15pt">
                <w:txbxContent>
                  <w:p w14:paraId="58FFBD8A" w14:textId="66172FFF" w:rsidR="003A2D41" w:rsidRPr="003A2D41" w:rsidRDefault="003A2D41" w:rsidP="003A2D41">
                    <w:pPr>
                      <w:spacing w:after="0"/>
                      <w:rPr>
                        <w:rFonts w:ascii="Calibri" w:eastAsia="Calibri" w:hAnsi="Calibri" w:cs="Calibri"/>
                        <w:noProof/>
                        <w:color w:val="000000"/>
                        <w:sz w:val="20"/>
                        <w:szCs w:val="20"/>
                      </w:rPr>
                    </w:pPr>
                    <w:r w:rsidRPr="003A2D41">
                      <w:rPr>
                        <w:rFonts w:ascii="Calibri" w:eastAsia="Calibri" w:hAnsi="Calibri" w:cs="Calibri"/>
                        <w:noProof/>
                        <w:color w:val="000000"/>
                        <w:sz w:val="20"/>
                        <w:szCs w:val="2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6026" w14:textId="1312678B" w:rsidR="003A2D41" w:rsidRDefault="003A2D41">
    <w:pPr>
      <w:pStyle w:val="Footer"/>
    </w:pPr>
    <w:r>
      <w:rPr>
        <w:noProof/>
      </w:rPr>
      <mc:AlternateContent>
        <mc:Choice Requires="wps">
          <w:drawing>
            <wp:anchor distT="0" distB="0" distL="0" distR="0" simplePos="0" relativeHeight="251660288" behindDoc="0" locked="0" layoutInCell="1" allowOverlap="1" wp14:anchorId="441B045B" wp14:editId="29B3F764">
              <wp:simplePos x="914400" y="9420225"/>
              <wp:positionH relativeFrom="page">
                <wp:align>left</wp:align>
              </wp:positionH>
              <wp:positionV relativeFrom="page">
                <wp:align>bottom</wp:align>
              </wp:positionV>
              <wp:extent cx="1520190" cy="370205"/>
              <wp:effectExtent l="0" t="0" r="3810" b="0"/>
              <wp:wrapNone/>
              <wp:docPr id="937607690"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0190" cy="370205"/>
                      </a:xfrm>
                      <a:prstGeom prst="rect">
                        <a:avLst/>
                      </a:prstGeom>
                      <a:noFill/>
                      <a:ln>
                        <a:noFill/>
                      </a:ln>
                    </wps:spPr>
                    <wps:txbx>
                      <w:txbxContent>
                        <w:p w14:paraId="24EA3182" w14:textId="477A0897" w:rsidR="003A2D41" w:rsidRPr="003A2D41" w:rsidRDefault="003A2D41" w:rsidP="003A2D41">
                          <w:pPr>
                            <w:spacing w:after="0"/>
                            <w:rPr>
                              <w:rFonts w:ascii="Calibri" w:eastAsia="Calibri" w:hAnsi="Calibri" w:cs="Calibri"/>
                              <w:noProof/>
                              <w:color w:val="000000"/>
                              <w:sz w:val="20"/>
                              <w:szCs w:val="20"/>
                            </w:rPr>
                          </w:pPr>
                          <w:r w:rsidRPr="003A2D41">
                            <w:rPr>
                              <w:rFonts w:ascii="Calibri" w:eastAsia="Calibri" w:hAnsi="Calibri" w:cs="Calibri"/>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1B045B" id="_x0000_t202" coordsize="21600,21600" o:spt="202" path="m,l,21600r21600,l21600,xe">
              <v:stroke joinstyle="miter"/>
              <v:path gradientshapeok="t" o:connecttype="rect"/>
            </v:shapetype>
            <v:shape id="Text Box 3" o:spid="_x0000_s1027" type="#_x0000_t202" alt="Personal - Individual Use" style="position:absolute;margin-left:0;margin-top:0;width:119.7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" filled="f" stroked="f">
              <v:fill o:detectmouseclick="t"/>
              <v:textbox style="mso-fit-shape-to-text:t" inset="20pt,0,0,15pt">
                <w:txbxContent>
                  <w:p w14:paraId="24EA3182" w14:textId="477A0897" w:rsidR="003A2D41" w:rsidRPr="003A2D41" w:rsidRDefault="003A2D41" w:rsidP="003A2D41">
                    <w:pPr>
                      <w:spacing w:after="0"/>
                      <w:rPr>
                        <w:rFonts w:ascii="Calibri" w:eastAsia="Calibri" w:hAnsi="Calibri" w:cs="Calibri"/>
                        <w:noProof/>
                        <w:color w:val="000000"/>
                        <w:sz w:val="20"/>
                        <w:szCs w:val="20"/>
                      </w:rPr>
                    </w:pPr>
                    <w:r w:rsidRPr="003A2D41">
                      <w:rPr>
                        <w:rFonts w:ascii="Calibri" w:eastAsia="Calibri" w:hAnsi="Calibri" w:cs="Calibri"/>
                        <w:noProof/>
                        <w:color w:val="000000"/>
                        <w:sz w:val="20"/>
                        <w:szCs w:val="2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575E" w14:textId="416FFE78" w:rsidR="003A2D41" w:rsidRDefault="003A2D41">
    <w:pPr>
      <w:pStyle w:val="Footer"/>
    </w:pPr>
    <w:r>
      <w:rPr>
        <w:noProof/>
      </w:rPr>
      <mc:AlternateContent>
        <mc:Choice Requires="wps">
          <w:drawing>
            <wp:anchor distT="0" distB="0" distL="0" distR="0" simplePos="0" relativeHeight="251658240" behindDoc="0" locked="0" layoutInCell="1" allowOverlap="1" wp14:anchorId="008228D0" wp14:editId="3CAE616B">
              <wp:simplePos x="635" y="635"/>
              <wp:positionH relativeFrom="page">
                <wp:align>left</wp:align>
              </wp:positionH>
              <wp:positionV relativeFrom="page">
                <wp:align>bottom</wp:align>
              </wp:positionV>
              <wp:extent cx="1520190" cy="370205"/>
              <wp:effectExtent l="0" t="0" r="3810" b="0"/>
              <wp:wrapNone/>
              <wp:docPr id="1388556232"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0190" cy="370205"/>
                      </a:xfrm>
                      <a:prstGeom prst="rect">
                        <a:avLst/>
                      </a:prstGeom>
                      <a:noFill/>
                      <a:ln>
                        <a:noFill/>
                      </a:ln>
                    </wps:spPr>
                    <wps:txbx>
                      <w:txbxContent>
                        <w:p w14:paraId="24363F85" w14:textId="502F9CB2" w:rsidR="003A2D41" w:rsidRPr="003A2D41" w:rsidRDefault="003A2D41" w:rsidP="003A2D41">
                          <w:pPr>
                            <w:spacing w:after="0"/>
                            <w:rPr>
                              <w:rFonts w:ascii="Calibri" w:eastAsia="Calibri" w:hAnsi="Calibri" w:cs="Calibri"/>
                              <w:noProof/>
                              <w:color w:val="000000"/>
                              <w:sz w:val="20"/>
                              <w:szCs w:val="20"/>
                            </w:rPr>
                          </w:pPr>
                          <w:r w:rsidRPr="003A2D41">
                            <w:rPr>
                              <w:rFonts w:ascii="Calibri" w:eastAsia="Calibri" w:hAnsi="Calibri" w:cs="Calibri"/>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8228D0" id="_x0000_t202" coordsize="21600,21600" o:spt="202" path="m,l,21600r21600,l21600,xe">
              <v:stroke joinstyle="miter"/>
              <v:path gradientshapeok="t" o:connecttype="rect"/>
            </v:shapetype>
            <v:shape id="Text Box 1" o:spid="_x0000_s1028" type="#_x0000_t202" alt="Personal - Individual Use" style="position:absolute;margin-left:0;margin-top:0;width:119.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" filled="f" stroked="f">
              <v:fill o:detectmouseclick="t"/>
              <v:textbox style="mso-fit-shape-to-text:t" inset="20pt,0,0,15pt">
                <w:txbxContent>
                  <w:p w14:paraId="24363F85" w14:textId="502F9CB2" w:rsidR="003A2D41" w:rsidRPr="003A2D41" w:rsidRDefault="003A2D41" w:rsidP="003A2D41">
                    <w:pPr>
                      <w:spacing w:after="0"/>
                      <w:rPr>
                        <w:rFonts w:ascii="Calibri" w:eastAsia="Calibri" w:hAnsi="Calibri" w:cs="Calibri"/>
                        <w:noProof/>
                        <w:color w:val="000000"/>
                        <w:sz w:val="20"/>
                        <w:szCs w:val="20"/>
                      </w:rPr>
                    </w:pPr>
                    <w:r w:rsidRPr="003A2D41">
                      <w:rPr>
                        <w:rFonts w:ascii="Calibri" w:eastAsia="Calibri" w:hAnsi="Calibri" w:cs="Calibri"/>
                        <w:noProof/>
                        <w:color w:val="000000"/>
                        <w:sz w:val="20"/>
                        <w:szCs w:val="2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C4E78" w14:textId="77777777" w:rsidR="000E0DAF" w:rsidRDefault="000E0DAF" w:rsidP="003A2D41">
      <w:pPr>
        <w:spacing w:after="0" w:line="240" w:lineRule="auto"/>
      </w:pPr>
      <w:r>
        <w:separator/>
      </w:r>
    </w:p>
  </w:footnote>
  <w:footnote w:type="continuationSeparator" w:id="0">
    <w:p w14:paraId="6A0113F9" w14:textId="77777777" w:rsidR="000E0DAF" w:rsidRDefault="000E0DAF" w:rsidP="003A2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BD1"/>
    <w:multiLevelType w:val="multilevel"/>
    <w:tmpl w:val="8C507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3A12"/>
    <w:multiLevelType w:val="multilevel"/>
    <w:tmpl w:val="0E3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463C"/>
    <w:multiLevelType w:val="multilevel"/>
    <w:tmpl w:val="392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E3C93"/>
    <w:multiLevelType w:val="multilevel"/>
    <w:tmpl w:val="42AE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105914">
    <w:abstractNumId w:val="0"/>
  </w:num>
  <w:num w:numId="2" w16cid:durableId="1425953212">
    <w:abstractNumId w:val="1"/>
  </w:num>
  <w:num w:numId="3" w16cid:durableId="2037462895">
    <w:abstractNumId w:val="3"/>
  </w:num>
  <w:num w:numId="4" w16cid:durableId="1395473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16"/>
    <w:rsid w:val="000E0DAF"/>
    <w:rsid w:val="003A2D41"/>
    <w:rsid w:val="005F1F3D"/>
    <w:rsid w:val="006F0916"/>
    <w:rsid w:val="008C5573"/>
    <w:rsid w:val="00B40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9ABF1B-02D3-4249-A2B1-ADC7F08A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16"/>
    <w:rPr>
      <w:rFonts w:eastAsiaTheme="majorEastAsia" w:cstheme="majorBidi"/>
      <w:color w:val="272727" w:themeColor="text1" w:themeTint="D8"/>
    </w:rPr>
  </w:style>
  <w:style w:type="paragraph" w:styleId="Title">
    <w:name w:val="Title"/>
    <w:basedOn w:val="Normal"/>
    <w:next w:val="Normal"/>
    <w:link w:val="TitleChar"/>
    <w:uiPriority w:val="10"/>
    <w:qFormat/>
    <w:rsid w:val="006F0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16"/>
    <w:pPr>
      <w:spacing w:before="160"/>
      <w:jc w:val="center"/>
    </w:pPr>
    <w:rPr>
      <w:i/>
      <w:iCs/>
      <w:color w:val="404040" w:themeColor="text1" w:themeTint="BF"/>
    </w:rPr>
  </w:style>
  <w:style w:type="character" w:customStyle="1" w:styleId="QuoteChar">
    <w:name w:val="Quote Char"/>
    <w:basedOn w:val="DefaultParagraphFont"/>
    <w:link w:val="Quote"/>
    <w:uiPriority w:val="29"/>
    <w:rsid w:val="006F0916"/>
    <w:rPr>
      <w:i/>
      <w:iCs/>
      <w:color w:val="404040" w:themeColor="text1" w:themeTint="BF"/>
    </w:rPr>
  </w:style>
  <w:style w:type="paragraph" w:styleId="ListParagraph">
    <w:name w:val="List Paragraph"/>
    <w:basedOn w:val="Normal"/>
    <w:uiPriority w:val="34"/>
    <w:qFormat/>
    <w:rsid w:val="006F0916"/>
    <w:pPr>
      <w:ind w:left="720"/>
      <w:contextualSpacing/>
    </w:pPr>
  </w:style>
  <w:style w:type="character" w:styleId="IntenseEmphasis">
    <w:name w:val="Intense Emphasis"/>
    <w:basedOn w:val="DefaultParagraphFont"/>
    <w:uiPriority w:val="21"/>
    <w:qFormat/>
    <w:rsid w:val="006F0916"/>
    <w:rPr>
      <w:i/>
      <w:iCs/>
      <w:color w:val="0F4761" w:themeColor="accent1" w:themeShade="BF"/>
    </w:rPr>
  </w:style>
  <w:style w:type="paragraph" w:styleId="IntenseQuote">
    <w:name w:val="Intense Quote"/>
    <w:basedOn w:val="Normal"/>
    <w:next w:val="Normal"/>
    <w:link w:val="IntenseQuoteChar"/>
    <w:uiPriority w:val="30"/>
    <w:qFormat/>
    <w:rsid w:val="006F0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16"/>
    <w:rPr>
      <w:i/>
      <w:iCs/>
      <w:color w:val="0F4761" w:themeColor="accent1" w:themeShade="BF"/>
    </w:rPr>
  </w:style>
  <w:style w:type="character" w:styleId="IntenseReference">
    <w:name w:val="Intense Reference"/>
    <w:basedOn w:val="DefaultParagraphFont"/>
    <w:uiPriority w:val="32"/>
    <w:qFormat/>
    <w:rsid w:val="006F0916"/>
    <w:rPr>
      <w:b/>
      <w:bCs/>
      <w:smallCaps/>
      <w:color w:val="0F4761" w:themeColor="accent1" w:themeShade="BF"/>
      <w:spacing w:val="5"/>
    </w:rPr>
  </w:style>
  <w:style w:type="paragraph" w:styleId="Footer">
    <w:name w:val="footer"/>
    <w:basedOn w:val="Normal"/>
    <w:link w:val="FooterChar"/>
    <w:uiPriority w:val="99"/>
    <w:unhideWhenUsed/>
    <w:rsid w:val="003A2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20572">
      <w:bodyDiv w:val="1"/>
      <w:marLeft w:val="0"/>
      <w:marRight w:val="0"/>
      <w:marTop w:val="0"/>
      <w:marBottom w:val="0"/>
      <w:divBdr>
        <w:top w:val="none" w:sz="0" w:space="0" w:color="auto"/>
        <w:left w:val="none" w:sz="0" w:space="0" w:color="auto"/>
        <w:bottom w:val="none" w:sz="0" w:space="0" w:color="auto"/>
        <w:right w:val="none" w:sz="0" w:space="0" w:color="auto"/>
      </w:divBdr>
      <w:divsChild>
        <w:div w:id="549610731">
          <w:marLeft w:val="0"/>
          <w:marRight w:val="0"/>
          <w:marTop w:val="0"/>
          <w:marBottom w:val="0"/>
          <w:divBdr>
            <w:top w:val="none" w:sz="0" w:space="0" w:color="auto"/>
            <w:left w:val="none" w:sz="0" w:space="0" w:color="auto"/>
            <w:bottom w:val="none" w:sz="0" w:space="0" w:color="auto"/>
            <w:right w:val="none" w:sz="0" w:space="0" w:color="auto"/>
          </w:divBdr>
        </w:div>
        <w:div w:id="591624095">
          <w:marLeft w:val="0"/>
          <w:marRight w:val="0"/>
          <w:marTop w:val="0"/>
          <w:marBottom w:val="0"/>
          <w:divBdr>
            <w:top w:val="none" w:sz="0" w:space="0" w:color="auto"/>
            <w:left w:val="none" w:sz="0" w:space="0" w:color="auto"/>
            <w:bottom w:val="none" w:sz="0" w:space="0" w:color="auto"/>
            <w:right w:val="none" w:sz="0" w:space="0" w:color="auto"/>
          </w:divBdr>
        </w:div>
        <w:div w:id="1729643149">
          <w:marLeft w:val="0"/>
          <w:marRight w:val="0"/>
          <w:marTop w:val="0"/>
          <w:marBottom w:val="0"/>
          <w:divBdr>
            <w:top w:val="none" w:sz="0" w:space="0" w:color="auto"/>
            <w:left w:val="none" w:sz="0" w:space="0" w:color="auto"/>
            <w:bottom w:val="none" w:sz="0" w:space="0" w:color="auto"/>
            <w:right w:val="none" w:sz="0" w:space="0" w:color="auto"/>
          </w:divBdr>
        </w:div>
      </w:divsChild>
    </w:div>
    <w:div w:id="1593317211">
      <w:bodyDiv w:val="1"/>
      <w:marLeft w:val="0"/>
      <w:marRight w:val="0"/>
      <w:marTop w:val="0"/>
      <w:marBottom w:val="0"/>
      <w:divBdr>
        <w:top w:val="none" w:sz="0" w:space="0" w:color="auto"/>
        <w:left w:val="none" w:sz="0" w:space="0" w:color="auto"/>
        <w:bottom w:val="none" w:sz="0" w:space="0" w:color="auto"/>
        <w:right w:val="none" w:sz="0" w:space="0" w:color="auto"/>
      </w:divBdr>
      <w:divsChild>
        <w:div w:id="1247224920">
          <w:marLeft w:val="0"/>
          <w:marRight w:val="0"/>
          <w:marTop w:val="0"/>
          <w:marBottom w:val="0"/>
          <w:divBdr>
            <w:top w:val="none" w:sz="0" w:space="0" w:color="auto"/>
            <w:left w:val="none" w:sz="0" w:space="0" w:color="auto"/>
            <w:bottom w:val="none" w:sz="0" w:space="0" w:color="auto"/>
            <w:right w:val="none" w:sz="0" w:space="0" w:color="auto"/>
          </w:divBdr>
        </w:div>
        <w:div w:id="1748188345">
          <w:marLeft w:val="0"/>
          <w:marRight w:val="0"/>
          <w:marTop w:val="0"/>
          <w:marBottom w:val="0"/>
          <w:divBdr>
            <w:top w:val="none" w:sz="0" w:space="0" w:color="auto"/>
            <w:left w:val="none" w:sz="0" w:space="0" w:color="auto"/>
            <w:bottom w:val="none" w:sz="0" w:space="0" w:color="auto"/>
            <w:right w:val="none" w:sz="0" w:space="0" w:color="auto"/>
          </w:divBdr>
        </w:div>
        <w:div w:id="1575510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1251</Words>
  <Characters>7135</Characters>
  <Application>Microsoft Office Word</Application>
  <DocSecurity>0</DocSecurity>
  <Lines>59</Lines>
  <Paragraphs>16</Paragraphs>
  <ScaleCrop>false</ScaleCrop>
  <Company>Wipro Limited</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Ajeesh Kumar A</dc:creator>
  <cp:keywords/>
  <dc:description/>
  <cp:lastModifiedBy>Ajeesh Kumar A</cp:lastModifiedBy>
  <cp:revision>2</cp:revision>
  <dcterms:created xsi:type="dcterms:W3CDTF">2025-04-07T13:06:00Z</dcterms:created>
  <dcterms:modified xsi:type="dcterms:W3CDTF">2025-04-07T13:07:00Z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52c3afc8,6c4d040e,37e2c20a</vt:lpwstr>
  </property>
  <property fmtid="{D5CDD505-2E9C-101B-9397-08002B2CF9AE}" pid="3" name="ClassificationContentMarkingFooterFontProps">
    <vt:lpwstr>#000000,10,Calibri</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2025-04-07T13:07:06Z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094e2fcc-ccf6-4cca-9efe-a88170c23c54</vt:lpwstr>
  </property>
  <property fmtid="{D5CDD505-2E9C-101B-9397-08002B2CF9AE}" pid="11" name="MSIP_Label_08db2a94-1328-4cb2-b589-c6efe5808a7a_ContentBits">
    <vt:lpwstr>2</vt:lpwstr>
  </property>
  <property fmtid="{D5CDD505-2E9C-101B-9397-08002B2CF9AE}" pid="12" name="MSIP_Label_08db2a94-1328-4cb2-b589-c6efe5808a7a_Tag">
    <vt:lpwstr>10, 0, 1, 1</vt:lpwstr>
  </property>
</Properties>
</file>