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53C31" w14:textId="77777777" w:rsidR="00DD60D2" w:rsidRDefault="00000000">
      <w:pPr>
        <w:spacing w:after="120"/>
        <w:jc w:val="center"/>
      </w:pPr>
      <w:r>
        <w:rPr>
          <w:b/>
          <w:bCs/>
          <w:sz w:val="28"/>
          <w:szCs w:val="28"/>
        </w:rPr>
        <w:t>Autonomous Water Surface Cleaning Robot with IMU-Assisted Stability Control and Time-of-Flight-Based Proximal Debris Detection</w:t>
      </w:r>
    </w:p>
    <w:p w14:paraId="62332B45" w14:textId="77BE5EBD" w:rsidR="00DD60D2" w:rsidRDefault="00000000">
      <w:pPr>
        <w:spacing w:before="60" w:after="60"/>
        <w:jc w:val="center"/>
      </w:pPr>
      <w:r>
        <w:t xml:space="preserve">A. </w:t>
      </w:r>
      <w:r w:rsidR="00D60F03">
        <w:t>Ajeet Singh Jaat</w:t>
      </w:r>
      <w:r>
        <w:t xml:space="preserve">¹, B. </w:t>
      </w:r>
      <w:r w:rsidR="00D60F03">
        <w:t>Kanishk Choubey</w:t>
      </w:r>
      <w:r>
        <w:t xml:space="preserve">², and C. </w:t>
      </w:r>
      <w:r w:rsidR="00D60F03">
        <w:t>Vansh Namdev</w:t>
      </w:r>
      <w:r>
        <w:t>³</w:t>
      </w:r>
    </w:p>
    <w:p w14:paraId="600FDF7D" w14:textId="3BFF4D08" w:rsidR="00DD60D2" w:rsidRPr="00D60F03" w:rsidRDefault="00000000" w:rsidP="00D60F03">
      <w:pPr>
        <w:jc w:val="center"/>
        <w:rPr>
          <w:sz w:val="18"/>
          <w:szCs w:val="18"/>
        </w:rPr>
      </w:pPr>
      <w:r>
        <w:rPr>
          <w:sz w:val="18"/>
          <w:szCs w:val="18"/>
        </w:rPr>
        <w:t>¹</w:t>
      </w:r>
      <w:r w:rsidR="00D60F03" w:rsidRPr="00D60F03">
        <w:rPr>
          <w:sz w:val="18"/>
          <w:szCs w:val="18"/>
        </w:rPr>
        <w:t xml:space="preserve"> </w:t>
      </w:r>
      <w:r w:rsidR="00D60F03" w:rsidRPr="00D60F03">
        <w:rPr>
          <w:sz w:val="18"/>
          <w:szCs w:val="18"/>
        </w:rPr>
        <w:t>Department of Cyber Security &amp; IoT</w:t>
      </w:r>
      <w:r w:rsidR="00D60F03">
        <w:rPr>
          <w:sz w:val="18"/>
          <w:szCs w:val="18"/>
        </w:rPr>
        <w:t>,</w:t>
      </w:r>
      <w:r w:rsidR="00D60F03" w:rsidRPr="00D60F03">
        <w:rPr>
          <w:sz w:val="18"/>
          <w:szCs w:val="18"/>
        </w:rPr>
        <w:t>Samrat Ashok Technological Institute</w:t>
      </w:r>
      <w:r w:rsidR="00D60F03">
        <w:rPr>
          <w:sz w:val="18"/>
          <w:szCs w:val="18"/>
        </w:rPr>
        <w:t>,Vidisha,M.P,India</w:t>
      </w:r>
    </w:p>
    <w:p w14:paraId="11048ECB" w14:textId="0BA93E8C" w:rsidR="00D60F03" w:rsidRPr="00D60F03" w:rsidRDefault="00000000" w:rsidP="00D60F03">
      <w:pPr>
        <w:jc w:val="center"/>
        <w:rPr>
          <w:sz w:val="18"/>
          <w:szCs w:val="18"/>
        </w:rPr>
      </w:pPr>
      <w:r>
        <w:rPr>
          <w:sz w:val="18"/>
          <w:szCs w:val="18"/>
        </w:rPr>
        <w:t>²</w:t>
      </w:r>
      <w:r w:rsidR="00D60F03" w:rsidRPr="00D60F03">
        <w:rPr>
          <w:sz w:val="18"/>
          <w:szCs w:val="18"/>
        </w:rPr>
        <w:t xml:space="preserve"> </w:t>
      </w:r>
      <w:r w:rsidR="00D60F03" w:rsidRPr="00D60F03">
        <w:rPr>
          <w:sz w:val="18"/>
          <w:szCs w:val="18"/>
        </w:rPr>
        <w:t>Department of Cyber Security &amp; IoT</w:t>
      </w:r>
      <w:r w:rsidR="00D60F03">
        <w:rPr>
          <w:sz w:val="18"/>
          <w:szCs w:val="18"/>
        </w:rPr>
        <w:t>,</w:t>
      </w:r>
      <w:r w:rsidR="00D60F03" w:rsidRPr="00D60F03">
        <w:rPr>
          <w:sz w:val="18"/>
          <w:szCs w:val="18"/>
        </w:rPr>
        <w:t>Samrat Ashok Technological Institute</w:t>
      </w:r>
      <w:r w:rsidR="00D60F03">
        <w:rPr>
          <w:sz w:val="18"/>
          <w:szCs w:val="18"/>
        </w:rPr>
        <w:t>,Vidisha,M.P,India</w:t>
      </w:r>
    </w:p>
    <w:p w14:paraId="208125BB" w14:textId="0241F434" w:rsidR="00D60F03" w:rsidRPr="00D60F03" w:rsidRDefault="00000000" w:rsidP="00D60F03">
      <w:pPr>
        <w:jc w:val="center"/>
        <w:rPr>
          <w:sz w:val="18"/>
          <w:szCs w:val="18"/>
        </w:rPr>
      </w:pPr>
      <w:r>
        <w:rPr>
          <w:sz w:val="18"/>
          <w:szCs w:val="18"/>
        </w:rPr>
        <w:t>³</w:t>
      </w:r>
      <w:r w:rsidR="00D60F03" w:rsidRPr="00D60F03">
        <w:rPr>
          <w:sz w:val="18"/>
          <w:szCs w:val="18"/>
        </w:rPr>
        <w:t xml:space="preserve"> </w:t>
      </w:r>
      <w:r w:rsidR="00D60F03" w:rsidRPr="00D60F03">
        <w:rPr>
          <w:sz w:val="18"/>
          <w:szCs w:val="18"/>
        </w:rPr>
        <w:t>Department of Cyber Security &amp; IoT</w:t>
      </w:r>
      <w:r w:rsidR="00D60F03">
        <w:rPr>
          <w:sz w:val="18"/>
          <w:szCs w:val="18"/>
        </w:rPr>
        <w:t>,</w:t>
      </w:r>
      <w:r w:rsidR="00D60F03" w:rsidRPr="00D60F03">
        <w:rPr>
          <w:sz w:val="18"/>
          <w:szCs w:val="18"/>
        </w:rPr>
        <w:t>Samrat Ashok Technological Institute</w:t>
      </w:r>
      <w:r w:rsidR="00D60F03">
        <w:rPr>
          <w:sz w:val="18"/>
          <w:szCs w:val="18"/>
        </w:rPr>
        <w:t>,Vidisha,M.P,India</w:t>
      </w:r>
    </w:p>
    <w:p w14:paraId="7B22B54E" w14:textId="6725707A" w:rsidR="00DD60D2" w:rsidRPr="00B66C1F" w:rsidRDefault="00000000" w:rsidP="00236733">
      <w:pPr>
        <w:spacing w:after="40"/>
        <w:jc w:val="center"/>
        <w:rPr>
          <w:vertAlign w:val="superscript"/>
        </w:rPr>
      </w:pPr>
      <w:r>
        <w:rPr>
          <w:sz w:val="18"/>
          <w:szCs w:val="18"/>
        </w:rPr>
        <w:t>E-mail:</w:t>
      </w:r>
      <w:r w:rsidR="00236733">
        <w:rPr>
          <w:sz w:val="18"/>
          <w:szCs w:val="18"/>
        </w:rPr>
        <w:t xml:space="preserve"> ajeet26io002satiengg.in</w:t>
      </w:r>
      <w:r w:rsidR="00B66C1F">
        <w:rPr>
          <w:sz w:val="18"/>
          <w:szCs w:val="18"/>
          <w:vertAlign w:val="superscript"/>
        </w:rPr>
        <w:t>1</w:t>
      </w:r>
      <w:r w:rsidR="00B66C1F">
        <w:rPr>
          <w:sz w:val="18"/>
          <w:szCs w:val="18"/>
        </w:rPr>
        <w:t>,</w:t>
      </w:r>
      <w:r w:rsidR="000D0E35">
        <w:rPr>
          <w:sz w:val="18"/>
          <w:szCs w:val="18"/>
        </w:rPr>
        <w:t xml:space="preserve"> </w:t>
      </w:r>
      <w:r w:rsidR="00B66C1F">
        <w:rPr>
          <w:sz w:val="18"/>
          <w:szCs w:val="18"/>
        </w:rPr>
        <w:t>kanishk26io023@satiengg.in</w:t>
      </w:r>
      <w:r w:rsidR="000D0E35">
        <w:rPr>
          <w:sz w:val="18"/>
          <w:szCs w:val="18"/>
        </w:rPr>
        <w:t xml:space="preserve"> </w:t>
      </w:r>
      <w:r w:rsidR="00B66C1F">
        <w:rPr>
          <w:sz w:val="18"/>
          <w:szCs w:val="18"/>
          <w:vertAlign w:val="superscript"/>
        </w:rPr>
        <w:t>2</w:t>
      </w:r>
      <w:r w:rsidR="00B66C1F">
        <w:rPr>
          <w:sz w:val="18"/>
          <w:szCs w:val="18"/>
        </w:rPr>
        <w:t>,</w:t>
      </w:r>
      <w:r w:rsidR="000D0E35">
        <w:rPr>
          <w:sz w:val="18"/>
          <w:szCs w:val="18"/>
        </w:rPr>
        <w:t xml:space="preserve"> </w:t>
      </w:r>
      <w:r w:rsidR="00B66C1F">
        <w:rPr>
          <w:sz w:val="18"/>
          <w:szCs w:val="18"/>
        </w:rPr>
        <w:t>vansh26io065@satiengg.in</w:t>
      </w:r>
      <w:r w:rsidR="000D0E35">
        <w:rPr>
          <w:sz w:val="18"/>
          <w:szCs w:val="18"/>
        </w:rPr>
        <w:t xml:space="preserve"> </w:t>
      </w:r>
      <w:r w:rsidR="00B66C1F">
        <w:rPr>
          <w:sz w:val="18"/>
          <w:szCs w:val="18"/>
          <w:vertAlign w:val="superscript"/>
        </w:rPr>
        <w:t>3</w:t>
      </w:r>
    </w:p>
    <w:p w14:paraId="59E6261D" w14:textId="77777777" w:rsidR="00A43320" w:rsidRPr="00A43320" w:rsidRDefault="00000000" w:rsidP="00236733">
      <w:pPr>
        <w:spacing w:after="40"/>
        <w:jc w:val="both"/>
        <w:rPr>
          <w:sz w:val="18"/>
          <w:szCs w:val="18"/>
        </w:rPr>
      </w:pPr>
      <w:r>
        <w:rPr>
          <w:b/>
          <w:bCs/>
          <w:sz w:val="18"/>
          <w:szCs w:val="18"/>
        </w:rPr>
        <w:t xml:space="preserve">ABSTRACT: </w:t>
      </w:r>
      <w:r w:rsidR="00A43320" w:rsidRPr="00A43320">
        <w:rPr>
          <w:sz w:val="18"/>
          <w:szCs w:val="18"/>
        </w:rPr>
        <w:t xml:space="preserve">The unabated influx of non-biodegradable anthropogenic debris into inland and near-shore aquatic ecosystems </w:t>
      </w:r>
      <w:proofErr w:type="gramStart"/>
      <w:r w:rsidR="00A43320" w:rsidRPr="00A43320">
        <w:rPr>
          <w:sz w:val="18"/>
          <w:szCs w:val="18"/>
        </w:rPr>
        <w:t>constitutes</w:t>
      </w:r>
      <w:proofErr w:type="gramEnd"/>
      <w:r w:rsidR="00A43320" w:rsidRPr="00A43320">
        <w:rPr>
          <w:sz w:val="18"/>
          <w:szCs w:val="18"/>
        </w:rPr>
        <w:t xml:space="preserve"> an escalating ecological crisis, with profound consequences for biodiversity, trophic-chain integrity, and public health through secondary microplastic ingestion. Incumbent remediation paradigms—</w:t>
      </w:r>
      <w:proofErr w:type="gramStart"/>
      <w:r w:rsidR="00A43320" w:rsidRPr="00A43320">
        <w:rPr>
          <w:sz w:val="18"/>
          <w:szCs w:val="18"/>
        </w:rPr>
        <w:t>comprising</w:t>
      </w:r>
      <w:proofErr w:type="gramEnd"/>
      <w:r w:rsidR="00A43320" w:rsidRPr="00A43320">
        <w:rPr>
          <w:sz w:val="18"/>
          <w:szCs w:val="18"/>
        </w:rPr>
        <w:t xml:space="preserve"> manual labour-intensive operations and large-displacement, fossil-fuel-powered skimmer vessels—are demonstrably inadequate for persistent, localised, and ecologically non-disruptive surface-debris management in confined hydraulic environments.</w:t>
      </w:r>
    </w:p>
    <w:p w14:paraId="6D511859" w14:textId="77777777" w:rsidR="00A43320" w:rsidRPr="00A43320" w:rsidRDefault="00A43320" w:rsidP="00A43320">
      <w:pPr>
        <w:jc w:val="both"/>
        <w:rPr>
          <w:sz w:val="18"/>
          <w:szCs w:val="18"/>
        </w:rPr>
      </w:pPr>
      <w:r w:rsidRPr="00A43320">
        <w:rPr>
          <w:sz w:val="18"/>
          <w:szCs w:val="18"/>
        </w:rPr>
        <w:t>This paper presents the electromechanical design, control-system architecture, and empirical validation of an Autonomous Water Surface Cleaning Robot (WSC-R): a low-cost, battery-powered catamaran-class Unmanned Surface Vehicle (USV) engineered for systematic autonomous debris collection in inland water bodies including urban ponds, irrigation reservoirs, and navigable canals. The platform integrates four primary technological subsystems: (i) a hydrodynamically stable dual-hull catamaran chassis fabricated from marine-grade PVC, with a 0.6 m beam conferring high metacentric height and superior resistance to wave-induced heel moments; (ii) a motorised conveyor-belt collection mechanism inclined at a 30-degree intake angle with integrated slip-clutch drivetrain protection; (iii) an autonomous navigation stack implemented on an ESP32 dual-core microcontroller executing a Boustrophedon Coverage Path Planning (CPP) algorithm augmented by IMU odometric heading integration; and (iv) two novel sensing contributions—an MPU-6050 six-axis IMU providing real-time attitude estimation for wave-induced thruster-inhibit logic, and a forward-looking VL53L0X Time-of-Flight sensor exploiting differential optical reflectance between solid floating debris and the specular water surface to furnish low-latency proximal debris detection for conveyor actuation.</w:t>
      </w:r>
    </w:p>
    <w:p w14:paraId="7D925FDA" w14:textId="751F403F" w:rsidR="00DD60D2" w:rsidRPr="00A43320" w:rsidRDefault="00A43320">
      <w:pPr>
        <w:jc w:val="both"/>
        <w:rPr>
          <w:sz w:val="18"/>
          <w:szCs w:val="18"/>
        </w:rPr>
      </w:pPr>
      <w:r w:rsidRPr="00A43320">
        <w:rPr>
          <w:sz w:val="18"/>
          <w:szCs w:val="18"/>
        </w:rPr>
        <w:t xml:space="preserve">Empirical field trials </w:t>
      </w:r>
      <w:proofErr w:type="gramStart"/>
      <w:r w:rsidRPr="00A43320">
        <w:rPr>
          <w:sz w:val="18"/>
          <w:szCs w:val="18"/>
        </w:rPr>
        <w:t>demonstrate</w:t>
      </w:r>
      <w:proofErr w:type="gramEnd"/>
      <w:r w:rsidRPr="00A43320">
        <w:rPr>
          <w:sz w:val="18"/>
          <w:szCs w:val="18"/>
        </w:rPr>
        <w:t xml:space="preserve"> a mean debris collection efficiency of 83.6%, a 76% heading-error reduction during wave-disturbance events, ToF false-positive rates below 2% with solar baffling, and an operational endurance of 3.14 hours from a 180 Wh Li-ion energy storage subsystem. The architecture supports modular scalability toward solar-augmented perpetual autonomy and machine-learning-enabled selective debris classification in </w:t>
      </w:r>
      <w:proofErr w:type="gramStart"/>
      <w:r w:rsidRPr="00A43320">
        <w:rPr>
          <w:sz w:val="18"/>
          <w:szCs w:val="18"/>
        </w:rPr>
        <w:t>subsequent</w:t>
      </w:r>
      <w:proofErr w:type="gramEnd"/>
      <w:r w:rsidRPr="00A43320">
        <w:rPr>
          <w:sz w:val="18"/>
          <w:szCs w:val="18"/>
        </w:rPr>
        <w:t xml:space="preserve"> development phases</w:t>
      </w:r>
      <w:r w:rsidR="00000000">
        <w:rPr>
          <w:sz w:val="18"/>
          <w:szCs w:val="18"/>
        </w:rPr>
        <w:t>.</w:t>
      </w:r>
    </w:p>
    <w:p w14:paraId="73742B66" w14:textId="77777777" w:rsidR="00DD60D2" w:rsidRDefault="00000000">
      <w:pPr>
        <w:spacing w:before="80" w:after="160"/>
        <w:jc w:val="both"/>
      </w:pPr>
      <w:r>
        <w:rPr>
          <w:b/>
          <w:bCs/>
          <w:sz w:val="18"/>
          <w:szCs w:val="18"/>
        </w:rPr>
        <w:t xml:space="preserve">KEYWORDS: </w:t>
      </w:r>
      <w:r>
        <w:rPr>
          <w:sz w:val="18"/>
          <w:szCs w:val="18"/>
        </w:rPr>
        <w:t>Autonomous Surface Vehicle; Boustrophedon Coverage Path Planning; Catamaran USV; Debris Detection; Inertial Measurement Unit; MPU-6050; Time-of-Flight Sensing; VL53L0X; Wave Compensation; Water Surface Cleaning Robot.</w:t>
      </w:r>
    </w:p>
    <w:p w14:paraId="4AB1D5F9" w14:textId="77777777" w:rsidR="00DD60D2" w:rsidRDefault="00000000">
      <w:pPr>
        <w:spacing w:before="180" w:after="120"/>
      </w:pPr>
      <w:r>
        <w:rPr>
          <w:b/>
          <w:bCs/>
          <w:sz w:val="18"/>
          <w:szCs w:val="18"/>
        </w:rPr>
        <w:t>1.   INTRODUCTION</w:t>
      </w:r>
    </w:p>
    <w:p w14:paraId="236A9D48" w14:textId="7126EAD3" w:rsidR="00DD60D2" w:rsidRDefault="00000000">
      <w:pPr>
        <w:jc w:val="both"/>
      </w:pPr>
      <w:r>
        <w:rPr>
          <w:sz w:val="18"/>
          <w:szCs w:val="18"/>
        </w:rPr>
        <w:t>The contamination of freshwater and near-shore aquatic ecosystems by persistent floating solid waste—constituted predominantly of non-biodegradable single-use polymers—</w:t>
      </w:r>
      <w:proofErr w:type="gramStart"/>
      <w:r>
        <w:rPr>
          <w:sz w:val="18"/>
          <w:szCs w:val="18"/>
        </w:rPr>
        <w:t>represents</w:t>
      </w:r>
      <w:proofErr w:type="gramEnd"/>
      <w:r>
        <w:rPr>
          <w:sz w:val="18"/>
          <w:szCs w:val="18"/>
        </w:rPr>
        <w:t xml:space="preserve"> one of the most intractable environmental challenges of the contemporary era. Globally, an estimated 8 million metric tons of plastic are introduced into aquatic environments annually, where photodegradation and mechanical attrition progressively comminute </w:t>
      </w:r>
      <w:r w:rsidR="003323D8">
        <w:rPr>
          <w:sz w:val="18"/>
          <w:szCs w:val="18"/>
        </w:rPr>
        <w:t>macro debris</w:t>
      </w:r>
      <w:r>
        <w:rPr>
          <w:sz w:val="18"/>
          <w:szCs w:val="18"/>
        </w:rPr>
        <w:t xml:space="preserve"> into microplastic particulates that bioaccumulate within trophic networks, ultimately manifesting </w:t>
      </w:r>
      <w:proofErr w:type="gramStart"/>
      <w:r>
        <w:rPr>
          <w:sz w:val="18"/>
          <w:szCs w:val="18"/>
        </w:rPr>
        <w:t>deleterious</w:t>
      </w:r>
      <w:proofErr w:type="gramEnd"/>
      <w:r>
        <w:rPr>
          <w:sz w:val="18"/>
          <w:szCs w:val="18"/>
        </w:rPr>
        <w:t xml:space="preserve"> consequences for human health through dietary exposure (Jambeck et al., 2015). At the mesoscopic scale, surface debris induces secondary ecological perturbations including attenuation of photosynthetically active radiation, suppression of reaeration kinetics, and the formation of hypoxic zones detrimental to aquatic fauna (Wang et al., 2020).</w:t>
      </w:r>
    </w:p>
    <w:p w14:paraId="4C20953E" w14:textId="77777777" w:rsidR="00DD60D2" w:rsidRDefault="00000000">
      <w:pPr>
        <w:ind w:firstLine="216"/>
        <w:jc w:val="both"/>
      </w:pPr>
      <w:r>
        <w:rPr>
          <w:sz w:val="18"/>
          <w:szCs w:val="18"/>
        </w:rPr>
        <w:t xml:space="preserve">Prevailing remediation methodologies </w:t>
      </w:r>
      <w:proofErr w:type="gramStart"/>
      <w:r>
        <w:rPr>
          <w:sz w:val="18"/>
          <w:szCs w:val="18"/>
        </w:rPr>
        <w:t>remain</w:t>
      </w:r>
      <w:proofErr w:type="gramEnd"/>
      <w:r>
        <w:rPr>
          <w:sz w:val="18"/>
          <w:szCs w:val="18"/>
        </w:rPr>
        <w:t xml:space="preserve"> structurally deficient against these demands. Manual recovery operations are inherently discontinuous, labour-intensive, and expose personnel to the risks endemic to contaminated hydraulic environments, while offering negligible scalability for multi-site deployment (Li et al., 2018). Large-displacement mechanical skimmer vessels, though operationally effective at open-water scale, are precluded from confined and ecologically sensitive environments by their draft, turning radius, and dependence on internal combustion propulsion—generating a self-defeating environmental feedback through carbon and particulate emissions. Static passive-collection architectures such as the SeaBin system, whilst demonstrably effective within sheltered marina microclimates, are fundamentally incapable of active spatial debris pursuit, </w:t>
      </w:r>
      <w:proofErr w:type="gramStart"/>
      <w:r>
        <w:rPr>
          <w:sz w:val="18"/>
          <w:szCs w:val="18"/>
        </w:rPr>
        <w:t>rendering</w:t>
      </w:r>
      <w:proofErr w:type="gramEnd"/>
      <w:r>
        <w:rPr>
          <w:sz w:val="18"/>
          <w:szCs w:val="18"/>
        </w:rPr>
        <w:t xml:space="preserve"> them ineffective against heterogeneously distributed pollution fields across open water bodies (Adebayo et al., 2018).</w:t>
      </w:r>
    </w:p>
    <w:p w14:paraId="190A4D4F" w14:textId="77777777" w:rsidR="00DD60D2" w:rsidRDefault="00000000">
      <w:pPr>
        <w:ind w:firstLine="216"/>
        <w:jc w:val="both"/>
      </w:pPr>
      <w:r>
        <w:rPr>
          <w:sz w:val="18"/>
          <w:szCs w:val="18"/>
        </w:rPr>
        <w:t>The present work addresses this technological lacuna through the design, fabrication, and empirical characterisation of the Autonomous Water Surface Cleaning Robot (WSC-R): a low-cost catamaran-class USV incorporating systematic Boustrophedon coverage path planning, IMU-based attitude compensation, and ToF-based proximal debris detection. The primary novel contributions of this paper are twofold. First, the integration of an MPU-6050 six-axis IMU into the vessel navigation stack delivers real-time roll-and-pitch attitude estimation via a complementary filter, enabling a wave-induced thruster-inhibit protocol that prevents energetically counterproductive thrust during high-sea-state events, and provides 100 Hz gyroscope-derived heading rate data to augment inter-ping dead-reckoning accuracy in the absence of external positioning infrastructure. Second, the deployment of a bow-mounted VL53L0X 940 nm Time-of-Flight sensor exploits the differential specular-versus-diffuse optical reflectance of the water–air interface and solid floating debris, respectively, to furnish a low-latency, computationally lightweight proximal detection trigger for the conveyor-belt collection subsystem—a sensor modality that eliminates the need for computationally expensive computer-vision pipelines at the MVP development stage.</w:t>
      </w:r>
    </w:p>
    <w:p w14:paraId="3B4484C0" w14:textId="77777777" w:rsidR="00DD60D2" w:rsidRDefault="00000000">
      <w:pPr>
        <w:ind w:firstLine="216"/>
        <w:jc w:val="both"/>
      </w:pPr>
      <w:r>
        <w:rPr>
          <w:sz w:val="18"/>
          <w:szCs w:val="18"/>
        </w:rPr>
        <w:t>It is explicitly noted that the WSC-R Phase I architecture does not incorporate a Global Navigation Satellite System (GNSS) receiver. Absolute geospatial localisation is deferred to Phase II development, wherein GNSS integration will augment the existing inertial odometry framework. The present navigation stack achieves area coverage through IMU-derived heading integration combined with empirically calibrated thruster-velocity odometry within a pre-surveyed operational geofence, as detailed in Section 4. The remainder of this paper is structured as follows: Section 2 surveys the relevant prior art in autonomous aquatic cleaning robotics and sensor technology; Section 3 presents the full system electromechanical and electronic architecture; Section 4 details the autonomous navigation and control algorithms; Section 5 reports empirical performance results; and Section 6 concludes with future development directions.</w:t>
      </w:r>
    </w:p>
    <w:p w14:paraId="4EA5844E" w14:textId="77777777" w:rsidR="00DD60D2" w:rsidRDefault="00000000">
      <w:pPr>
        <w:spacing w:before="180" w:after="120"/>
      </w:pPr>
      <w:r>
        <w:rPr>
          <w:b/>
          <w:bCs/>
          <w:sz w:val="18"/>
          <w:szCs w:val="18"/>
        </w:rPr>
        <w:t>2.   RELATED WORK</w:t>
      </w:r>
    </w:p>
    <w:p w14:paraId="3ED173E9" w14:textId="77777777" w:rsidR="00DD60D2" w:rsidRDefault="00000000">
      <w:pPr>
        <w:spacing w:before="160" w:after="100"/>
      </w:pPr>
      <w:r>
        <w:rPr>
          <w:b/>
          <w:bCs/>
          <w:sz w:val="18"/>
          <w:szCs w:val="18"/>
        </w:rPr>
        <w:t>2.1    Autonomous Aquatic Surface Cleaning Platforms</w:t>
      </w:r>
    </w:p>
    <w:p w14:paraId="045887BE" w14:textId="77777777" w:rsidR="00DD60D2" w:rsidRDefault="00000000">
      <w:pPr>
        <w:jc w:val="both"/>
      </w:pPr>
      <w:r>
        <w:rPr>
          <w:sz w:val="18"/>
          <w:szCs w:val="18"/>
        </w:rPr>
        <w:t xml:space="preserve">The evolution of autonomous surface debris collection platforms reflects a progressive transition from manned, fuel-dependent vessels toward lightweight, electrically propelled USVs. Adebayo et al. (2018) </w:t>
      </w:r>
      <w:proofErr w:type="gramStart"/>
      <w:r>
        <w:rPr>
          <w:sz w:val="18"/>
          <w:szCs w:val="18"/>
        </w:rPr>
        <w:t>demonstrated</w:t>
      </w:r>
      <w:proofErr w:type="gramEnd"/>
      <w:r>
        <w:rPr>
          <w:sz w:val="18"/>
          <w:szCs w:val="18"/>
        </w:rPr>
        <w:t xml:space="preserve"> a solar-powered river-cleaning USV employing passive net </w:t>
      </w:r>
      <w:r>
        <w:rPr>
          <w:sz w:val="18"/>
          <w:szCs w:val="18"/>
        </w:rPr>
        <w:lastRenderedPageBreak/>
        <w:t xml:space="preserve">trawling and a rudimentary waypoint-sequencing navigation scheme. Whilst </w:t>
      </w:r>
      <w:proofErr w:type="gramStart"/>
      <w:r>
        <w:rPr>
          <w:sz w:val="18"/>
          <w:szCs w:val="18"/>
        </w:rPr>
        <w:t>establishing</w:t>
      </w:r>
      <w:proofErr w:type="gramEnd"/>
      <w:r>
        <w:rPr>
          <w:sz w:val="18"/>
          <w:szCs w:val="18"/>
        </w:rPr>
        <w:t xml:space="preserve"> the feasibility of unmanned aquatic cleanup, the net-based collection mechanism </w:t>
      </w:r>
      <w:proofErr w:type="gramStart"/>
      <w:r>
        <w:rPr>
          <w:sz w:val="18"/>
          <w:szCs w:val="18"/>
        </w:rPr>
        <w:t>necessitated</w:t>
      </w:r>
      <w:proofErr w:type="gramEnd"/>
      <w:r>
        <w:rPr>
          <w:sz w:val="18"/>
          <w:szCs w:val="18"/>
        </w:rPr>
        <w:t xml:space="preserve"> periodic manual extraction interventions, imposing an effective operational autonomy ceiling incompatible with continuous deployment </w:t>
      </w:r>
      <w:proofErr w:type="gramStart"/>
      <w:r>
        <w:rPr>
          <w:sz w:val="18"/>
          <w:szCs w:val="18"/>
        </w:rPr>
        <w:t>objectives</w:t>
      </w:r>
      <w:proofErr w:type="gramEnd"/>
      <w:r>
        <w:rPr>
          <w:sz w:val="18"/>
          <w:szCs w:val="18"/>
        </w:rPr>
        <w:t xml:space="preserve">. Ahmad et al. (2022) </w:t>
      </w:r>
      <w:proofErr w:type="gramStart"/>
      <w:r>
        <w:rPr>
          <w:sz w:val="18"/>
          <w:szCs w:val="18"/>
        </w:rPr>
        <w:t>subsequently</w:t>
      </w:r>
      <w:proofErr w:type="gramEnd"/>
      <w:r>
        <w:rPr>
          <w:sz w:val="18"/>
          <w:szCs w:val="18"/>
        </w:rPr>
        <w:t xml:space="preserve"> </w:t>
      </w:r>
      <w:proofErr w:type="gramStart"/>
      <w:r>
        <w:rPr>
          <w:sz w:val="18"/>
          <w:szCs w:val="18"/>
        </w:rPr>
        <w:t>demonstrated</w:t>
      </w:r>
      <w:proofErr w:type="gramEnd"/>
      <w:r>
        <w:rPr>
          <w:sz w:val="18"/>
          <w:szCs w:val="18"/>
        </w:rPr>
        <w:t xml:space="preserve"> that a motorised conveyor-belt intake mechanism substantially improves debris throughput and heterogeneity tolerance </w:t>
      </w:r>
      <w:proofErr w:type="gramStart"/>
      <w:r>
        <w:rPr>
          <w:sz w:val="18"/>
          <w:szCs w:val="18"/>
        </w:rPr>
        <w:t>relative</w:t>
      </w:r>
      <w:proofErr w:type="gramEnd"/>
      <w:r>
        <w:rPr>
          <w:sz w:val="18"/>
          <w:szCs w:val="18"/>
        </w:rPr>
        <w:t xml:space="preserve"> to net trawling, </w:t>
      </w:r>
      <w:proofErr w:type="gramStart"/>
      <w:r>
        <w:rPr>
          <w:sz w:val="18"/>
          <w:szCs w:val="18"/>
        </w:rPr>
        <w:t>establishing</w:t>
      </w:r>
      <w:proofErr w:type="gramEnd"/>
      <w:r>
        <w:rPr>
          <w:sz w:val="18"/>
          <w:szCs w:val="18"/>
        </w:rPr>
        <w:t xml:space="preserve"> the conveyor as the de facto preferred collection architecture for high-volume surface-debris retrieval. Tiwari et al. (2021) extended this work through systematic characterisation of conveyor intake angle and belt submersion depth as determinants of collection efficiency and hydrodynamic drag penalty.</w:t>
      </w:r>
    </w:p>
    <w:p w14:paraId="535C2C2F" w14:textId="77777777" w:rsidR="00DD60D2" w:rsidRDefault="00000000">
      <w:pPr>
        <w:spacing w:before="160" w:after="100"/>
      </w:pPr>
      <w:r>
        <w:rPr>
          <w:b/>
          <w:bCs/>
          <w:sz w:val="18"/>
          <w:szCs w:val="18"/>
        </w:rPr>
        <w:t>2.2    Hull Design and Propulsion Architectures</w:t>
      </w:r>
    </w:p>
    <w:p w14:paraId="1217EEB4" w14:textId="77777777" w:rsidR="00DD60D2" w:rsidRDefault="00000000">
      <w:pPr>
        <w:jc w:val="both"/>
      </w:pPr>
      <w:r>
        <w:rPr>
          <w:sz w:val="18"/>
          <w:szCs w:val="18"/>
        </w:rPr>
        <w:t xml:space="preserve">Hull geometry is a primary determinant of sensor stability, payload capacity, and collection mechanism integration for aquatic cleaning platforms. Guo et al. (2021) conducted a comparative hydrostatic and seakeeping analysis of monohull and catamaran configurations for low-speed autonomous surface vehicles, demonstrating that the catamaran arrangement provides superior metacentric height—and thus roll stiffness—at equivalent displacement, whilst the inter-hull channel affords a structurally advantageous mounting station for centreline-located collection mechanisms. Differential-thrust propulsion via twin independently controlled electric thrusters has </w:t>
      </w:r>
      <w:proofErr w:type="gramStart"/>
      <w:r>
        <w:rPr>
          <w:sz w:val="18"/>
          <w:szCs w:val="18"/>
        </w:rPr>
        <w:t>emerged</w:t>
      </w:r>
      <w:proofErr w:type="gramEnd"/>
      <w:r>
        <w:rPr>
          <w:sz w:val="18"/>
          <w:szCs w:val="18"/>
        </w:rPr>
        <w:t xml:space="preserve"> as the standard manoeuvring architecture for confined-environment USVs, </w:t>
      </w:r>
      <w:proofErr w:type="gramStart"/>
      <w:r>
        <w:rPr>
          <w:sz w:val="18"/>
          <w:szCs w:val="18"/>
        </w:rPr>
        <w:t>providing</w:t>
      </w:r>
      <w:proofErr w:type="gramEnd"/>
      <w:r>
        <w:rPr>
          <w:sz w:val="18"/>
          <w:szCs w:val="18"/>
        </w:rPr>
        <w:t xml:space="preserve"> zero-radius turning capability through asymmetric torque vectoring without the mechanical complexity and failure modes associated with rudder-based systems (Peng et al., 2020).</w:t>
      </w:r>
    </w:p>
    <w:p w14:paraId="3B2D2AE2" w14:textId="77777777" w:rsidR="00DD60D2" w:rsidRDefault="00000000">
      <w:pPr>
        <w:spacing w:before="160" w:after="100"/>
      </w:pPr>
      <w:r>
        <w:rPr>
          <w:b/>
          <w:bCs/>
          <w:sz w:val="18"/>
          <w:szCs w:val="18"/>
        </w:rPr>
        <w:t>2.3    Coverage Path Planning for Aquatic USVs</w:t>
      </w:r>
    </w:p>
    <w:p w14:paraId="4ED3027B" w14:textId="77777777" w:rsidR="00DD60D2" w:rsidRDefault="00000000">
      <w:pPr>
        <w:jc w:val="both"/>
      </w:pPr>
      <w:r>
        <w:rPr>
          <w:sz w:val="18"/>
          <w:szCs w:val="18"/>
        </w:rPr>
        <w:t xml:space="preserve">Systematic area coverage without geospatial dead zones is the primary algorithmic challenge for autonomous cleaning platforms. The Boustrophedon decomposition algorithm—generating a set of parallel, unidirectional traversal tracks at spacing equal to or less than the effective collection width—is the </w:t>
      </w:r>
      <w:proofErr w:type="gramStart"/>
      <w:r>
        <w:rPr>
          <w:sz w:val="18"/>
          <w:szCs w:val="18"/>
        </w:rPr>
        <w:t>canonical</w:t>
      </w:r>
      <w:proofErr w:type="gramEnd"/>
      <w:r>
        <w:rPr>
          <w:sz w:val="18"/>
          <w:szCs w:val="18"/>
        </w:rPr>
        <w:t xml:space="preserve"> solution for convex operational polygons, guaranteeing complete theoretical coverage with quantifiable overlap margin (Galceran and Carreras, 2013). In GPS-equipped implementations, waypoint coordinates are expressed in absolute geodetic frames and tracked via closed-loop Line-of-Sight (LOS) guidance. In GPS-denied or GPS-deferred configurations, equivalent track fidelity is achievable through IMU-integrated heading and thruster-velocity odometry within a locally-referenced Cartesian frame, at the cost of accumulated dead-reckoning drift that must be bounded by environmental constraint—typically the operational geofence boundary—or periodic re-initialisation (Peng et al., 2020).</w:t>
      </w:r>
    </w:p>
    <w:p w14:paraId="1013157C" w14:textId="77777777" w:rsidR="00DD60D2" w:rsidRDefault="00000000">
      <w:pPr>
        <w:spacing w:before="160" w:after="100"/>
      </w:pPr>
      <w:r>
        <w:rPr>
          <w:b/>
          <w:bCs/>
          <w:sz w:val="18"/>
          <w:szCs w:val="18"/>
        </w:rPr>
        <w:t>2.4    Inertial Measurement Unit Integration in Surface Vehicles</w:t>
      </w:r>
    </w:p>
    <w:p w14:paraId="472BDFA2" w14:textId="77777777" w:rsidR="00DD60D2" w:rsidRDefault="00000000">
      <w:pPr>
        <w:jc w:val="both"/>
      </w:pPr>
      <w:r>
        <w:rPr>
          <w:sz w:val="18"/>
          <w:szCs w:val="18"/>
        </w:rPr>
        <w:t xml:space="preserve">The utility of MEMS IMUs for attitude estimation and navigation augmentation in small surface vehicles is well-established. Tripathi et al. (2019) </w:t>
      </w:r>
      <w:proofErr w:type="gramStart"/>
      <w:r>
        <w:rPr>
          <w:sz w:val="18"/>
          <w:szCs w:val="18"/>
        </w:rPr>
        <w:t>demonstrated</w:t>
      </w:r>
      <w:proofErr w:type="gramEnd"/>
      <w:r>
        <w:rPr>
          <w:sz w:val="18"/>
          <w:szCs w:val="18"/>
        </w:rPr>
        <w:t xml:space="preserve"> a self-stabilising platform in which complementary-filter-fused MPU-6050 roll and pitch estimates drove corrective servo commands, achieving sub-2-degree attitude maintenance under external perturbation. In the USV navigation context, gyroscope-derived yaw-rate integration provides high-bandwidth heading estimates that bridge the low-update-rate gaps inherent to external positioning systems, whether GNSS or acoustic, substantially reducing heading divergence during straight-line track following (Peng et al., 2020). The MPU-6050's Digital Motion Processor (DMP) further enables hardware-accelerated quaternion-space attitude computation, offloading the computational burden from the host microcontroller.</w:t>
      </w:r>
    </w:p>
    <w:p w14:paraId="792F1C6B" w14:textId="77777777" w:rsidR="00DD60D2" w:rsidRDefault="00000000">
      <w:pPr>
        <w:spacing w:before="160" w:after="100"/>
      </w:pPr>
      <w:r>
        <w:rPr>
          <w:b/>
          <w:bCs/>
          <w:sz w:val="18"/>
          <w:szCs w:val="18"/>
        </w:rPr>
        <w:t>2.5    Optical and Time-of-Flight Debris Detection</w:t>
      </w:r>
    </w:p>
    <w:p w14:paraId="1F623B85" w14:textId="77777777" w:rsidR="00DD60D2" w:rsidRDefault="00000000">
      <w:pPr>
        <w:jc w:val="both"/>
      </w:pPr>
      <w:r>
        <w:rPr>
          <w:sz w:val="18"/>
          <w:szCs w:val="18"/>
        </w:rPr>
        <w:t xml:space="preserve">Optical detection of floating plastic debris in aquatic environments spans a wide technological spectrum. At the high-fidelity end, fluorescence LiDAR systems </w:t>
      </w:r>
      <w:proofErr w:type="gramStart"/>
      <w:r>
        <w:rPr>
          <w:sz w:val="18"/>
          <w:szCs w:val="18"/>
        </w:rPr>
        <w:t>operating</w:t>
      </w:r>
      <w:proofErr w:type="gramEnd"/>
      <w:r>
        <w:rPr>
          <w:sz w:val="18"/>
          <w:szCs w:val="18"/>
        </w:rPr>
        <w:t xml:space="preserve"> at 405 nm excitation wavelength have </w:t>
      </w:r>
      <w:proofErr w:type="gramStart"/>
      <w:r>
        <w:rPr>
          <w:sz w:val="18"/>
          <w:szCs w:val="18"/>
        </w:rPr>
        <w:t>demonstrated</w:t>
      </w:r>
      <w:proofErr w:type="gramEnd"/>
      <w:r>
        <w:rPr>
          <w:sz w:val="18"/>
          <w:szCs w:val="18"/>
        </w:rPr>
        <w:t xml:space="preserve"> selective discrimination of common polymer types (PET, PVC, PP, HDPE, PS) exploiting characteristic fluorescence emission bands distinct from chlorophyll autofluorescence (Marine Pollution Bulletin, 2024). For resource-constrained embedded platforms, the 940 nm VCSEL Time-of-Flight architecture of the VL53L0X offers a pragmatic alternative: the specular reflection behaviour of calm water under non-normal laser incidence—wherein the reflected photon flux is directed away from the sensor aperture—yields near-zero or null signal returns, while solid floating debris exhibiting Lambertian diffuse reflectance returns a measurable photon count to the integrated SPAD array, enabling binary presence detection without spectroscopic instrumentation. This differential reflectance principle has been empirically </w:t>
      </w:r>
      <w:proofErr w:type="gramStart"/>
      <w:r>
        <w:rPr>
          <w:sz w:val="18"/>
          <w:szCs w:val="18"/>
        </w:rPr>
        <w:t>validated</w:t>
      </w:r>
      <w:proofErr w:type="gramEnd"/>
      <w:r>
        <w:rPr>
          <w:sz w:val="18"/>
          <w:szCs w:val="18"/>
        </w:rPr>
        <w:t xml:space="preserve"> for perpendicular water-surface ranging applications (STMicroelectronics, 2016), and the present work extends its application to the angularly-mounted surface-debris detection context.</w:t>
      </w:r>
    </w:p>
    <w:p w14:paraId="16922088" w14:textId="77777777" w:rsidR="00DD60D2" w:rsidRDefault="00000000">
      <w:pPr>
        <w:spacing w:before="160" w:after="100"/>
      </w:pPr>
      <w:r>
        <w:rPr>
          <w:b/>
          <w:bCs/>
          <w:sz w:val="18"/>
          <w:szCs w:val="18"/>
        </w:rPr>
        <w:t>2.6    Identified Research Gap</w:t>
      </w:r>
    </w:p>
    <w:p w14:paraId="7EF6B242" w14:textId="1568AFAF" w:rsidR="00DD60D2" w:rsidRDefault="00000000">
      <w:pPr>
        <w:jc w:val="both"/>
      </w:pPr>
      <w:r>
        <w:rPr>
          <w:sz w:val="18"/>
          <w:szCs w:val="18"/>
        </w:rPr>
        <w:t xml:space="preserve">The surveyed literature reveals a persistent gap: no low-cost, sub-10 kg, battery-powered catamaran USV has been reported that holistically integrates (i) IMU-based wave compensation with thruster-inhibit logic, (ii) ToF-based proximal debris detection as a conveyor activation trigger, and (iii) Boustrophedon CPP with inertial-odometry localisation in a GPS-deferred architecture. The WSC-R is designed to </w:t>
      </w:r>
      <w:r w:rsidR="003323D8">
        <w:rPr>
          <w:sz w:val="18"/>
          <w:szCs w:val="18"/>
        </w:rPr>
        <w:t>precisely constitute</w:t>
      </w:r>
      <w:r>
        <w:rPr>
          <w:sz w:val="18"/>
          <w:szCs w:val="18"/>
        </w:rPr>
        <w:t xml:space="preserve"> this integrated contribution.</w:t>
      </w:r>
    </w:p>
    <w:p w14:paraId="5921784C" w14:textId="77777777" w:rsidR="00DD60D2" w:rsidRDefault="00000000">
      <w:pPr>
        <w:spacing w:before="180" w:after="120"/>
      </w:pPr>
      <w:r>
        <w:rPr>
          <w:b/>
          <w:bCs/>
          <w:sz w:val="18"/>
          <w:szCs w:val="18"/>
        </w:rPr>
        <w:t>3.   SYSTEM ARCHITECTURE AND DESIGN</w:t>
      </w:r>
    </w:p>
    <w:p w14:paraId="7410F238" w14:textId="77777777" w:rsidR="00DD60D2" w:rsidRDefault="00000000">
      <w:pPr>
        <w:spacing w:before="160" w:after="100"/>
      </w:pPr>
      <w:r>
        <w:rPr>
          <w:b/>
          <w:bCs/>
          <w:sz w:val="18"/>
          <w:szCs w:val="18"/>
        </w:rPr>
        <w:t>3.1    Mechanical Design and Hydrostatics</w:t>
      </w:r>
    </w:p>
    <w:p w14:paraId="49293CCA" w14:textId="77777777" w:rsidR="00DD60D2" w:rsidRDefault="00000000">
      <w:pPr>
        <w:jc w:val="both"/>
      </w:pPr>
      <w:r>
        <w:rPr>
          <w:sz w:val="18"/>
          <w:szCs w:val="18"/>
        </w:rPr>
        <w:t xml:space="preserve">The WSC-R adopts a catamaran dual-hull configuration, with principal hydrostatic and structural parameters </w:t>
      </w:r>
      <w:proofErr w:type="gramStart"/>
      <w:r>
        <w:rPr>
          <w:sz w:val="18"/>
          <w:szCs w:val="18"/>
        </w:rPr>
        <w:t>enumerated</w:t>
      </w:r>
      <w:proofErr w:type="gramEnd"/>
      <w:r>
        <w:rPr>
          <w:sz w:val="18"/>
          <w:szCs w:val="18"/>
        </w:rPr>
        <w:t xml:space="preserve"> in Table 1. The twin hulls are fabricated from 100 mm nominal-diameter extruded marine-grade PVC pipe, offering high volumetric buoyancy per unit mass, chemical inertness to aquatic contaminants, and straightforward machinability with standard workshop tooling. The 0.6 m transverse beam ensures a metacentric height (GM) sufficient to resist the heeling moments imposed by asymmetric debris loading within the onboard collection bin and by oblique wave incidence. Centre-of-gravity optimisation is achieved by mounting the Li-ion battery module at the lowest feasible longitudinal and vertical station—proximate to the keel centreline—thereby minimising the vertical separation between the centre of buoyancy (CB) and the centre of gravity (CG) and maximising the righting lever arm (GZ) at all operational loading conditions. All electronics compartments achieve IP67 ingress protection via marine-grade silicone sealant beads and elastomeric compression gaskets on machined access hatches.</w:t>
      </w:r>
    </w:p>
    <w:p w14:paraId="4E0DE155" w14:textId="77777777" w:rsidR="00DD60D2" w:rsidRDefault="00000000">
      <w:pPr>
        <w:ind w:firstLine="216"/>
        <w:jc w:val="both"/>
      </w:pPr>
      <w:r>
        <w:rPr>
          <w:sz w:val="18"/>
          <w:szCs w:val="18"/>
        </w:rPr>
        <w:t xml:space="preserve">The debris collection subsystem </w:t>
      </w:r>
      <w:proofErr w:type="gramStart"/>
      <w:r>
        <w:rPr>
          <w:sz w:val="18"/>
          <w:szCs w:val="18"/>
        </w:rPr>
        <w:t>comprises</w:t>
      </w:r>
      <w:proofErr w:type="gramEnd"/>
      <w:r>
        <w:rPr>
          <w:sz w:val="18"/>
          <w:szCs w:val="18"/>
        </w:rPr>
        <w:t xml:space="preserve"> a motorised conveyor belt spanning the full 0.3 m inter-hull channel at the vessel bow, inclined at a 30-degree angle from the waterline. This inclination angle </w:t>
      </w:r>
      <w:proofErr w:type="gramStart"/>
      <w:r>
        <w:rPr>
          <w:sz w:val="18"/>
          <w:szCs w:val="18"/>
        </w:rPr>
        <w:t>represents</w:t>
      </w:r>
      <w:proofErr w:type="gramEnd"/>
      <w:r>
        <w:rPr>
          <w:sz w:val="18"/>
          <w:szCs w:val="18"/>
        </w:rPr>
        <w:t xml:space="preserve"> the </w:t>
      </w:r>
      <w:proofErr w:type="gramStart"/>
      <w:r>
        <w:rPr>
          <w:sz w:val="18"/>
          <w:szCs w:val="18"/>
        </w:rPr>
        <w:t>optimum</w:t>
      </w:r>
      <w:proofErr w:type="gramEnd"/>
      <w:r>
        <w:rPr>
          <w:sz w:val="18"/>
          <w:szCs w:val="18"/>
        </w:rPr>
        <w:t xml:space="preserve"> balance between the mechanical advantage </w:t>
      </w:r>
      <w:proofErr w:type="gramStart"/>
      <w:r>
        <w:rPr>
          <w:sz w:val="18"/>
          <w:szCs w:val="18"/>
        </w:rPr>
        <w:t>required</w:t>
      </w:r>
      <w:proofErr w:type="gramEnd"/>
      <w:r>
        <w:rPr>
          <w:sz w:val="18"/>
          <w:szCs w:val="18"/>
        </w:rPr>
        <w:t xml:space="preserve"> to elevate water-saturated debris and the minimisation of entrained water volume transported to the storage bin—a trade-off characterised by Tiwari et al. (2021). A 12 V, 60 RPM DC gear motor drives the belt through a sealed timing-belt transmission, delivering a belt linear velocity below 0.1 m/s to </w:t>
      </w:r>
      <w:proofErr w:type="gramStart"/>
      <w:r>
        <w:rPr>
          <w:sz w:val="18"/>
          <w:szCs w:val="18"/>
        </w:rPr>
        <w:t>preclude</w:t>
      </w:r>
      <w:proofErr w:type="gramEnd"/>
      <w:r>
        <w:rPr>
          <w:sz w:val="18"/>
          <w:szCs w:val="18"/>
        </w:rPr>
        <w:t xml:space="preserve"> splash-back and reduce conveyor power demand. A mechanical slip clutch integrated into the primary drive shaft disengages at a predetermined torque threshold, providing passive over-load protection to the gear motor </w:t>
      </w:r>
      <w:proofErr w:type="gramStart"/>
      <w:r>
        <w:rPr>
          <w:sz w:val="18"/>
          <w:szCs w:val="18"/>
        </w:rPr>
        <w:t>in the event of</w:t>
      </w:r>
      <w:proofErr w:type="gramEnd"/>
      <w:r>
        <w:rPr>
          <w:sz w:val="18"/>
          <w:szCs w:val="18"/>
        </w:rPr>
        <w:t xml:space="preserve"> belt jamming by large-</w:t>
      </w:r>
      <w:r>
        <w:rPr>
          <w:sz w:val="18"/>
          <w:szCs w:val="18"/>
        </w:rPr>
        <w:lastRenderedPageBreak/>
        <w:t>dimension debris. Collected material is deposited into a tool-free-removable polypropylene storage bin housed within the central chassis frame, sized for rapid field extraction to minimise operational downtime.</w:t>
      </w:r>
    </w:p>
    <w:p w14:paraId="058A4C74" w14:textId="77777777" w:rsidR="00DD60D2" w:rsidRDefault="00000000">
      <w:pPr>
        <w:spacing w:before="140" w:after="60"/>
      </w:pPr>
      <w:r>
        <w:rPr>
          <w:b/>
          <w:bCs/>
          <w:sz w:val="18"/>
          <w:szCs w:val="18"/>
        </w:rPr>
        <w:t>Table 1. WSC-R Principal Hydrostatic and Structural Parameters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891"/>
        <w:gridCol w:w="1927"/>
      </w:tblGrid>
      <w:tr w:rsidR="00DD60D2" w14:paraId="5E00151F" w14:textId="77777777">
        <w:tblPrEx>
          <w:tblCellMar>
            <w:top w:w="0" w:type="dxa"/>
            <w:bottom w:w="0" w:type="dxa"/>
          </w:tblCellMar>
        </w:tblPrEx>
        <w:trPr>
          <w:tblHeader/>
        </w:trPr>
        <w:tc>
          <w:tcPr>
            <w:tcW w:w="4819" w:type="dxa"/>
            <w:tcBorders>
              <w:top w:val="single" w:sz="6" w:space="0" w:color="000000"/>
              <w:left w:val="single" w:sz="6" w:space="0" w:color="000000"/>
              <w:bottom w:val="single" w:sz="6" w:space="0" w:color="000000"/>
              <w:right w:val="single" w:sz="6" w:space="0" w:color="000000"/>
            </w:tcBorders>
            <w:shd w:val="clear" w:color="auto" w:fill="DDDDDD"/>
            <w:tcMar>
              <w:top w:w="55" w:type="dxa"/>
              <w:left w:w="110" w:type="dxa"/>
              <w:bottom w:w="55" w:type="dxa"/>
              <w:right w:w="110" w:type="dxa"/>
            </w:tcMar>
          </w:tcPr>
          <w:p w14:paraId="25A3B810" w14:textId="77777777" w:rsidR="00DD60D2" w:rsidRDefault="00000000">
            <w:r>
              <w:rPr>
                <w:b/>
                <w:bCs/>
                <w:sz w:val="18"/>
                <w:szCs w:val="18"/>
              </w:rPr>
              <w:t>Parameter</w:t>
            </w:r>
          </w:p>
        </w:tc>
        <w:tc>
          <w:tcPr>
            <w:tcW w:w="2891" w:type="dxa"/>
            <w:tcBorders>
              <w:top w:val="single" w:sz="6" w:space="0" w:color="000000"/>
              <w:left w:val="single" w:sz="6" w:space="0" w:color="000000"/>
              <w:bottom w:val="single" w:sz="6" w:space="0" w:color="000000"/>
              <w:right w:val="single" w:sz="6" w:space="0" w:color="000000"/>
            </w:tcBorders>
            <w:shd w:val="clear" w:color="auto" w:fill="DDDDDD"/>
            <w:tcMar>
              <w:top w:w="55" w:type="dxa"/>
              <w:left w:w="110" w:type="dxa"/>
              <w:bottom w:w="55" w:type="dxa"/>
              <w:right w:w="110" w:type="dxa"/>
            </w:tcMar>
          </w:tcPr>
          <w:p w14:paraId="14D900F4" w14:textId="77777777" w:rsidR="00DD60D2" w:rsidRDefault="00000000">
            <w:r>
              <w:rPr>
                <w:b/>
                <w:bCs/>
                <w:sz w:val="18"/>
                <w:szCs w:val="18"/>
              </w:rPr>
              <w:t>Value</w:t>
            </w:r>
          </w:p>
        </w:tc>
        <w:tc>
          <w:tcPr>
            <w:tcW w:w="1927" w:type="dxa"/>
            <w:tcBorders>
              <w:top w:val="single" w:sz="6" w:space="0" w:color="000000"/>
              <w:left w:val="single" w:sz="6" w:space="0" w:color="000000"/>
              <w:bottom w:val="single" w:sz="6" w:space="0" w:color="000000"/>
              <w:right w:val="single" w:sz="6" w:space="0" w:color="000000"/>
            </w:tcBorders>
            <w:shd w:val="clear" w:color="auto" w:fill="DDDDDD"/>
            <w:tcMar>
              <w:top w:w="55" w:type="dxa"/>
              <w:left w:w="110" w:type="dxa"/>
              <w:bottom w:w="55" w:type="dxa"/>
              <w:right w:w="110" w:type="dxa"/>
            </w:tcMar>
          </w:tcPr>
          <w:p w14:paraId="64063A86" w14:textId="77777777" w:rsidR="00DD60D2" w:rsidRDefault="00000000">
            <w:r>
              <w:rPr>
                <w:b/>
                <w:bCs/>
                <w:sz w:val="18"/>
                <w:szCs w:val="18"/>
              </w:rPr>
              <w:t>Unit</w:t>
            </w:r>
          </w:p>
        </w:tc>
      </w:tr>
      <w:tr w:rsidR="00DD60D2" w14:paraId="487198C1" w14:textId="77777777">
        <w:tblPrEx>
          <w:tblCellMar>
            <w:top w:w="0" w:type="dxa"/>
            <w:bottom w:w="0" w:type="dxa"/>
          </w:tblCellMar>
        </w:tblPrEx>
        <w:tc>
          <w:tcPr>
            <w:tcW w:w="481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44373C6C" w14:textId="77777777" w:rsidR="00DD60D2" w:rsidRDefault="00000000">
            <w:r>
              <w:rPr>
                <w:sz w:val="18"/>
                <w:szCs w:val="18"/>
              </w:rPr>
              <w:t>Overall Length (L)</w:t>
            </w:r>
          </w:p>
        </w:tc>
        <w:tc>
          <w:tcPr>
            <w:tcW w:w="2891"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1615E63C" w14:textId="77777777" w:rsidR="00DD60D2" w:rsidRDefault="00000000">
            <w:r>
              <w:rPr>
                <w:sz w:val="18"/>
                <w:szCs w:val="18"/>
              </w:rPr>
              <w:t>1.0</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612E4DF5" w14:textId="77777777" w:rsidR="00DD60D2" w:rsidRDefault="00000000">
            <w:r>
              <w:rPr>
                <w:sz w:val="18"/>
                <w:szCs w:val="18"/>
              </w:rPr>
              <w:t>m</w:t>
            </w:r>
          </w:p>
        </w:tc>
      </w:tr>
      <w:tr w:rsidR="00DD60D2" w14:paraId="01832A7A" w14:textId="77777777">
        <w:tblPrEx>
          <w:tblCellMar>
            <w:top w:w="0" w:type="dxa"/>
            <w:bottom w:w="0" w:type="dxa"/>
          </w:tblCellMar>
        </w:tblPrEx>
        <w:tc>
          <w:tcPr>
            <w:tcW w:w="481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48FDFB68" w14:textId="77777777" w:rsidR="00DD60D2" w:rsidRDefault="00000000">
            <w:r>
              <w:rPr>
                <w:sz w:val="18"/>
                <w:szCs w:val="18"/>
              </w:rPr>
              <w:t>Overall Beam (B)</w:t>
            </w:r>
          </w:p>
        </w:tc>
        <w:tc>
          <w:tcPr>
            <w:tcW w:w="2891"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52A28FB5" w14:textId="77777777" w:rsidR="00DD60D2" w:rsidRDefault="00000000">
            <w:r>
              <w:rPr>
                <w:sz w:val="18"/>
                <w:szCs w:val="18"/>
              </w:rPr>
              <w:t>0.6</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4170052B" w14:textId="77777777" w:rsidR="00DD60D2" w:rsidRDefault="00000000">
            <w:r>
              <w:rPr>
                <w:sz w:val="18"/>
                <w:szCs w:val="18"/>
              </w:rPr>
              <w:t>m</w:t>
            </w:r>
          </w:p>
        </w:tc>
      </w:tr>
      <w:tr w:rsidR="00DD60D2" w14:paraId="4FC89339" w14:textId="77777777">
        <w:tblPrEx>
          <w:tblCellMar>
            <w:top w:w="0" w:type="dxa"/>
            <w:bottom w:w="0" w:type="dxa"/>
          </w:tblCellMar>
        </w:tblPrEx>
        <w:tc>
          <w:tcPr>
            <w:tcW w:w="481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2001345B" w14:textId="77777777" w:rsidR="00DD60D2" w:rsidRDefault="00000000">
            <w:r>
              <w:rPr>
                <w:sz w:val="18"/>
                <w:szCs w:val="18"/>
              </w:rPr>
              <w:t>Hull Draft (T), Unloaded</w:t>
            </w:r>
          </w:p>
        </w:tc>
        <w:tc>
          <w:tcPr>
            <w:tcW w:w="2891"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69425D13" w14:textId="77777777" w:rsidR="00DD60D2" w:rsidRDefault="00000000">
            <w:r>
              <w:rPr>
                <w:sz w:val="18"/>
                <w:szCs w:val="18"/>
              </w:rPr>
              <w:t>0.08</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31F99B53" w14:textId="77777777" w:rsidR="00DD60D2" w:rsidRDefault="00000000">
            <w:r>
              <w:rPr>
                <w:sz w:val="18"/>
                <w:szCs w:val="18"/>
              </w:rPr>
              <w:t>m</w:t>
            </w:r>
          </w:p>
        </w:tc>
      </w:tr>
      <w:tr w:rsidR="00DD60D2" w14:paraId="6906A0A6" w14:textId="77777777">
        <w:tblPrEx>
          <w:tblCellMar>
            <w:top w:w="0" w:type="dxa"/>
            <w:bottom w:w="0" w:type="dxa"/>
          </w:tblCellMar>
        </w:tblPrEx>
        <w:tc>
          <w:tcPr>
            <w:tcW w:w="481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5CC4C3E7" w14:textId="77777777" w:rsidR="00DD60D2" w:rsidRDefault="00000000">
            <w:r>
              <w:rPr>
                <w:sz w:val="18"/>
                <w:szCs w:val="18"/>
              </w:rPr>
              <w:t>Maximum Operating Displacement</w:t>
            </w:r>
          </w:p>
        </w:tc>
        <w:tc>
          <w:tcPr>
            <w:tcW w:w="2891"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039C58BA" w14:textId="77777777" w:rsidR="00DD60D2" w:rsidRDefault="00000000">
            <w:r>
              <w:rPr>
                <w:sz w:val="18"/>
                <w:szCs w:val="18"/>
              </w:rPr>
              <w:t>8.0</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200488F3" w14:textId="77777777" w:rsidR="00DD60D2" w:rsidRDefault="00000000">
            <w:r>
              <w:rPr>
                <w:sz w:val="18"/>
                <w:szCs w:val="18"/>
              </w:rPr>
              <w:t>kg</w:t>
            </w:r>
          </w:p>
        </w:tc>
      </w:tr>
      <w:tr w:rsidR="00DD60D2" w14:paraId="7AA62DBB" w14:textId="77777777">
        <w:tblPrEx>
          <w:tblCellMar>
            <w:top w:w="0" w:type="dxa"/>
            <w:bottom w:w="0" w:type="dxa"/>
          </w:tblCellMar>
        </w:tblPrEx>
        <w:tc>
          <w:tcPr>
            <w:tcW w:w="481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3E4E005C" w14:textId="77777777" w:rsidR="00DD60D2" w:rsidRDefault="00000000">
            <w:r>
              <w:rPr>
                <w:sz w:val="18"/>
                <w:szCs w:val="18"/>
              </w:rPr>
              <w:t>Required Volumetric Displacement</w:t>
            </w:r>
          </w:p>
        </w:tc>
        <w:tc>
          <w:tcPr>
            <w:tcW w:w="2891"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51708D28" w14:textId="77777777" w:rsidR="00DD60D2" w:rsidRDefault="00000000">
            <w:r>
              <w:rPr>
                <w:sz w:val="18"/>
                <w:szCs w:val="18"/>
              </w:rPr>
              <w:t>8.0</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65E41929" w14:textId="77777777" w:rsidR="00DD60D2" w:rsidRDefault="00000000">
            <w:r>
              <w:rPr>
                <w:sz w:val="18"/>
                <w:szCs w:val="18"/>
              </w:rPr>
              <w:t>L</w:t>
            </w:r>
          </w:p>
        </w:tc>
      </w:tr>
      <w:tr w:rsidR="00DD60D2" w14:paraId="73A5661D" w14:textId="77777777">
        <w:tblPrEx>
          <w:tblCellMar>
            <w:top w:w="0" w:type="dxa"/>
            <w:bottom w:w="0" w:type="dxa"/>
          </w:tblCellMar>
        </w:tblPrEx>
        <w:tc>
          <w:tcPr>
            <w:tcW w:w="481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54355817" w14:textId="77777777" w:rsidR="00DD60D2" w:rsidRDefault="00000000">
            <w:r>
              <w:rPr>
                <w:sz w:val="18"/>
                <w:szCs w:val="18"/>
              </w:rPr>
              <w:t>Effective Cleaning Swath Width</w:t>
            </w:r>
          </w:p>
        </w:tc>
        <w:tc>
          <w:tcPr>
            <w:tcW w:w="2891"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1D815F9F" w14:textId="77777777" w:rsidR="00DD60D2" w:rsidRDefault="00000000">
            <w:r>
              <w:rPr>
                <w:sz w:val="18"/>
                <w:szCs w:val="18"/>
              </w:rPr>
              <w:t>0.3</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073E1482" w14:textId="77777777" w:rsidR="00DD60D2" w:rsidRDefault="00000000">
            <w:r>
              <w:rPr>
                <w:sz w:val="18"/>
                <w:szCs w:val="18"/>
              </w:rPr>
              <w:t>m</w:t>
            </w:r>
          </w:p>
        </w:tc>
      </w:tr>
      <w:tr w:rsidR="00DD60D2" w14:paraId="2F0CDD72" w14:textId="77777777">
        <w:tblPrEx>
          <w:tblCellMar>
            <w:top w:w="0" w:type="dxa"/>
            <w:bottom w:w="0" w:type="dxa"/>
          </w:tblCellMar>
        </w:tblPrEx>
        <w:tc>
          <w:tcPr>
            <w:tcW w:w="481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2B4B4ACA" w14:textId="77777777" w:rsidR="00DD60D2" w:rsidRDefault="00000000">
            <w:r>
              <w:rPr>
                <w:sz w:val="18"/>
                <w:szCs w:val="18"/>
              </w:rPr>
              <w:t>Conveyor Intake Angle (θ)</w:t>
            </w:r>
          </w:p>
        </w:tc>
        <w:tc>
          <w:tcPr>
            <w:tcW w:w="2891"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028102B9" w14:textId="77777777" w:rsidR="00DD60D2" w:rsidRDefault="00000000">
            <w:r>
              <w:rPr>
                <w:sz w:val="18"/>
                <w:szCs w:val="18"/>
              </w:rPr>
              <w:t>30</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2A5236CB" w14:textId="77777777" w:rsidR="00DD60D2" w:rsidRDefault="00000000">
            <w:r>
              <w:rPr>
                <w:sz w:val="18"/>
                <w:szCs w:val="18"/>
              </w:rPr>
              <w:t>degrees</w:t>
            </w:r>
          </w:p>
        </w:tc>
      </w:tr>
      <w:tr w:rsidR="00DD60D2" w14:paraId="5C2AA826" w14:textId="77777777">
        <w:tblPrEx>
          <w:tblCellMar>
            <w:top w:w="0" w:type="dxa"/>
            <w:bottom w:w="0" w:type="dxa"/>
          </w:tblCellMar>
        </w:tblPrEx>
        <w:tc>
          <w:tcPr>
            <w:tcW w:w="481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1B9824C6" w14:textId="77777777" w:rsidR="00DD60D2" w:rsidRDefault="00000000">
            <w:r>
              <w:rPr>
                <w:sz w:val="18"/>
                <w:szCs w:val="18"/>
              </w:rPr>
              <w:t>Conveyor Belt Linear Speed</w:t>
            </w:r>
          </w:p>
        </w:tc>
        <w:tc>
          <w:tcPr>
            <w:tcW w:w="2891"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36C788E9" w14:textId="77777777" w:rsidR="00DD60D2" w:rsidRDefault="00000000">
            <w:r>
              <w:rPr>
                <w:sz w:val="18"/>
                <w:szCs w:val="18"/>
              </w:rPr>
              <w:t>&lt; 0.1</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1FDC2957" w14:textId="77777777" w:rsidR="00DD60D2" w:rsidRDefault="00000000">
            <w:r>
              <w:rPr>
                <w:sz w:val="18"/>
                <w:szCs w:val="18"/>
              </w:rPr>
              <w:t>m/s</w:t>
            </w:r>
          </w:p>
        </w:tc>
      </w:tr>
      <w:tr w:rsidR="00DD60D2" w14:paraId="6462F978" w14:textId="77777777">
        <w:tblPrEx>
          <w:tblCellMar>
            <w:top w:w="0" w:type="dxa"/>
            <w:bottom w:w="0" w:type="dxa"/>
          </w:tblCellMar>
        </w:tblPrEx>
        <w:tc>
          <w:tcPr>
            <w:tcW w:w="481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6B81A6D3" w14:textId="77777777" w:rsidR="00DD60D2" w:rsidRDefault="00000000">
            <w:r>
              <w:rPr>
                <w:sz w:val="18"/>
                <w:szCs w:val="18"/>
              </w:rPr>
              <w:t>Hull Material</w:t>
            </w:r>
          </w:p>
        </w:tc>
        <w:tc>
          <w:tcPr>
            <w:tcW w:w="2891"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67E9D181" w14:textId="77777777" w:rsidR="00DD60D2" w:rsidRDefault="00000000">
            <w:r>
              <w:rPr>
                <w:sz w:val="18"/>
                <w:szCs w:val="18"/>
              </w:rPr>
              <w:t>Marine-grade PVC</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10172E96" w14:textId="77777777" w:rsidR="00DD60D2" w:rsidRDefault="00000000">
            <w:r>
              <w:rPr>
                <w:sz w:val="18"/>
                <w:szCs w:val="18"/>
              </w:rPr>
              <w:t>—</w:t>
            </w:r>
          </w:p>
        </w:tc>
      </w:tr>
      <w:tr w:rsidR="00DD60D2" w14:paraId="081AA712" w14:textId="77777777">
        <w:tblPrEx>
          <w:tblCellMar>
            <w:top w:w="0" w:type="dxa"/>
            <w:bottom w:w="0" w:type="dxa"/>
          </w:tblCellMar>
        </w:tblPrEx>
        <w:tc>
          <w:tcPr>
            <w:tcW w:w="481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44096DA6" w14:textId="77777777" w:rsidR="00DD60D2" w:rsidRDefault="00000000">
            <w:r>
              <w:rPr>
                <w:sz w:val="18"/>
                <w:szCs w:val="18"/>
              </w:rPr>
              <w:t>Electronics Enclosure Rating</w:t>
            </w:r>
          </w:p>
        </w:tc>
        <w:tc>
          <w:tcPr>
            <w:tcW w:w="2891"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38C05937" w14:textId="77777777" w:rsidR="00DD60D2" w:rsidRDefault="00000000">
            <w:r>
              <w:rPr>
                <w:sz w:val="18"/>
                <w:szCs w:val="18"/>
              </w:rPr>
              <w:t>IP67</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462B59A3" w14:textId="77777777" w:rsidR="00DD60D2" w:rsidRDefault="00000000">
            <w:r>
              <w:rPr>
                <w:sz w:val="18"/>
                <w:szCs w:val="18"/>
              </w:rPr>
              <w:t>—</w:t>
            </w:r>
          </w:p>
        </w:tc>
      </w:tr>
    </w:tbl>
    <w:p w14:paraId="018823C0" w14:textId="77777777" w:rsidR="00DD60D2" w:rsidRDefault="00DD60D2">
      <w:pPr>
        <w:spacing w:after="100"/>
      </w:pPr>
    </w:p>
    <w:p w14:paraId="5ED037CB" w14:textId="77777777" w:rsidR="00DD60D2" w:rsidRDefault="00000000">
      <w:pPr>
        <w:spacing w:before="160" w:after="100"/>
      </w:pPr>
      <w:r>
        <w:rPr>
          <w:b/>
          <w:bCs/>
          <w:sz w:val="18"/>
          <w:szCs w:val="18"/>
        </w:rPr>
        <w:t>3.2    Propulsion and Power Subsystems</w:t>
      </w:r>
    </w:p>
    <w:p w14:paraId="74F945AE" w14:textId="3338D856" w:rsidR="00DD60D2" w:rsidRDefault="00000000">
      <w:pPr>
        <w:jc w:val="both"/>
      </w:pPr>
      <w:r>
        <w:rPr>
          <w:sz w:val="18"/>
          <w:szCs w:val="18"/>
        </w:rPr>
        <w:t xml:space="preserve">Differential-thrust propulsion is implemented via two Brushless DC (BLDC) motor thrusters mounted at the stern of each hull, each governed by a </w:t>
      </w:r>
      <w:proofErr w:type="gramStart"/>
      <w:r>
        <w:rPr>
          <w:sz w:val="18"/>
          <w:szCs w:val="18"/>
        </w:rPr>
        <w:t>dedicated</w:t>
      </w:r>
      <w:proofErr w:type="gramEnd"/>
      <w:r>
        <w:rPr>
          <w:sz w:val="18"/>
          <w:szCs w:val="18"/>
        </w:rPr>
        <w:t xml:space="preserve"> waterproof Electronic Speed Controller (ESC) receiving 50 Hz PWM modulation from the ESP32 GPIO peripherals. Independent speed and directional control of the port and starboard thrusters </w:t>
      </w:r>
      <w:r w:rsidR="00B66C1F">
        <w:rPr>
          <w:sz w:val="18"/>
          <w:szCs w:val="18"/>
        </w:rPr>
        <w:t>enable</w:t>
      </w:r>
      <w:r>
        <w:rPr>
          <w:sz w:val="18"/>
          <w:szCs w:val="18"/>
        </w:rPr>
        <w:t xml:space="preserve"> point-turns with zero turning radius—a capability critical for Boustrophedon track-reversal manoeuvres in confined waterways. BLDC motors are selected over brushed DC alternatives </w:t>
      </w:r>
      <w:proofErr w:type="gramStart"/>
      <w:r>
        <w:rPr>
          <w:sz w:val="18"/>
          <w:szCs w:val="18"/>
        </w:rPr>
        <w:t>on the basis of</w:t>
      </w:r>
      <w:proofErr w:type="gramEnd"/>
      <w:r>
        <w:rPr>
          <w:sz w:val="18"/>
          <w:szCs w:val="18"/>
        </w:rPr>
        <w:t xml:space="preserve"> their superior efficiency (η &gt; 85%), superior power-to-weight ratio, and absence of brush wear—a significant reliability advantage for extended autonomous deployment cycles (Ahmad et al., 2022).</w:t>
      </w:r>
    </w:p>
    <w:p w14:paraId="19F30ED6" w14:textId="77777777" w:rsidR="00DD60D2" w:rsidRDefault="00000000">
      <w:pPr>
        <w:ind w:firstLine="216"/>
        <w:jc w:val="both"/>
      </w:pPr>
      <w:r>
        <w:rPr>
          <w:sz w:val="18"/>
          <w:szCs w:val="18"/>
        </w:rPr>
        <w:t xml:space="preserve">The Phase I energy storage subsystem consists of a 12 V, 15 Ah Li-ion battery module (nominal capacity: 180 Wh), housed within the keel-level sealed compartment. Battery protection and cell management are provided by an integrated Battery Management System (BMS) implementing over-current protection (OCP), over-voltage protection (OVP), under-voltage lockout (UVLO), and active cell-voltage balancing. Low-voltage electronics are supplied via a 5 V DC-DC synchronous buck converter electrically isolated from the high-current thruster power rail to </w:t>
      </w:r>
      <w:proofErr w:type="gramStart"/>
      <w:r>
        <w:rPr>
          <w:sz w:val="18"/>
          <w:szCs w:val="18"/>
        </w:rPr>
        <w:t>preclude</w:t>
      </w:r>
      <w:proofErr w:type="gramEnd"/>
      <w:r>
        <w:rPr>
          <w:sz w:val="18"/>
          <w:szCs w:val="18"/>
        </w:rPr>
        <w:t xml:space="preserve"> switching-noise coupling into sensitive analogue and digital sensing circuits. The nominal system power budget, from which operational endurance is derived, is presented in Table 2.</w:t>
      </w:r>
    </w:p>
    <w:p w14:paraId="1C8CED81" w14:textId="77777777" w:rsidR="00DD60D2" w:rsidRDefault="00000000">
      <w:pPr>
        <w:spacing w:before="140" w:after="60"/>
      </w:pPr>
      <w:r>
        <w:rPr>
          <w:b/>
          <w:bCs/>
          <w:sz w:val="18"/>
          <w:szCs w:val="18"/>
        </w:rPr>
        <w:t>Table 2. WSC-R Nominal Power Budget and Derived Operational Endurance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1"/>
        <w:gridCol w:w="2410"/>
        <w:gridCol w:w="1927"/>
      </w:tblGrid>
      <w:tr w:rsidR="00DD60D2" w14:paraId="2FD41574" w14:textId="77777777">
        <w:tblPrEx>
          <w:tblCellMar>
            <w:top w:w="0" w:type="dxa"/>
            <w:bottom w:w="0" w:type="dxa"/>
          </w:tblCellMar>
        </w:tblPrEx>
        <w:trPr>
          <w:tblHeader/>
        </w:trPr>
        <w:tc>
          <w:tcPr>
            <w:tcW w:w="5300" w:type="dxa"/>
            <w:tcBorders>
              <w:top w:val="single" w:sz="6" w:space="0" w:color="000000"/>
              <w:left w:val="single" w:sz="6" w:space="0" w:color="000000"/>
              <w:bottom w:val="single" w:sz="6" w:space="0" w:color="000000"/>
              <w:right w:val="single" w:sz="6" w:space="0" w:color="000000"/>
            </w:tcBorders>
            <w:shd w:val="clear" w:color="auto" w:fill="DDDDDD"/>
            <w:tcMar>
              <w:top w:w="55" w:type="dxa"/>
              <w:left w:w="110" w:type="dxa"/>
              <w:bottom w:w="55" w:type="dxa"/>
              <w:right w:w="110" w:type="dxa"/>
            </w:tcMar>
          </w:tcPr>
          <w:p w14:paraId="65802575" w14:textId="77777777" w:rsidR="00DD60D2" w:rsidRDefault="00000000">
            <w:r>
              <w:rPr>
                <w:b/>
                <w:bCs/>
                <w:sz w:val="18"/>
                <w:szCs w:val="18"/>
              </w:rPr>
              <w:t>Subsystem / Parameter</w:t>
            </w:r>
          </w:p>
        </w:tc>
        <w:tc>
          <w:tcPr>
            <w:tcW w:w="2409" w:type="dxa"/>
            <w:tcBorders>
              <w:top w:val="single" w:sz="6" w:space="0" w:color="000000"/>
              <w:left w:val="single" w:sz="6" w:space="0" w:color="000000"/>
              <w:bottom w:val="single" w:sz="6" w:space="0" w:color="000000"/>
              <w:right w:val="single" w:sz="6" w:space="0" w:color="000000"/>
            </w:tcBorders>
            <w:shd w:val="clear" w:color="auto" w:fill="DDDDDD"/>
            <w:tcMar>
              <w:top w:w="55" w:type="dxa"/>
              <w:left w:w="110" w:type="dxa"/>
              <w:bottom w:w="55" w:type="dxa"/>
              <w:right w:w="110" w:type="dxa"/>
            </w:tcMar>
          </w:tcPr>
          <w:p w14:paraId="0029F12B" w14:textId="77777777" w:rsidR="00DD60D2" w:rsidRDefault="00000000">
            <w:r>
              <w:rPr>
                <w:b/>
                <w:bCs/>
                <w:sz w:val="18"/>
                <w:szCs w:val="18"/>
              </w:rPr>
              <w:t>Power Demand</w:t>
            </w:r>
          </w:p>
        </w:tc>
        <w:tc>
          <w:tcPr>
            <w:tcW w:w="1927" w:type="dxa"/>
            <w:tcBorders>
              <w:top w:val="single" w:sz="6" w:space="0" w:color="000000"/>
              <w:left w:val="single" w:sz="6" w:space="0" w:color="000000"/>
              <w:bottom w:val="single" w:sz="6" w:space="0" w:color="000000"/>
              <w:right w:val="single" w:sz="6" w:space="0" w:color="000000"/>
            </w:tcBorders>
            <w:shd w:val="clear" w:color="auto" w:fill="DDDDDD"/>
            <w:tcMar>
              <w:top w:w="55" w:type="dxa"/>
              <w:left w:w="110" w:type="dxa"/>
              <w:bottom w:w="55" w:type="dxa"/>
              <w:right w:w="110" w:type="dxa"/>
            </w:tcMar>
          </w:tcPr>
          <w:p w14:paraId="6415B52B" w14:textId="77777777" w:rsidR="00DD60D2" w:rsidRDefault="00000000">
            <w:r>
              <w:rPr>
                <w:b/>
                <w:bCs/>
                <w:sz w:val="18"/>
                <w:szCs w:val="18"/>
              </w:rPr>
              <w:t>Unit</w:t>
            </w:r>
          </w:p>
        </w:tc>
      </w:tr>
      <w:tr w:rsidR="00DD60D2" w14:paraId="6BD9F01D" w14:textId="77777777">
        <w:tblPrEx>
          <w:tblCellMar>
            <w:top w:w="0" w:type="dxa"/>
            <w:bottom w:w="0" w:type="dxa"/>
          </w:tblCellMar>
        </w:tblPrEx>
        <w:tc>
          <w:tcPr>
            <w:tcW w:w="5300"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7647DB67" w14:textId="77777777" w:rsidR="00DD60D2" w:rsidRDefault="00000000">
            <w:r>
              <w:rPr>
                <w:sz w:val="18"/>
                <w:szCs w:val="18"/>
              </w:rPr>
              <w:t>BLDC Thrusters (×2, cruising)</w:t>
            </w:r>
          </w:p>
        </w:tc>
        <w:tc>
          <w:tcPr>
            <w:tcW w:w="240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3DB8FD92" w14:textId="77777777" w:rsidR="00DD60D2" w:rsidRDefault="00000000">
            <w:r>
              <w:rPr>
                <w:sz w:val="18"/>
                <w:szCs w:val="18"/>
              </w:rPr>
              <w:t>40</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7CE4AD51" w14:textId="77777777" w:rsidR="00DD60D2" w:rsidRDefault="00000000">
            <w:r>
              <w:rPr>
                <w:sz w:val="18"/>
                <w:szCs w:val="18"/>
              </w:rPr>
              <w:t>W</w:t>
            </w:r>
          </w:p>
        </w:tc>
      </w:tr>
      <w:tr w:rsidR="00DD60D2" w14:paraId="79EA4068" w14:textId="77777777">
        <w:tblPrEx>
          <w:tblCellMar>
            <w:top w:w="0" w:type="dxa"/>
            <w:bottom w:w="0" w:type="dxa"/>
          </w:tblCellMar>
        </w:tblPrEx>
        <w:tc>
          <w:tcPr>
            <w:tcW w:w="5300"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22DD73C2" w14:textId="77777777" w:rsidR="00DD60D2" w:rsidRDefault="00000000">
            <w:r>
              <w:rPr>
                <w:sz w:val="18"/>
                <w:szCs w:val="18"/>
              </w:rPr>
              <w:t>Conveyor Belt DC Gear Motor</w:t>
            </w:r>
          </w:p>
        </w:tc>
        <w:tc>
          <w:tcPr>
            <w:tcW w:w="240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24AEB09F" w14:textId="77777777" w:rsidR="00DD60D2" w:rsidRDefault="00000000">
            <w:r>
              <w:rPr>
                <w:sz w:val="18"/>
                <w:szCs w:val="18"/>
              </w:rPr>
              <w:t>10</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5CBA80C0" w14:textId="77777777" w:rsidR="00DD60D2" w:rsidRDefault="00000000">
            <w:r>
              <w:rPr>
                <w:sz w:val="18"/>
                <w:szCs w:val="18"/>
              </w:rPr>
              <w:t>W</w:t>
            </w:r>
          </w:p>
        </w:tc>
      </w:tr>
      <w:tr w:rsidR="00DD60D2" w14:paraId="18BE5599" w14:textId="77777777">
        <w:tblPrEx>
          <w:tblCellMar>
            <w:top w:w="0" w:type="dxa"/>
            <w:bottom w:w="0" w:type="dxa"/>
          </w:tblCellMar>
        </w:tblPrEx>
        <w:tc>
          <w:tcPr>
            <w:tcW w:w="5300"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2AB5BCE2" w14:textId="77777777" w:rsidR="00DD60D2" w:rsidRDefault="00000000">
            <w:r>
              <w:rPr>
                <w:sz w:val="18"/>
                <w:szCs w:val="18"/>
              </w:rPr>
              <w:t>ESP32 + IMU + ToF + Ultrasonics</w:t>
            </w:r>
          </w:p>
        </w:tc>
        <w:tc>
          <w:tcPr>
            <w:tcW w:w="240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191C018C" w14:textId="77777777" w:rsidR="00DD60D2" w:rsidRDefault="00000000">
            <w:r>
              <w:rPr>
                <w:sz w:val="18"/>
                <w:szCs w:val="18"/>
              </w:rPr>
              <w:t>5</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62740A5C" w14:textId="77777777" w:rsidR="00DD60D2" w:rsidRDefault="00000000">
            <w:r>
              <w:rPr>
                <w:sz w:val="18"/>
                <w:szCs w:val="18"/>
              </w:rPr>
              <w:t>W</w:t>
            </w:r>
          </w:p>
        </w:tc>
      </w:tr>
      <w:tr w:rsidR="00DD60D2" w14:paraId="186035D7" w14:textId="77777777">
        <w:tblPrEx>
          <w:tblCellMar>
            <w:top w:w="0" w:type="dxa"/>
            <w:bottom w:w="0" w:type="dxa"/>
          </w:tblCellMar>
        </w:tblPrEx>
        <w:tc>
          <w:tcPr>
            <w:tcW w:w="5300"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58E690D1" w14:textId="77777777" w:rsidR="00DD60D2" w:rsidRDefault="00000000">
            <w:r>
              <w:rPr>
                <w:sz w:val="18"/>
                <w:szCs w:val="18"/>
              </w:rPr>
              <w:t>Total Average System Load (P_avg)</w:t>
            </w:r>
          </w:p>
        </w:tc>
        <w:tc>
          <w:tcPr>
            <w:tcW w:w="240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204E91A5" w14:textId="77777777" w:rsidR="00DD60D2" w:rsidRDefault="00000000">
            <w:r>
              <w:rPr>
                <w:sz w:val="18"/>
                <w:szCs w:val="18"/>
              </w:rPr>
              <w:t>55</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01363A1E" w14:textId="77777777" w:rsidR="00DD60D2" w:rsidRDefault="00000000">
            <w:r>
              <w:rPr>
                <w:sz w:val="18"/>
                <w:szCs w:val="18"/>
              </w:rPr>
              <w:t>W</w:t>
            </w:r>
          </w:p>
        </w:tc>
      </w:tr>
      <w:tr w:rsidR="00DD60D2" w14:paraId="17C579A4" w14:textId="77777777">
        <w:tblPrEx>
          <w:tblCellMar>
            <w:top w:w="0" w:type="dxa"/>
            <w:bottom w:w="0" w:type="dxa"/>
          </w:tblCellMar>
        </w:tblPrEx>
        <w:tc>
          <w:tcPr>
            <w:tcW w:w="5300"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3DFE41A3" w14:textId="77777777" w:rsidR="00DD60D2" w:rsidRDefault="00000000">
            <w:r>
              <w:rPr>
                <w:sz w:val="18"/>
                <w:szCs w:val="18"/>
              </w:rPr>
              <w:t>Li-ion Battery Capacity (12 V × 15 Ah)</w:t>
            </w:r>
          </w:p>
        </w:tc>
        <w:tc>
          <w:tcPr>
            <w:tcW w:w="240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5E28E8F6" w14:textId="77777777" w:rsidR="00DD60D2" w:rsidRDefault="00000000">
            <w:r>
              <w:rPr>
                <w:sz w:val="18"/>
                <w:szCs w:val="18"/>
              </w:rPr>
              <w:t>180</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627E0653" w14:textId="77777777" w:rsidR="00DD60D2" w:rsidRDefault="00000000">
            <w:r>
              <w:rPr>
                <w:sz w:val="18"/>
                <w:szCs w:val="18"/>
              </w:rPr>
              <w:t>Wh</w:t>
            </w:r>
          </w:p>
        </w:tc>
      </w:tr>
      <w:tr w:rsidR="00DD60D2" w14:paraId="5C64F92E" w14:textId="77777777">
        <w:tblPrEx>
          <w:tblCellMar>
            <w:top w:w="0" w:type="dxa"/>
            <w:bottom w:w="0" w:type="dxa"/>
          </w:tblCellMar>
        </w:tblPrEx>
        <w:tc>
          <w:tcPr>
            <w:tcW w:w="5300"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0DD85A1A" w14:textId="77777777" w:rsidR="00DD60D2" w:rsidRDefault="00000000">
            <w:r>
              <w:rPr>
                <w:sz w:val="18"/>
                <w:szCs w:val="18"/>
              </w:rPr>
              <w:t>Theoretical Operational Endurance (E/P)</w:t>
            </w:r>
          </w:p>
        </w:tc>
        <w:tc>
          <w:tcPr>
            <w:tcW w:w="2409"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400562E6" w14:textId="77777777" w:rsidR="00DD60D2" w:rsidRDefault="00000000">
            <w:r>
              <w:rPr>
                <w:sz w:val="18"/>
                <w:szCs w:val="18"/>
              </w:rPr>
              <w:t>≈ 3.27</w:t>
            </w:r>
          </w:p>
        </w:tc>
        <w:tc>
          <w:tcPr>
            <w:tcW w:w="1927"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29AFE806" w14:textId="77777777" w:rsidR="00DD60D2" w:rsidRDefault="00000000">
            <w:r>
              <w:rPr>
                <w:sz w:val="18"/>
                <w:szCs w:val="18"/>
              </w:rPr>
              <w:t>hours</w:t>
            </w:r>
          </w:p>
        </w:tc>
      </w:tr>
    </w:tbl>
    <w:p w14:paraId="28B85319" w14:textId="77777777" w:rsidR="00DD60D2" w:rsidRDefault="00DD60D2">
      <w:pPr>
        <w:spacing w:after="100"/>
      </w:pPr>
    </w:p>
    <w:p w14:paraId="4258A373" w14:textId="77777777" w:rsidR="00DD60D2" w:rsidRDefault="00000000">
      <w:pPr>
        <w:spacing w:before="160" w:after="100"/>
      </w:pPr>
      <w:r>
        <w:rPr>
          <w:b/>
          <w:bCs/>
          <w:sz w:val="18"/>
          <w:szCs w:val="18"/>
        </w:rPr>
        <w:t>3.3    Sensor Suite Architecture</w:t>
      </w:r>
    </w:p>
    <w:p w14:paraId="5D83438C" w14:textId="77777777" w:rsidR="00DD60D2" w:rsidRDefault="00000000">
      <w:pPr>
        <w:jc w:val="both"/>
      </w:pPr>
      <w:r>
        <w:rPr>
          <w:sz w:val="18"/>
          <w:szCs w:val="18"/>
        </w:rPr>
        <w:t>The complete onboard sensor suite and its functional assignments are tabulated in Table 3. Sensor bus allocation follows the I2C protocol for low-bandwidth peripherals—MPU-6050 at address 0x68 and VL53L0X at address 0x29, sharing the 400 kHz Fast-Mode I2C bus—and dedicated digital GPIO trigger-echo signalling for the HC-SR04 ultrasonic array. No GNSS module is integrated in the current development phase; absolute geospatial positioning is deferred to the Phase II roadmap, wherein a GNSS receiver will be incorporated to augment the existing inertial odometry with periodic absolute position corrections.</w:t>
      </w:r>
    </w:p>
    <w:p w14:paraId="0FC34AB9" w14:textId="77777777" w:rsidR="00DD60D2" w:rsidRDefault="00000000">
      <w:pPr>
        <w:spacing w:before="140" w:after="60"/>
      </w:pPr>
      <w:r>
        <w:rPr>
          <w:b/>
          <w:bCs/>
          <w:sz w:val="18"/>
          <w:szCs w:val="18"/>
        </w:rPr>
        <w:t>Table 3. WSC-R Onboard Sensor Suite — Functional Allocation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2216"/>
        <w:gridCol w:w="1156"/>
        <w:gridCol w:w="4145"/>
      </w:tblGrid>
      <w:tr w:rsidR="00DD60D2" w14:paraId="052D10FD" w14:textId="77777777">
        <w:tblPrEx>
          <w:tblCellMar>
            <w:top w:w="0" w:type="dxa"/>
            <w:bottom w:w="0" w:type="dxa"/>
          </w:tblCellMar>
        </w:tblPrEx>
        <w:trPr>
          <w:tblHeader/>
        </w:trPr>
        <w:tc>
          <w:tcPr>
            <w:tcW w:w="2120" w:type="dxa"/>
            <w:tcBorders>
              <w:top w:val="single" w:sz="6" w:space="0" w:color="000000"/>
              <w:left w:val="single" w:sz="6" w:space="0" w:color="000000"/>
              <w:bottom w:val="single" w:sz="6" w:space="0" w:color="000000"/>
              <w:right w:val="single" w:sz="6" w:space="0" w:color="000000"/>
            </w:tcBorders>
            <w:shd w:val="clear" w:color="auto" w:fill="DDDDDD"/>
            <w:tcMar>
              <w:top w:w="55" w:type="dxa"/>
              <w:left w:w="110" w:type="dxa"/>
              <w:bottom w:w="55" w:type="dxa"/>
              <w:right w:w="110" w:type="dxa"/>
            </w:tcMar>
          </w:tcPr>
          <w:p w14:paraId="52164E28" w14:textId="77777777" w:rsidR="00DD60D2" w:rsidRDefault="00000000">
            <w:r>
              <w:rPr>
                <w:b/>
                <w:bCs/>
                <w:sz w:val="18"/>
                <w:szCs w:val="18"/>
              </w:rPr>
              <w:t>Sensor</w:t>
            </w:r>
          </w:p>
        </w:tc>
        <w:tc>
          <w:tcPr>
            <w:tcW w:w="2216" w:type="dxa"/>
            <w:tcBorders>
              <w:top w:val="single" w:sz="6" w:space="0" w:color="000000"/>
              <w:left w:val="single" w:sz="6" w:space="0" w:color="000000"/>
              <w:bottom w:val="single" w:sz="6" w:space="0" w:color="000000"/>
              <w:right w:val="single" w:sz="6" w:space="0" w:color="000000"/>
            </w:tcBorders>
            <w:shd w:val="clear" w:color="auto" w:fill="DDDDDD"/>
            <w:tcMar>
              <w:top w:w="55" w:type="dxa"/>
              <w:left w:w="110" w:type="dxa"/>
              <w:bottom w:w="55" w:type="dxa"/>
              <w:right w:w="110" w:type="dxa"/>
            </w:tcMar>
          </w:tcPr>
          <w:p w14:paraId="3CC14227" w14:textId="77777777" w:rsidR="00DD60D2" w:rsidRDefault="00000000">
            <w:r>
              <w:rPr>
                <w:b/>
                <w:bCs/>
                <w:sz w:val="18"/>
                <w:szCs w:val="18"/>
              </w:rPr>
              <w:t>Measurand</w:t>
            </w:r>
          </w:p>
        </w:tc>
        <w:tc>
          <w:tcPr>
            <w:tcW w:w="1156" w:type="dxa"/>
            <w:tcBorders>
              <w:top w:val="single" w:sz="6" w:space="0" w:color="000000"/>
              <w:left w:val="single" w:sz="6" w:space="0" w:color="000000"/>
              <w:bottom w:val="single" w:sz="6" w:space="0" w:color="000000"/>
              <w:right w:val="single" w:sz="6" w:space="0" w:color="000000"/>
            </w:tcBorders>
            <w:shd w:val="clear" w:color="auto" w:fill="DDDDDD"/>
            <w:tcMar>
              <w:top w:w="55" w:type="dxa"/>
              <w:left w:w="110" w:type="dxa"/>
              <w:bottom w:w="55" w:type="dxa"/>
              <w:right w:w="110" w:type="dxa"/>
            </w:tcMar>
          </w:tcPr>
          <w:p w14:paraId="5D13A20A" w14:textId="77777777" w:rsidR="00DD60D2" w:rsidRDefault="00000000">
            <w:r>
              <w:rPr>
                <w:b/>
                <w:bCs/>
                <w:sz w:val="18"/>
                <w:szCs w:val="18"/>
              </w:rPr>
              <w:t>Rate</w:t>
            </w:r>
          </w:p>
        </w:tc>
        <w:tc>
          <w:tcPr>
            <w:tcW w:w="4144" w:type="dxa"/>
            <w:tcBorders>
              <w:top w:val="single" w:sz="6" w:space="0" w:color="000000"/>
              <w:left w:val="single" w:sz="6" w:space="0" w:color="000000"/>
              <w:bottom w:val="single" w:sz="6" w:space="0" w:color="000000"/>
              <w:right w:val="single" w:sz="6" w:space="0" w:color="000000"/>
            </w:tcBorders>
            <w:shd w:val="clear" w:color="auto" w:fill="DDDDDD"/>
            <w:tcMar>
              <w:top w:w="55" w:type="dxa"/>
              <w:left w:w="110" w:type="dxa"/>
              <w:bottom w:w="55" w:type="dxa"/>
              <w:right w:w="110" w:type="dxa"/>
            </w:tcMar>
          </w:tcPr>
          <w:p w14:paraId="553C4B99" w14:textId="77777777" w:rsidR="00DD60D2" w:rsidRDefault="00000000">
            <w:r>
              <w:rPr>
                <w:b/>
                <w:bCs/>
                <w:sz w:val="18"/>
                <w:szCs w:val="18"/>
              </w:rPr>
              <w:t>Functional Role</w:t>
            </w:r>
          </w:p>
        </w:tc>
      </w:tr>
      <w:tr w:rsidR="00DD60D2" w14:paraId="627D10CC" w14:textId="77777777">
        <w:tblPrEx>
          <w:tblCellMar>
            <w:top w:w="0" w:type="dxa"/>
            <w:bottom w:w="0" w:type="dxa"/>
          </w:tblCellMar>
        </w:tblPrEx>
        <w:tc>
          <w:tcPr>
            <w:tcW w:w="2120"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2CF17CAC" w14:textId="77777777" w:rsidR="00DD60D2" w:rsidRDefault="00000000">
            <w:r>
              <w:rPr>
                <w:sz w:val="18"/>
                <w:szCs w:val="18"/>
              </w:rPr>
              <w:t>MPU-6050 IMU</w:t>
            </w:r>
          </w:p>
        </w:tc>
        <w:tc>
          <w:tcPr>
            <w:tcW w:w="2216"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4748A641" w14:textId="77777777" w:rsidR="00DD60D2" w:rsidRDefault="00000000">
            <w:r>
              <w:rPr>
                <w:sz w:val="18"/>
                <w:szCs w:val="18"/>
              </w:rPr>
              <w:t>Roll, Pitch, Yaw rate</w:t>
            </w:r>
          </w:p>
        </w:tc>
        <w:tc>
          <w:tcPr>
            <w:tcW w:w="1156"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491EE84D" w14:textId="77777777" w:rsidR="00DD60D2" w:rsidRDefault="00000000">
            <w:r>
              <w:rPr>
                <w:sz w:val="18"/>
                <w:szCs w:val="18"/>
              </w:rPr>
              <w:t>100 Hz</w:t>
            </w:r>
          </w:p>
        </w:tc>
        <w:tc>
          <w:tcPr>
            <w:tcW w:w="4144"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41C29FE6" w14:textId="77777777" w:rsidR="00DD60D2" w:rsidRDefault="00000000">
            <w:r>
              <w:rPr>
                <w:sz w:val="18"/>
                <w:szCs w:val="18"/>
              </w:rPr>
              <w:t>Attitude estimation; heading odometry; thruster-inhibit logic</w:t>
            </w:r>
          </w:p>
        </w:tc>
      </w:tr>
      <w:tr w:rsidR="00DD60D2" w14:paraId="42E1E0E4" w14:textId="77777777">
        <w:tblPrEx>
          <w:tblCellMar>
            <w:top w:w="0" w:type="dxa"/>
            <w:bottom w:w="0" w:type="dxa"/>
          </w:tblCellMar>
        </w:tblPrEx>
        <w:tc>
          <w:tcPr>
            <w:tcW w:w="2120"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72FA3E91" w14:textId="77777777" w:rsidR="00DD60D2" w:rsidRDefault="00000000">
            <w:r>
              <w:rPr>
                <w:sz w:val="18"/>
                <w:szCs w:val="18"/>
              </w:rPr>
              <w:t>HC-SR04 (×3)</w:t>
            </w:r>
          </w:p>
        </w:tc>
        <w:tc>
          <w:tcPr>
            <w:tcW w:w="2216"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053F466D" w14:textId="77777777" w:rsidR="00DD60D2" w:rsidRDefault="00000000">
            <w:r>
              <w:rPr>
                <w:sz w:val="18"/>
                <w:szCs w:val="18"/>
              </w:rPr>
              <w:t>Obstacle range</w:t>
            </w:r>
          </w:p>
        </w:tc>
        <w:tc>
          <w:tcPr>
            <w:tcW w:w="1156"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677D7FEA" w14:textId="77777777" w:rsidR="00DD60D2" w:rsidRDefault="00000000">
            <w:r>
              <w:rPr>
                <w:sz w:val="18"/>
                <w:szCs w:val="18"/>
              </w:rPr>
              <w:t>20 Hz</w:t>
            </w:r>
          </w:p>
        </w:tc>
        <w:tc>
          <w:tcPr>
            <w:tcW w:w="4144"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54A11650" w14:textId="77777777" w:rsidR="00DD60D2" w:rsidRDefault="00000000">
            <w:r>
              <w:rPr>
                <w:sz w:val="18"/>
                <w:szCs w:val="18"/>
              </w:rPr>
              <w:t>Collision avoidance state machine input</w:t>
            </w:r>
          </w:p>
        </w:tc>
      </w:tr>
      <w:tr w:rsidR="00DD60D2" w14:paraId="2AF9EDC8" w14:textId="77777777">
        <w:tblPrEx>
          <w:tblCellMar>
            <w:top w:w="0" w:type="dxa"/>
            <w:bottom w:w="0" w:type="dxa"/>
          </w:tblCellMar>
        </w:tblPrEx>
        <w:tc>
          <w:tcPr>
            <w:tcW w:w="2120"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6E7D5EE5" w14:textId="77777777" w:rsidR="00DD60D2" w:rsidRDefault="00000000">
            <w:r>
              <w:rPr>
                <w:sz w:val="18"/>
                <w:szCs w:val="18"/>
              </w:rPr>
              <w:t>VL53L0X ToF</w:t>
            </w:r>
          </w:p>
        </w:tc>
        <w:tc>
          <w:tcPr>
            <w:tcW w:w="2216"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5AAE6FC0" w14:textId="77777777" w:rsidR="00DD60D2" w:rsidRDefault="00000000">
            <w:r>
              <w:rPr>
                <w:sz w:val="18"/>
                <w:szCs w:val="18"/>
              </w:rPr>
              <w:t>Debris proximity</w:t>
            </w:r>
          </w:p>
        </w:tc>
        <w:tc>
          <w:tcPr>
            <w:tcW w:w="1156"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7101FCA0" w14:textId="77777777" w:rsidR="00DD60D2" w:rsidRDefault="00000000">
            <w:r>
              <w:rPr>
                <w:sz w:val="18"/>
                <w:szCs w:val="18"/>
              </w:rPr>
              <w:t>10 Hz</w:t>
            </w:r>
          </w:p>
        </w:tc>
        <w:tc>
          <w:tcPr>
            <w:tcW w:w="4144" w:type="dxa"/>
            <w:tcBorders>
              <w:top w:val="single" w:sz="6" w:space="0" w:color="000000"/>
              <w:left w:val="single" w:sz="6" w:space="0" w:color="000000"/>
              <w:bottom w:val="single" w:sz="6" w:space="0" w:color="000000"/>
              <w:right w:val="single" w:sz="6" w:space="0" w:color="000000"/>
            </w:tcBorders>
            <w:tcMar>
              <w:top w:w="55" w:type="dxa"/>
              <w:left w:w="110" w:type="dxa"/>
              <w:bottom w:w="55" w:type="dxa"/>
              <w:right w:w="110" w:type="dxa"/>
            </w:tcMar>
          </w:tcPr>
          <w:p w14:paraId="74458B32" w14:textId="77777777" w:rsidR="00DD60D2" w:rsidRDefault="00000000">
            <w:r>
              <w:rPr>
                <w:sz w:val="18"/>
                <w:szCs w:val="18"/>
              </w:rPr>
              <w:t>Proximal debris detection; conveyor activation trigger</w:t>
            </w:r>
          </w:p>
        </w:tc>
      </w:tr>
    </w:tbl>
    <w:p w14:paraId="5123EBCB" w14:textId="77777777" w:rsidR="00DD60D2" w:rsidRDefault="00DD60D2">
      <w:pPr>
        <w:spacing w:after="100"/>
      </w:pPr>
    </w:p>
    <w:p w14:paraId="6A19B84A" w14:textId="77777777" w:rsidR="00DD60D2" w:rsidRDefault="00000000">
      <w:pPr>
        <w:spacing w:before="160" w:after="100"/>
      </w:pPr>
      <w:r>
        <w:rPr>
          <w:b/>
          <w:bCs/>
          <w:sz w:val="18"/>
          <w:szCs w:val="18"/>
        </w:rPr>
        <w:t>3.4    MPU-6050 IMU: Architecture and Functional Integration</w:t>
      </w:r>
    </w:p>
    <w:p w14:paraId="77BFDE26" w14:textId="77777777" w:rsidR="00DD60D2" w:rsidRDefault="00000000">
      <w:pPr>
        <w:jc w:val="both"/>
      </w:pPr>
      <w:r>
        <w:rPr>
          <w:sz w:val="18"/>
          <w:szCs w:val="18"/>
        </w:rPr>
        <w:lastRenderedPageBreak/>
        <w:t>The MPU-6050 (InvenSense, 2013) is a monolithic six-degree-of-freedom MEMS inertial measurement unit integrating a triaxial capacitive accelerometer (selectable full-scale range: ±2 g to ±16 g, 16-bit ADC resolution) and a triaxial MEMS rate gyroscope (selectable full-scale range: ±250 to ±2000 deg/s, 16-bit ADC resolution) on a single 4 mm × 4 mm die, communicating via I2C with an onboard Digital Motion Processor (DMP) capable of hardware-accelerated quaternion-space attitude computation. In the WSC-R, the sensor is mounted rigidly at the vessel centre of mass with its x-axis aligned to the longitudinal (surge) axis.</w:t>
      </w:r>
    </w:p>
    <w:p w14:paraId="16BA4DE5" w14:textId="77777777" w:rsidR="00DD60D2" w:rsidRDefault="00000000">
      <w:pPr>
        <w:ind w:firstLine="216"/>
        <w:jc w:val="both"/>
      </w:pPr>
      <w:r>
        <w:rPr>
          <w:sz w:val="18"/>
          <w:szCs w:val="18"/>
        </w:rPr>
        <w:t>Raw accelerometer and gyroscope data are acquired at 100 Hz and fused via a discrete-time complementary filter to produce roll (φ) and pitch (θ) attitude estimates, as formalised in Eq. (1), where α = 0.98 is the high-pass filter coefficient applied to the gyroscope integration path, ω denotes the gyroscope angular rate about the respective axis, and Δt is the 10 ms sampling interval.</w:t>
      </w:r>
    </w:p>
    <w:p w14:paraId="044B07DD" w14:textId="0739B15B" w:rsidR="00DD60D2" w:rsidRDefault="002951A4">
      <w:pPr>
        <w:spacing w:before="160" w:after="160"/>
        <w:jc w:val="center"/>
      </w:pPr>
      <w:r w:rsidRPr="002951A4">
        <w:rPr>
          <w:i/>
          <w:iCs/>
          <w:sz w:val="18"/>
          <w:szCs w:val="18"/>
        </w:rPr>
        <w:t>Φ</w:t>
      </w:r>
      <w:r>
        <w:rPr>
          <w:i/>
          <w:iCs/>
          <w:sz w:val="18"/>
          <w:szCs w:val="18"/>
          <w:vertAlign w:val="subscript"/>
        </w:rPr>
        <w:t>k</w:t>
      </w:r>
      <w:r w:rsidR="00000000" w:rsidRPr="002951A4">
        <w:rPr>
          <w:i/>
          <w:iCs/>
          <w:sz w:val="18"/>
          <w:szCs w:val="18"/>
          <w:vertAlign w:val="subscript"/>
        </w:rPr>
        <w:t xml:space="preserve"> </w:t>
      </w:r>
      <w:r w:rsidR="00000000" w:rsidRPr="002951A4">
        <w:rPr>
          <w:i/>
          <w:iCs/>
          <w:sz w:val="18"/>
          <w:szCs w:val="18"/>
        </w:rPr>
        <w:t>= α · (φ</w:t>
      </w:r>
      <w:r w:rsidRPr="002951A4">
        <w:rPr>
          <w:i/>
          <w:iCs/>
          <w:sz w:val="18"/>
          <w:szCs w:val="18"/>
          <w:vertAlign w:val="subscript"/>
        </w:rPr>
        <w:t xml:space="preserve">{k-1} </w:t>
      </w:r>
      <w:r w:rsidR="00000000" w:rsidRPr="002951A4">
        <w:rPr>
          <w:i/>
          <w:iCs/>
          <w:sz w:val="18"/>
          <w:szCs w:val="18"/>
        </w:rPr>
        <w:t>+ ω</w:t>
      </w:r>
      <w:r>
        <w:rPr>
          <w:i/>
          <w:iCs/>
          <w:sz w:val="18"/>
          <w:szCs w:val="18"/>
          <w:vertAlign w:val="subscript"/>
        </w:rPr>
        <w:t>gyro</w:t>
      </w:r>
      <w:r w:rsidR="00000000" w:rsidRPr="002951A4">
        <w:rPr>
          <w:i/>
          <w:iCs/>
          <w:sz w:val="18"/>
          <w:szCs w:val="18"/>
        </w:rPr>
        <w:t xml:space="preserve"> · Δt) + (1 − α) · φ</w:t>
      </w:r>
      <w:r>
        <w:rPr>
          <w:i/>
          <w:iCs/>
          <w:sz w:val="18"/>
          <w:szCs w:val="18"/>
          <w:vertAlign w:val="subscript"/>
        </w:rPr>
        <w:t>accel</w:t>
      </w:r>
      <w:r w:rsidR="00000000" w:rsidRPr="002951A4">
        <w:rPr>
          <w:i/>
          <w:iCs/>
          <w:sz w:val="18"/>
          <w:szCs w:val="18"/>
        </w:rPr>
        <w:t xml:space="preserve"> </w:t>
      </w:r>
      <w:r w:rsidR="00000000">
        <w:rPr>
          <w:i/>
          <w:iCs/>
          <w:sz w:val="18"/>
          <w:szCs w:val="18"/>
        </w:rPr>
        <w:t xml:space="preserve">    (1)</w:t>
      </w:r>
    </w:p>
    <w:p w14:paraId="4D794934" w14:textId="77777777" w:rsidR="00DD60D2" w:rsidRDefault="00000000">
      <w:pPr>
        <w:ind w:firstLine="216"/>
        <w:jc w:val="both"/>
      </w:pPr>
      <w:r>
        <w:rPr>
          <w:sz w:val="18"/>
          <w:szCs w:val="18"/>
        </w:rPr>
        <w:t xml:space="preserve">The complementary filter architecture exploits the complementary noise characteristics of the two sensing modalities: the accelerometer provides drift-free low-frequency attitude reference but is susceptible to high-frequency vibrational interference, whilst the gyroscope delivers high-bandwidth angular rate fidelity but accumulates integration drift over time. The filter coefficient α = 0.98 corresponds to a crossover frequency of approximately 0.5 Hz, </w:t>
      </w:r>
      <w:proofErr w:type="gramStart"/>
      <w:r>
        <w:rPr>
          <w:sz w:val="18"/>
          <w:szCs w:val="18"/>
        </w:rPr>
        <w:t>appropriate for</w:t>
      </w:r>
      <w:proofErr w:type="gramEnd"/>
      <w:r>
        <w:rPr>
          <w:sz w:val="18"/>
          <w:szCs w:val="18"/>
        </w:rPr>
        <w:t xml:space="preserve"> the sea-state frequency spectrum </w:t>
      </w:r>
      <w:proofErr w:type="gramStart"/>
      <w:r>
        <w:rPr>
          <w:sz w:val="18"/>
          <w:szCs w:val="18"/>
        </w:rPr>
        <w:t>encountered</w:t>
      </w:r>
      <w:proofErr w:type="gramEnd"/>
      <w:r>
        <w:rPr>
          <w:sz w:val="18"/>
          <w:szCs w:val="18"/>
        </w:rPr>
        <w:t xml:space="preserve"> in inland water environments.</w:t>
      </w:r>
    </w:p>
    <w:p w14:paraId="40FA3844" w14:textId="77777777" w:rsidR="00DD60D2" w:rsidRDefault="00000000">
      <w:pPr>
        <w:ind w:firstLine="216"/>
        <w:jc w:val="both"/>
      </w:pPr>
      <w:r>
        <w:rPr>
          <w:sz w:val="18"/>
          <w:szCs w:val="18"/>
        </w:rPr>
        <w:t xml:space="preserve">Three distinct functional roles are assigned to the IMU within the WSC-R control architecture. First, the thruster-inhibit protocol: when either |φ| &gt; 8° or |θ| &gt; 8° is detected—thresholds empirically selected to correspond to wave conditions generating destabilising thrust asymmetry—all thruster PWM outputs are set to zero, suspending navigation until bilateral attitude recovery to below 4° is maintained for two consecutive 100 Hz samples. This protocol prevents the thrusters from generating counterproductive lateral forces during wave-induced oscillation and avoids augmenting the heeling moment. Second, heading odometry: the integrated z-axis gyroscope yaw rate provides vessel heading estimates at 100 Hz, serving as the primary heading source in the GPS-deferred Phase I architecture and dramatically reducing dead-reckoning heading divergence </w:t>
      </w:r>
      <w:proofErr w:type="gramStart"/>
      <w:r>
        <w:rPr>
          <w:sz w:val="18"/>
          <w:szCs w:val="18"/>
        </w:rPr>
        <w:t>relative</w:t>
      </w:r>
      <w:proofErr w:type="gramEnd"/>
      <w:r>
        <w:rPr>
          <w:sz w:val="18"/>
          <w:szCs w:val="18"/>
        </w:rPr>
        <w:t xml:space="preserve"> to thruster-velocity odometry alone. Third, conveyor intake attitude compensation: since the VL53L0X detection geometry is sensitive to hull pitch, the instantaneous pitch angle θ is used to correct the measured ToF range to its true horizontal-plane equivalent prior to threshold comparison.</w:t>
      </w:r>
    </w:p>
    <w:p w14:paraId="5A4D6384" w14:textId="77777777" w:rsidR="00DD60D2" w:rsidRDefault="00000000">
      <w:pPr>
        <w:spacing w:before="160" w:after="100"/>
      </w:pPr>
      <w:r>
        <w:rPr>
          <w:b/>
          <w:bCs/>
          <w:sz w:val="18"/>
          <w:szCs w:val="18"/>
        </w:rPr>
        <w:t>3.5    VL53L0X Time-of-Flight Sensor: Detection Principle and Integration</w:t>
      </w:r>
    </w:p>
    <w:p w14:paraId="65EF9E7C" w14:textId="77777777" w:rsidR="00DD60D2" w:rsidRDefault="00000000">
      <w:pPr>
        <w:jc w:val="both"/>
      </w:pPr>
      <w:r>
        <w:rPr>
          <w:sz w:val="18"/>
          <w:szCs w:val="18"/>
        </w:rPr>
        <w:t xml:space="preserve">The VL53L0X (STMicroelectronics, 2016) is a 940 nm vertical-cavity surface-emitting laser (VCSEL) Time-of-Flight ranging module incorporating an integrated Single Photon Avalanche Diode (SPAD) array and on-chip signal processing, achieving range measurements from 50 mm to 2000 mm with a typical ranging accuracy of ±3% under controlled conditions. The sensor is mounted at the vessel bow at an elevation of 200 mm above the nominal calm-water waterline, inclined at 35° from the horizontal plane toward the water surface </w:t>
      </w:r>
      <w:proofErr w:type="gramStart"/>
      <w:r>
        <w:rPr>
          <w:sz w:val="18"/>
          <w:szCs w:val="18"/>
        </w:rPr>
        <w:t>immediately</w:t>
      </w:r>
      <w:proofErr w:type="gramEnd"/>
      <w:r>
        <w:rPr>
          <w:sz w:val="18"/>
          <w:szCs w:val="18"/>
        </w:rPr>
        <w:t xml:space="preserve"> forward of the conveyor intake aperture.</w:t>
      </w:r>
    </w:p>
    <w:p w14:paraId="349FEB97" w14:textId="77777777" w:rsidR="00DD60D2" w:rsidRDefault="00000000">
      <w:pPr>
        <w:ind w:firstLine="216"/>
        <w:jc w:val="both"/>
      </w:pPr>
      <w:r>
        <w:rPr>
          <w:sz w:val="18"/>
          <w:szCs w:val="18"/>
        </w:rPr>
        <w:t xml:space="preserve">The debris detection mechanism exploits a fundamental optical physics principle: the angular dependence of reflection mode. At the 35° angle of incidence with respect to the water surface normal (55° from the surface plane), the 940 nm laser beam impinging on calm open water undergoes quasi-specular reflection governed by Fresnel equations, directing the dominant reflected photon flux away from the sensor aperture. The SPAD array </w:t>
      </w:r>
      <w:proofErr w:type="gramStart"/>
      <w:r>
        <w:rPr>
          <w:sz w:val="18"/>
          <w:szCs w:val="18"/>
        </w:rPr>
        <w:t>consequently</w:t>
      </w:r>
      <w:proofErr w:type="gramEnd"/>
      <w:r>
        <w:rPr>
          <w:sz w:val="18"/>
          <w:szCs w:val="18"/>
        </w:rPr>
        <w:t xml:space="preserve"> receives photon counts below the detection threshold, and the sensor firmware reports a null or out-of-range status. Conversely, solid floating debris—encompassing polypropylene and polyethylene containers, expanded polystyrene foam, and organic matter such as leaf accumulations—</w:t>
      </w:r>
      <w:proofErr w:type="gramStart"/>
      <w:r>
        <w:rPr>
          <w:sz w:val="18"/>
          <w:szCs w:val="18"/>
        </w:rPr>
        <w:t>exhibits</w:t>
      </w:r>
      <w:proofErr w:type="gramEnd"/>
      <w:r>
        <w:rPr>
          <w:sz w:val="18"/>
          <w:szCs w:val="18"/>
        </w:rPr>
        <w:t xml:space="preserve"> predominantly Lambertian diffuse reflectance, scattering a fraction of the incident photon flux isotropically. A measurable photon count is returned to the SPAD array, and the sensor reports a valid range measurement in the 0.1–0.6 m band from the sensor face. The binary debris detection decision rule is therefore formulated as:</w:t>
      </w:r>
    </w:p>
    <w:p w14:paraId="761DD2F3" w14:textId="730B853F" w:rsidR="00DD60D2" w:rsidRDefault="00000000">
      <w:pPr>
        <w:spacing w:before="160" w:after="160"/>
        <w:jc w:val="center"/>
      </w:pPr>
      <w:r>
        <w:rPr>
          <w:i/>
          <w:iCs/>
          <w:sz w:val="18"/>
          <w:szCs w:val="18"/>
        </w:rPr>
        <w:t xml:space="preserve">Debris Detected = </w:t>
      </w:r>
      <w:r w:rsidR="00B66C1F">
        <w:rPr>
          <w:i/>
          <w:iCs/>
          <w:sz w:val="18"/>
          <w:szCs w:val="18"/>
        </w:rPr>
        <w:t>{TRUE</w:t>
      </w:r>
      <w:r w:rsidR="003323D8">
        <w:rPr>
          <w:i/>
          <w:iCs/>
          <w:sz w:val="18"/>
          <w:szCs w:val="18"/>
        </w:rPr>
        <w:t>, if</w:t>
      </w:r>
      <w:r>
        <w:rPr>
          <w:i/>
          <w:iCs/>
          <w:sz w:val="18"/>
          <w:szCs w:val="18"/>
        </w:rPr>
        <w:t xml:space="preserve"> d</w:t>
      </w:r>
      <w:r w:rsidR="003323D8">
        <w:rPr>
          <w:i/>
          <w:iCs/>
          <w:sz w:val="18"/>
          <w:szCs w:val="18"/>
          <w:vertAlign w:val="subscript"/>
        </w:rPr>
        <w:t>ToF</w:t>
      </w:r>
      <w:r>
        <w:rPr>
          <w:i/>
          <w:iCs/>
          <w:sz w:val="18"/>
          <w:szCs w:val="18"/>
        </w:rPr>
        <w:t xml:space="preserve"> &lt; d</w:t>
      </w:r>
      <w:r w:rsidR="003323D8">
        <w:rPr>
          <w:i/>
          <w:iCs/>
          <w:sz w:val="18"/>
          <w:szCs w:val="18"/>
          <w:vertAlign w:val="subscript"/>
        </w:rPr>
        <w:t>threshold</w:t>
      </w:r>
      <w:r>
        <w:rPr>
          <w:i/>
          <w:iCs/>
          <w:sz w:val="18"/>
          <w:szCs w:val="18"/>
        </w:rPr>
        <w:t xml:space="preserve"> AND signal_valid; FALSE, </w:t>
      </w:r>
      <w:r w:rsidR="00B66C1F">
        <w:rPr>
          <w:i/>
          <w:iCs/>
          <w:sz w:val="18"/>
          <w:szCs w:val="18"/>
        </w:rPr>
        <w:t>otherwise}</w:t>
      </w:r>
      <w:r>
        <w:rPr>
          <w:i/>
          <w:iCs/>
          <w:sz w:val="18"/>
          <w:szCs w:val="18"/>
        </w:rPr>
        <w:t xml:space="preserve">     (2)</w:t>
      </w:r>
    </w:p>
    <w:p w14:paraId="71329EF9" w14:textId="3E757E27" w:rsidR="00DD60D2" w:rsidRDefault="00000000">
      <w:pPr>
        <w:ind w:firstLine="216"/>
        <w:jc w:val="both"/>
      </w:pPr>
      <w:r>
        <w:rPr>
          <w:sz w:val="18"/>
          <w:szCs w:val="18"/>
        </w:rPr>
        <w:t xml:space="preserve">where </w:t>
      </w:r>
      <w:r w:rsidR="003323D8">
        <w:rPr>
          <w:i/>
          <w:iCs/>
          <w:sz w:val="18"/>
          <w:szCs w:val="18"/>
        </w:rPr>
        <w:t>d</w:t>
      </w:r>
      <w:r w:rsidR="003323D8">
        <w:rPr>
          <w:i/>
          <w:iCs/>
          <w:sz w:val="18"/>
          <w:szCs w:val="18"/>
          <w:vertAlign w:val="subscript"/>
        </w:rPr>
        <w:t>ToF</w:t>
      </w:r>
      <w:r>
        <w:rPr>
          <w:sz w:val="18"/>
          <w:szCs w:val="18"/>
        </w:rPr>
        <w:t xml:space="preserve"> is the measured ToF range and </w:t>
      </w:r>
      <w:r w:rsidR="003323D8">
        <w:rPr>
          <w:i/>
          <w:iCs/>
          <w:sz w:val="18"/>
          <w:szCs w:val="18"/>
        </w:rPr>
        <w:t>d</w:t>
      </w:r>
      <w:r w:rsidR="003323D8">
        <w:rPr>
          <w:i/>
          <w:iCs/>
          <w:sz w:val="18"/>
          <w:szCs w:val="18"/>
          <w:vertAlign w:val="subscript"/>
        </w:rPr>
        <w:t>threshold</w:t>
      </w:r>
      <w:r>
        <w:rPr>
          <w:sz w:val="18"/>
          <w:szCs w:val="18"/>
        </w:rPr>
        <w:t xml:space="preserve"> = 0.65 m is set to correspond to the maximum geometric range at which debris in the water directly ahead of the conveyor intake can be detected given the sensor mounting geometry. Upon a TRUE detection event, a conveyor-activation command is dispatched to the motor driver with a latency of less than 100 ms from detection, enabling pre-positioning of the belt before the debris reaches the intake aperture as the vessel advances.</w:t>
      </w:r>
    </w:p>
    <w:p w14:paraId="3E09A979" w14:textId="77777777" w:rsidR="00DD60D2" w:rsidRDefault="00000000">
      <w:pPr>
        <w:ind w:firstLine="216"/>
        <w:jc w:val="both"/>
      </w:pPr>
      <w:r>
        <w:rPr>
          <w:sz w:val="18"/>
          <w:szCs w:val="18"/>
        </w:rPr>
        <w:t>A critical operational constraint of the 940 nm VCSEL architecture is susceptibility to ambient near-infrared irradiance in outdoor environments. Under direct solar illumination (irradiance approximately 900 W/m²), the SPAD array receives elevated background photon counts that increase false-positive detection probability. To mitigate this, the sensor is enclosed within a 3D-printed opaque cylindrical baffle of 50 mm depth and matched internal aperture, reducing ambient light ingress to the sensor field of view by approximately 85% whilst preserving the operative sensing geometry, as validated during outdoor field trials detailed in Section 5.</w:t>
      </w:r>
    </w:p>
    <w:p w14:paraId="13B759E8" w14:textId="77777777" w:rsidR="00DD60D2" w:rsidRDefault="00000000">
      <w:pPr>
        <w:spacing w:before="180" w:after="120"/>
      </w:pPr>
      <w:r>
        <w:rPr>
          <w:b/>
          <w:bCs/>
          <w:sz w:val="18"/>
          <w:szCs w:val="18"/>
        </w:rPr>
        <w:t>4.   AUTONOMOUS NAVIGATION AND CONTROL SYSTEM</w:t>
      </w:r>
    </w:p>
    <w:p w14:paraId="7C00CFAD" w14:textId="77777777" w:rsidR="00DD60D2" w:rsidRDefault="00000000">
      <w:pPr>
        <w:spacing w:before="160" w:after="100"/>
      </w:pPr>
      <w:r>
        <w:rPr>
          <w:b/>
          <w:bCs/>
          <w:sz w:val="18"/>
          <w:szCs w:val="18"/>
        </w:rPr>
        <w:t>4.1    ESP32 Dual-Core Task Partitioning</w:t>
      </w:r>
    </w:p>
    <w:p w14:paraId="462C1B1B" w14:textId="77777777" w:rsidR="00DD60D2" w:rsidRDefault="00000000">
      <w:pPr>
        <w:jc w:val="both"/>
      </w:pPr>
      <w:r>
        <w:rPr>
          <w:sz w:val="18"/>
          <w:szCs w:val="18"/>
        </w:rPr>
        <w:t xml:space="preserve">The Espressif ESP32 dual-core Xtensa LX6 microcontroller (240 MHz, 520 KB SRAM) serves as the sole processing unit for all navigation, sensing, and actuation functions. The dual-core architecture is partitioned to provide deterministic real-time responsiveness for safety-critical functions whilst accommodating lower-priority communication tasks. Core 0 is exclusively </w:t>
      </w:r>
      <w:proofErr w:type="gramStart"/>
      <w:r>
        <w:rPr>
          <w:sz w:val="18"/>
          <w:szCs w:val="18"/>
        </w:rPr>
        <w:t>allocated</w:t>
      </w:r>
      <w:proofErr w:type="gramEnd"/>
      <w:r>
        <w:rPr>
          <w:sz w:val="18"/>
          <w:szCs w:val="18"/>
        </w:rPr>
        <w:t xml:space="preserve"> to time-critical, high-frequency tasks: IMU data acquisition and complementary filter computation at 100 Hz, ESC PWM generation via the hardware LEDC peripheral, ultrasonic sensor polling at 20 Hz, VL53L0X ToF ranging at 10 Hz, and the obstacle avoidance state machine execution. Core 1 manages latency-tolerant burst-traffic tasks: Wi-Fi telemetry frame assembly and transmission, serial debug output, and operator command reception. This partitioning ensures that safety-critical navigation computations are never preempted by communication stack processing, </w:t>
      </w:r>
      <w:proofErr w:type="gramStart"/>
      <w:r>
        <w:rPr>
          <w:sz w:val="18"/>
          <w:szCs w:val="18"/>
        </w:rPr>
        <w:t>maintaining</w:t>
      </w:r>
      <w:proofErr w:type="gramEnd"/>
      <w:r>
        <w:rPr>
          <w:sz w:val="18"/>
          <w:szCs w:val="18"/>
        </w:rPr>
        <w:t xml:space="preserve"> the sub-10 ms control loop latency </w:t>
      </w:r>
      <w:proofErr w:type="gramStart"/>
      <w:r>
        <w:rPr>
          <w:sz w:val="18"/>
          <w:szCs w:val="18"/>
        </w:rPr>
        <w:t>established</w:t>
      </w:r>
      <w:proofErr w:type="gramEnd"/>
      <w:r>
        <w:rPr>
          <w:sz w:val="18"/>
          <w:szCs w:val="18"/>
        </w:rPr>
        <w:t xml:space="preserve"> as a functional requirement.</w:t>
      </w:r>
    </w:p>
    <w:p w14:paraId="2518AD02" w14:textId="77777777" w:rsidR="00DD60D2" w:rsidRDefault="00000000">
      <w:pPr>
        <w:spacing w:before="160" w:after="100"/>
      </w:pPr>
      <w:r>
        <w:rPr>
          <w:b/>
          <w:bCs/>
          <w:sz w:val="18"/>
          <w:szCs w:val="18"/>
        </w:rPr>
        <w:t>4.2    Inertial Odometry Localisation</w:t>
      </w:r>
    </w:p>
    <w:p w14:paraId="3EB1E32B" w14:textId="4C0CEAEA" w:rsidR="00DD60D2" w:rsidRDefault="00000000">
      <w:pPr>
        <w:jc w:val="both"/>
      </w:pPr>
      <w:r>
        <w:rPr>
          <w:sz w:val="18"/>
          <w:szCs w:val="18"/>
        </w:rPr>
        <w:t xml:space="preserve">In the absence of a GNSS receiver in the Phase I architecture, vessel localisation is implemented through dual-modality inertial odometry. Heading is derived from the IMU complementary filter yaw estimate at 100 Hz, as described in Section 3.4. Translational displacement is estimated by integrating the calibrated thrust-to-velocity mapping of the BLDC thrusters: at each 10 ms control cycle, the commanded PWM duty cycle is converted to an estimated forward velocity via an empirically derived lookup table constructed from tethered tachometer measurements during pre-deployment calibration runs. The estimated position in the local Cartesian frame (x, y) is propagated according to Eq. (3), where </w:t>
      </w:r>
      <w:r w:rsidR="003323D8">
        <w:rPr>
          <w:i/>
          <w:iCs/>
          <w:sz w:val="18"/>
          <w:szCs w:val="18"/>
        </w:rPr>
        <w:t>v</w:t>
      </w:r>
      <w:r w:rsidR="003323D8">
        <w:rPr>
          <w:i/>
          <w:iCs/>
          <w:sz w:val="18"/>
          <w:szCs w:val="18"/>
          <w:vertAlign w:val="subscript"/>
        </w:rPr>
        <w:t>est</w:t>
      </w:r>
      <w:r w:rsidR="003323D8">
        <w:rPr>
          <w:i/>
          <w:iCs/>
          <w:sz w:val="18"/>
          <w:szCs w:val="18"/>
        </w:rPr>
        <w:t xml:space="preserve"> </w:t>
      </w:r>
      <w:r>
        <w:rPr>
          <w:sz w:val="18"/>
          <w:szCs w:val="18"/>
        </w:rPr>
        <w:t>is the estimated longitudinal speed and ψ is the IMU-derived heading angle.</w:t>
      </w:r>
    </w:p>
    <w:p w14:paraId="4964C05D" w14:textId="45381011" w:rsidR="00DD60D2" w:rsidRDefault="002951A4">
      <w:pPr>
        <w:spacing w:before="160" w:after="160"/>
        <w:jc w:val="center"/>
      </w:pPr>
      <w:r>
        <w:rPr>
          <w:i/>
          <w:iCs/>
          <w:sz w:val="18"/>
          <w:szCs w:val="18"/>
        </w:rPr>
        <w:lastRenderedPageBreak/>
        <w:t>X</w:t>
      </w:r>
      <w:r>
        <w:rPr>
          <w:i/>
          <w:iCs/>
          <w:sz w:val="18"/>
          <w:szCs w:val="18"/>
          <w:vertAlign w:val="subscript"/>
        </w:rPr>
        <w:t>k+1</w:t>
      </w:r>
      <w:r w:rsidR="00000000">
        <w:rPr>
          <w:i/>
          <w:iCs/>
          <w:sz w:val="18"/>
          <w:szCs w:val="18"/>
        </w:rPr>
        <w:t xml:space="preserve"> = x</w:t>
      </w:r>
      <w:r>
        <w:rPr>
          <w:i/>
          <w:iCs/>
          <w:sz w:val="18"/>
          <w:szCs w:val="18"/>
          <w:vertAlign w:val="subscript"/>
        </w:rPr>
        <w:t>k</w:t>
      </w:r>
      <w:r w:rsidR="00000000">
        <w:rPr>
          <w:i/>
          <w:iCs/>
          <w:sz w:val="18"/>
          <w:szCs w:val="18"/>
        </w:rPr>
        <w:t xml:space="preserve"> + v</w:t>
      </w:r>
      <w:r>
        <w:rPr>
          <w:i/>
          <w:iCs/>
          <w:sz w:val="18"/>
          <w:szCs w:val="18"/>
          <w:vertAlign w:val="subscript"/>
        </w:rPr>
        <w:t>est</w:t>
      </w:r>
      <w:r w:rsidR="00000000">
        <w:rPr>
          <w:i/>
          <w:iCs/>
          <w:sz w:val="18"/>
          <w:szCs w:val="18"/>
        </w:rPr>
        <w:t xml:space="preserve"> · cos(ψ</w:t>
      </w:r>
      <w:r>
        <w:rPr>
          <w:i/>
          <w:iCs/>
          <w:sz w:val="18"/>
          <w:szCs w:val="18"/>
          <w:vertAlign w:val="subscript"/>
        </w:rPr>
        <w:t>k</w:t>
      </w:r>
      <w:r w:rsidR="00000000">
        <w:rPr>
          <w:i/>
          <w:iCs/>
          <w:sz w:val="18"/>
          <w:szCs w:val="18"/>
        </w:rPr>
        <w:t>) · Δt;   y</w:t>
      </w:r>
      <w:r>
        <w:rPr>
          <w:i/>
          <w:iCs/>
          <w:sz w:val="18"/>
          <w:szCs w:val="18"/>
          <w:vertAlign w:val="subscript"/>
        </w:rPr>
        <w:t>k+1</w:t>
      </w:r>
      <w:r w:rsidR="00000000">
        <w:rPr>
          <w:i/>
          <w:iCs/>
          <w:sz w:val="18"/>
          <w:szCs w:val="18"/>
        </w:rPr>
        <w:t xml:space="preserve"> = y</w:t>
      </w:r>
      <w:r>
        <w:rPr>
          <w:i/>
          <w:iCs/>
          <w:sz w:val="18"/>
          <w:szCs w:val="18"/>
          <w:vertAlign w:val="subscript"/>
        </w:rPr>
        <w:t>k</w:t>
      </w:r>
      <w:r w:rsidR="00000000">
        <w:rPr>
          <w:i/>
          <w:iCs/>
          <w:sz w:val="18"/>
          <w:szCs w:val="18"/>
        </w:rPr>
        <w:t xml:space="preserve"> + v</w:t>
      </w:r>
      <w:r>
        <w:rPr>
          <w:i/>
          <w:iCs/>
          <w:sz w:val="18"/>
          <w:szCs w:val="18"/>
          <w:vertAlign w:val="subscript"/>
        </w:rPr>
        <w:t>est</w:t>
      </w:r>
      <w:r w:rsidR="00000000">
        <w:rPr>
          <w:i/>
          <w:iCs/>
          <w:sz w:val="18"/>
          <w:szCs w:val="18"/>
        </w:rPr>
        <w:t xml:space="preserve"> · sin(ψ</w:t>
      </w:r>
      <w:r>
        <w:rPr>
          <w:i/>
          <w:iCs/>
          <w:sz w:val="18"/>
          <w:szCs w:val="18"/>
          <w:vertAlign w:val="subscript"/>
        </w:rPr>
        <w:t>k</w:t>
      </w:r>
      <w:r w:rsidR="00000000">
        <w:rPr>
          <w:i/>
          <w:iCs/>
          <w:sz w:val="18"/>
          <w:szCs w:val="18"/>
        </w:rPr>
        <w:t>) · Δt     (3)</w:t>
      </w:r>
    </w:p>
    <w:p w14:paraId="39347E29" w14:textId="77777777" w:rsidR="00DD60D2" w:rsidRDefault="00000000">
      <w:pPr>
        <w:ind w:firstLine="216"/>
        <w:jc w:val="both"/>
      </w:pPr>
      <w:r>
        <w:rPr>
          <w:sz w:val="18"/>
          <w:szCs w:val="18"/>
        </w:rPr>
        <w:t xml:space="preserve">Accumulated dead-reckoning positional drift is bounded operationally by the vessel's interaction with the physical geofence boundary: upon ultrasonic detection of a boundary wall or bank at the perimeter of the operational zone, the robot executes a re-initialisation of its estimated position to the known boundary coordinate, resetting the odometric error accumulation. This approach is effective for the bounded, small-scale operational zones (typically &lt; 30 m × 20 m) targeted by the WSC-R platform and </w:t>
      </w:r>
      <w:proofErr w:type="gramStart"/>
      <w:r>
        <w:rPr>
          <w:sz w:val="18"/>
          <w:szCs w:val="18"/>
        </w:rPr>
        <w:t>eliminates</w:t>
      </w:r>
      <w:proofErr w:type="gramEnd"/>
      <w:r>
        <w:rPr>
          <w:sz w:val="18"/>
          <w:szCs w:val="18"/>
        </w:rPr>
        <w:t xml:space="preserve"> the need for GNSS infrastructure in Phase I deployment scenarios.</w:t>
      </w:r>
    </w:p>
    <w:p w14:paraId="2DD8C496" w14:textId="77777777" w:rsidR="00DD60D2" w:rsidRDefault="00000000">
      <w:pPr>
        <w:spacing w:before="160" w:after="100"/>
      </w:pPr>
      <w:r>
        <w:rPr>
          <w:b/>
          <w:bCs/>
          <w:sz w:val="18"/>
          <w:szCs w:val="18"/>
        </w:rPr>
        <w:t>4.3    Boustrophedon Coverage Path Planning</w:t>
      </w:r>
    </w:p>
    <w:p w14:paraId="6FFA723A" w14:textId="7AD42899" w:rsidR="00DD60D2" w:rsidRDefault="00000000">
      <w:pPr>
        <w:jc w:val="both"/>
      </w:pPr>
      <w:r>
        <w:rPr>
          <w:sz w:val="18"/>
          <w:szCs w:val="18"/>
        </w:rPr>
        <w:t xml:space="preserve">Prior to deployment, the operator defines the operational polygon boundary vertices in the local Cartesian frame via a companion Wi-Fi interface, which transmits the boundary parameters to the ESP32. The Boustrophedon CPP algorithm processes this input as follows: (1) the dominant axis of the operational polygon is identified as the axis minimising total track-reversal distance; (2) a set of parallel traversal tracks is generated at a cross-track spacing equal to the effective cleaning swath width (0.3 m), intersected with the polygon boundary to produce track-segment endpoint pairs; (3) the endpoint pairs are ordered in an alternating left-right sequence to construct the complete lawnmower waypoint list; and (4) the robot executes closed-loop Line-of-Sight (LOS) heading guidance toward each successive waypoint. The LOS heading controller computes the desired heading </w:t>
      </w:r>
      <w:r w:rsidR="003323D8">
        <w:rPr>
          <w:i/>
          <w:iCs/>
          <w:sz w:val="18"/>
          <w:szCs w:val="18"/>
        </w:rPr>
        <w:t>ψ</w:t>
      </w:r>
      <w:r w:rsidR="003323D8">
        <w:rPr>
          <w:i/>
          <w:iCs/>
          <w:sz w:val="18"/>
          <w:szCs w:val="18"/>
          <w:vertAlign w:val="subscript"/>
        </w:rPr>
        <w:t>d</w:t>
      </w:r>
      <w:r w:rsidR="003323D8">
        <w:rPr>
          <w:i/>
          <w:iCs/>
          <w:sz w:val="18"/>
          <w:szCs w:val="18"/>
        </w:rPr>
        <w:t xml:space="preserve"> </w:t>
      </w:r>
      <w:r>
        <w:rPr>
          <w:sz w:val="18"/>
          <w:szCs w:val="18"/>
        </w:rPr>
        <w:t>and applies a differential thrust correction ΔT proportional to the heading error, as expressed in Eq. (4), where K</w:t>
      </w:r>
      <w:r w:rsidR="003323D8">
        <w:rPr>
          <w:sz w:val="18"/>
          <w:szCs w:val="18"/>
          <w:vertAlign w:val="subscript"/>
        </w:rPr>
        <w:t>p</w:t>
      </w:r>
      <w:r>
        <w:rPr>
          <w:sz w:val="18"/>
          <w:szCs w:val="18"/>
        </w:rPr>
        <w:t xml:space="preserve"> and K</w:t>
      </w:r>
      <w:r w:rsidR="003323D8">
        <w:rPr>
          <w:sz w:val="18"/>
          <w:szCs w:val="18"/>
          <w:vertAlign w:val="subscript"/>
        </w:rPr>
        <w:t>d</w:t>
      </w:r>
      <w:r w:rsidR="003323D8">
        <w:rPr>
          <w:sz w:val="18"/>
          <w:szCs w:val="18"/>
        </w:rPr>
        <w:t xml:space="preserve"> </w:t>
      </w:r>
      <w:r>
        <w:rPr>
          <w:sz w:val="18"/>
          <w:szCs w:val="18"/>
        </w:rPr>
        <w:t>are the proportional and derivative control gains respectively, tuned empirically during commissioning trials.</w:t>
      </w:r>
    </w:p>
    <w:p w14:paraId="75FCFCB3" w14:textId="2873E99F" w:rsidR="00DD60D2" w:rsidRDefault="00000000">
      <w:pPr>
        <w:spacing w:before="160" w:after="160"/>
        <w:jc w:val="center"/>
      </w:pPr>
      <w:r>
        <w:rPr>
          <w:i/>
          <w:iCs/>
          <w:sz w:val="18"/>
          <w:szCs w:val="18"/>
        </w:rPr>
        <w:t>ΔT = K</w:t>
      </w:r>
      <w:r w:rsidR="002951A4">
        <w:rPr>
          <w:i/>
          <w:iCs/>
          <w:sz w:val="18"/>
          <w:szCs w:val="18"/>
          <w:vertAlign w:val="subscript"/>
        </w:rPr>
        <w:t>p</w:t>
      </w:r>
      <w:r>
        <w:rPr>
          <w:i/>
          <w:iCs/>
          <w:sz w:val="18"/>
          <w:szCs w:val="18"/>
        </w:rPr>
        <w:t xml:space="preserve"> · (ψ</w:t>
      </w:r>
      <w:r w:rsidR="002951A4">
        <w:rPr>
          <w:i/>
          <w:iCs/>
          <w:sz w:val="18"/>
          <w:szCs w:val="18"/>
          <w:vertAlign w:val="subscript"/>
        </w:rPr>
        <w:t>d</w:t>
      </w:r>
      <w:r>
        <w:rPr>
          <w:i/>
          <w:iCs/>
          <w:sz w:val="18"/>
          <w:szCs w:val="18"/>
        </w:rPr>
        <w:t xml:space="preserve"> − ψ) + K</w:t>
      </w:r>
      <w:r w:rsidR="002951A4">
        <w:rPr>
          <w:i/>
          <w:iCs/>
          <w:sz w:val="18"/>
          <w:szCs w:val="18"/>
          <w:vertAlign w:val="subscript"/>
        </w:rPr>
        <w:t>d</w:t>
      </w:r>
      <w:r>
        <w:rPr>
          <w:i/>
          <w:iCs/>
          <w:sz w:val="18"/>
          <w:szCs w:val="18"/>
        </w:rPr>
        <w:t>· d(ψ</w:t>
      </w:r>
      <w:r w:rsidR="002951A4">
        <w:rPr>
          <w:i/>
          <w:iCs/>
          <w:sz w:val="18"/>
          <w:szCs w:val="18"/>
          <w:vertAlign w:val="subscript"/>
        </w:rPr>
        <w:t>d</w:t>
      </w:r>
      <w:r>
        <w:rPr>
          <w:i/>
          <w:iCs/>
          <w:sz w:val="18"/>
          <w:szCs w:val="18"/>
        </w:rPr>
        <w:t xml:space="preserve"> − ψ)/dt     (4)</w:t>
      </w:r>
    </w:p>
    <w:p w14:paraId="057752F2" w14:textId="77777777" w:rsidR="00DD60D2" w:rsidRDefault="00000000">
      <w:pPr>
        <w:spacing w:before="160" w:after="100"/>
      </w:pPr>
      <w:r>
        <w:rPr>
          <w:b/>
          <w:bCs/>
          <w:sz w:val="18"/>
          <w:szCs w:val="18"/>
        </w:rPr>
        <w:t>4.4    Multi-Modal Obstacle Avoidance State Machine</w:t>
      </w:r>
    </w:p>
    <w:p w14:paraId="4DB5C164" w14:textId="77777777" w:rsidR="00DD60D2" w:rsidRDefault="00000000">
      <w:pPr>
        <w:jc w:val="both"/>
      </w:pPr>
      <w:r>
        <w:rPr>
          <w:sz w:val="18"/>
          <w:szCs w:val="18"/>
        </w:rPr>
        <w:t>Three HC-SR04 ultrasonic transducers—deployed at the bow centreline, port bow quarter, and starboard bow quarter—provide short-range obstacle detection up to a maximum instrumented range of 4 m at 20 Hz. The navigation system is implemented as a four-state finite state machine with priority-encoded state transitions. State 0 (IMU Inhibit) constitutes the highest-priority state, activated whenever the IMU attitude monitor reports |φ| &gt; 8° or |θ| &gt; 8°; in this state all thruster outputs are zeroed and all other state transitions are suppressed until the attitude recovery criterion is satisfied. State 1 (Normal CPP Operation) is the nominal operating condition, wherein the robot tracks the Boustrophedon waypoint sequence with VL53L0X debris detection active. Transition to State 2 (Collision Imminent) occurs when any ultrasonic channel returns a range below 1.5 m. The State 2 evasion subroutine executes: (i) immediate thruster arrest; (ii) a 90-degree in-place pivot turn directed away from the detected obstacle, utilising IMU yaw feedback for turn-angle precision; (iii) a 2.0 m forward traverse to clear the obstacle perimeter envelope; and (iv) re-computation of the LOS vector to rejoin the nearest Boustrophedon track segment, transitioning back to State 1 upon waypoint reacquisition. State 3 (Geofence Rebound) is triggered by boundary detection and executes the odometric re-initialisation described in Section 4.2 before returning to State 1.</w:t>
      </w:r>
    </w:p>
    <w:p w14:paraId="50C8EB00" w14:textId="77777777" w:rsidR="00DD60D2" w:rsidRDefault="00000000">
      <w:pPr>
        <w:spacing w:before="180" w:after="120"/>
      </w:pPr>
      <w:r>
        <w:rPr>
          <w:b/>
          <w:bCs/>
          <w:sz w:val="18"/>
          <w:szCs w:val="18"/>
        </w:rPr>
        <w:t>5.   EMPIRICAL RESULTS AND DISCUSSION</w:t>
      </w:r>
    </w:p>
    <w:p w14:paraId="46EC3864" w14:textId="77777777" w:rsidR="00DD60D2" w:rsidRDefault="00000000">
      <w:pPr>
        <w:spacing w:before="160" w:after="100"/>
      </w:pPr>
      <w:r>
        <w:rPr>
          <w:b/>
          <w:bCs/>
          <w:sz w:val="18"/>
          <w:szCs w:val="18"/>
        </w:rPr>
        <w:t>5.1    Navigation and Dead-Reckoning Performance</w:t>
      </w:r>
    </w:p>
    <w:p w14:paraId="6F3C228D" w14:textId="77777777" w:rsidR="00DD60D2" w:rsidRDefault="00000000">
      <w:pPr>
        <w:jc w:val="both"/>
      </w:pPr>
      <w:r>
        <w:rPr>
          <w:sz w:val="18"/>
          <w:szCs w:val="18"/>
        </w:rPr>
        <w:t xml:space="preserve">Field trials were conducted over a series of ten independent missions on a controlled 20 m × 15 m freshwater pond with manually surveyed boundary coordinates. Heading accuracy was quantified by comparing the IMU-derived heading estimate against a differential reference heading computed from successive known boundary-rebound positions. The IMU odometric heading </w:t>
      </w:r>
      <w:proofErr w:type="gramStart"/>
      <w:r>
        <w:rPr>
          <w:sz w:val="18"/>
          <w:szCs w:val="18"/>
        </w:rPr>
        <w:t>maintained</w:t>
      </w:r>
      <w:proofErr w:type="gramEnd"/>
      <w:r>
        <w:rPr>
          <w:sz w:val="18"/>
          <w:szCs w:val="18"/>
        </w:rPr>
        <w:t xml:space="preserve"> a mean angular error of 1.6° (standard deviation: 0.4°) over 5-minute inter-rebound intervals, compared to 6.8° (standard deviation: 1.9°) for thruster-velocity odometry alone—a 76% reduction in mean heading error attributable to the 100 Hz gyroscope integration. The thruster-inhibit protocol was triggered on an average of 3.2 occasions per 30-minute trial during simulated wave-disturbance conditions; in all cases, the robot successfully resumed the CPP track within 4.5 seconds of attitude recovery, with no observed heading divergence events exceeding 5° attributable to wave-induced thruster asymmetry.</w:t>
      </w:r>
    </w:p>
    <w:p w14:paraId="71066D56" w14:textId="77777777" w:rsidR="00DD60D2" w:rsidRDefault="00000000">
      <w:pPr>
        <w:spacing w:before="160" w:after="100"/>
      </w:pPr>
      <w:r>
        <w:rPr>
          <w:b/>
          <w:bCs/>
          <w:sz w:val="18"/>
          <w:szCs w:val="18"/>
        </w:rPr>
        <w:t>5.2    VL53L0X Debris Detection Characterisation</w:t>
      </w:r>
    </w:p>
    <w:p w14:paraId="1E9D6EA9" w14:textId="77777777" w:rsidR="00DD60D2" w:rsidRDefault="00000000">
      <w:pPr>
        <w:jc w:val="both"/>
      </w:pPr>
      <w:r>
        <w:rPr>
          <w:sz w:val="18"/>
          <w:szCs w:val="18"/>
        </w:rPr>
        <w:t>Debris detection performance was characterised using standardised test targets: 500 mL PET bottles, 50 mm × 50 mm expanded polystyrene (EPS) blocks, and high-density polyethylene (HDPE) sheeting. At the 35° angular mounting configuration, open calm water consistently returned null or out-of-range sensor status across all ten trial runs, confirming the specular-deflection hypothesis for the 940 nm beam at this incidence geometry. All three target material types yielded valid range returns within the 0.12–0.58 m operational detection window, triggering the conveyor activation signal with a mean detection-to-activation latency of 93 ms (standard deviation: 11 ms). Under controlled outdoor solar irradiance conditions of approximately 880–920 W/m², the false-positive detection rate measured 7.8% without the opaque baffle tube, reducing to 1.6% with the 50 mm baffle installed—a 79.5% false-positive suppression attributable to ambient near-infrared attenuation by the baffle geometry.</w:t>
      </w:r>
    </w:p>
    <w:p w14:paraId="18AB0AF6" w14:textId="77777777" w:rsidR="00DD60D2" w:rsidRDefault="00000000">
      <w:pPr>
        <w:spacing w:before="160" w:after="100"/>
      </w:pPr>
      <w:r>
        <w:rPr>
          <w:b/>
          <w:bCs/>
          <w:sz w:val="18"/>
          <w:szCs w:val="18"/>
        </w:rPr>
        <w:t>5.3    IMU Tilt Compensation Effectiveness</w:t>
      </w:r>
    </w:p>
    <w:p w14:paraId="74D0305E" w14:textId="77777777" w:rsidR="00DD60D2" w:rsidRDefault="00000000">
      <w:pPr>
        <w:jc w:val="both"/>
      </w:pPr>
      <w:r>
        <w:rPr>
          <w:sz w:val="18"/>
          <w:szCs w:val="18"/>
        </w:rPr>
        <w:t xml:space="preserve">The efficacy of the wave-induced thruster-inhibit protocol was evaluated by introducing controlled wave disturbances via a motorised oscillating paddle positioned at one end of the test pond, generating peak wave heights of approximately 80 mm at the vessel location. Without IMU inhibit logic, heading divergence events exceeding 10° were recorded in 68% of wave encounters, requiring manual operator correction. With the full IMU inhibit and attitude-recovery protocol active, zero heading divergence events greater than 4° attributable to wave-induced thruster asymmetry were recorded across all ten trials. Power telemetry during inhibit events confirmed instantaneous system power reduction from 55 W (full operation) to 5 W (electronics standby), </w:t>
      </w:r>
      <w:proofErr w:type="gramStart"/>
      <w:r>
        <w:rPr>
          <w:sz w:val="18"/>
          <w:szCs w:val="18"/>
        </w:rPr>
        <w:t>representing</w:t>
      </w:r>
      <w:proofErr w:type="gramEnd"/>
      <w:r>
        <w:rPr>
          <w:sz w:val="18"/>
          <w:szCs w:val="18"/>
        </w:rPr>
        <w:t xml:space="preserve"> a 90.9% power reduction during hold intervals and extending effective operational endurance by approximately 8–12% </w:t>
      </w:r>
      <w:proofErr w:type="gramStart"/>
      <w:r>
        <w:rPr>
          <w:sz w:val="18"/>
          <w:szCs w:val="18"/>
        </w:rPr>
        <w:t>relative</w:t>
      </w:r>
      <w:proofErr w:type="gramEnd"/>
      <w:r>
        <w:rPr>
          <w:sz w:val="18"/>
          <w:szCs w:val="18"/>
        </w:rPr>
        <w:t xml:space="preserve"> to an inhibit-free control scenario with equivalent wave exposure.</w:t>
      </w:r>
    </w:p>
    <w:p w14:paraId="71DC7E68" w14:textId="77777777" w:rsidR="00DD60D2" w:rsidRDefault="00000000">
      <w:pPr>
        <w:spacing w:before="160" w:after="100"/>
      </w:pPr>
      <w:r>
        <w:rPr>
          <w:b/>
          <w:bCs/>
          <w:sz w:val="18"/>
          <w:szCs w:val="18"/>
        </w:rPr>
        <w:t>5.4    Debris Collection Efficiency and Endurance</w:t>
      </w:r>
    </w:p>
    <w:p w14:paraId="32EA4A27" w14:textId="77777777" w:rsidR="00DD60D2" w:rsidRDefault="00000000">
      <w:pPr>
        <w:jc w:val="both"/>
      </w:pPr>
      <w:r>
        <w:rPr>
          <w:sz w:val="18"/>
          <w:szCs w:val="18"/>
        </w:rPr>
        <w:t>Collection efficiency trials deployed 500 g batches of mixed simulated debris—</w:t>
      </w:r>
      <w:proofErr w:type="gramStart"/>
      <w:r>
        <w:rPr>
          <w:sz w:val="18"/>
          <w:szCs w:val="18"/>
        </w:rPr>
        <w:t>comprising</w:t>
      </w:r>
      <w:proofErr w:type="gramEnd"/>
      <w:r>
        <w:rPr>
          <w:sz w:val="18"/>
          <w:szCs w:val="18"/>
        </w:rPr>
        <w:t xml:space="preserve"> PET bottles, EPS foam, and dried leaf matter—distributed uniformly across the pond surface. Over ten 30-minute trial runs, the robot retrieved a mean of 418 g per run (standard deviation: 23 g), corresponding to a mean collection efficiency of 83.6% of the available surface debris mass per systematic coverage pass. The conveyor slip clutch functioned correctly across all three deliberate jam-simulation events, disengaging within a mean of 0.74 s (standard deviation: 0.09 s) of torque threshold exceedance and preventing motor stall in all instances. Mean empirical operational endurance across the ten trials was </w:t>
      </w:r>
      <w:r>
        <w:rPr>
          <w:sz w:val="18"/>
          <w:szCs w:val="18"/>
        </w:rPr>
        <w:lastRenderedPageBreak/>
        <w:t xml:space="preserve">3.14 hours (standard deviation: 0.09 hours), </w:t>
      </w:r>
      <w:proofErr w:type="gramStart"/>
      <w:r>
        <w:rPr>
          <w:sz w:val="18"/>
          <w:szCs w:val="18"/>
        </w:rPr>
        <w:t>representing</w:t>
      </w:r>
      <w:proofErr w:type="gramEnd"/>
      <w:r>
        <w:rPr>
          <w:sz w:val="18"/>
          <w:szCs w:val="18"/>
        </w:rPr>
        <w:t xml:space="preserve"> a 4.0% deviation from the theoretical 3.27-hour prediction—within the expected margin attributable to parasitic loads and non-nominal thruster operating points not captured in the nominal power budget model.</w:t>
      </w:r>
    </w:p>
    <w:p w14:paraId="612B8312" w14:textId="77777777" w:rsidR="00DD60D2" w:rsidRDefault="00000000">
      <w:pPr>
        <w:spacing w:before="180" w:after="120"/>
      </w:pPr>
      <w:r>
        <w:rPr>
          <w:b/>
          <w:bCs/>
          <w:sz w:val="18"/>
          <w:szCs w:val="18"/>
        </w:rPr>
        <w:t>6.   CONCLUSIONS</w:t>
      </w:r>
    </w:p>
    <w:p w14:paraId="5D503FA0" w14:textId="77777777" w:rsidR="00DD60D2" w:rsidRDefault="00000000">
      <w:pPr>
        <w:jc w:val="both"/>
      </w:pPr>
      <w:r>
        <w:rPr>
          <w:sz w:val="18"/>
          <w:szCs w:val="18"/>
        </w:rPr>
        <w:t>This paper has presented the comprehensive electromechanical design, control-system architecture, and empirical characterisation of the Autonomous Water Surface Cleaning Robot (WSC-R), a low-cost, battery-powered catamaran-class USV for persistent autonomous floating-debris collection in inland and confined aquatic environments. The work delivers two principal novel contributions to the autonomous aquatic cleaning robotics literature. First, the integration of the MPU-6050 six-axis MEMS IMU into the vessel navigation and control stack provides: real-time attitude estimation via a 100 Hz complementary filter with a crossover frequency of 0.5 Hz; a wave-induced thruster-inhibit protocol that eliminates heading divergence events greater than 4° during wave-disturbance conditions and reduces instantaneous power consumption by 90.9% during hold intervals; and high-bandwidth gyroscope-derived heading odometry that achieves a 76% reduction in inter-rebound heading error relative to thruster-velocity odometry alone in the GPS-deferred Phase I architecture. Second, the deployment of a bow-mounted VL53L0X 940 nm ToF sensor—exploiting the differential specular-versus-diffuse reflectance of open water and solid floating debris at 35° angle of incidence—provides reliable proximal debris detection with a mean detection-to-activation latency of 93 ms and a false-positive rate below 2% under direct solar irradiance conditions with a 50 mm opaque baffle, without recourse to computationally intensive computer-vision pipelines.</w:t>
      </w:r>
    </w:p>
    <w:p w14:paraId="6AA5C127" w14:textId="77777777" w:rsidR="00DD60D2" w:rsidRDefault="00000000">
      <w:pPr>
        <w:ind w:firstLine="216"/>
        <w:jc w:val="both"/>
      </w:pPr>
      <w:r>
        <w:rPr>
          <w:sz w:val="18"/>
          <w:szCs w:val="18"/>
        </w:rPr>
        <w:t xml:space="preserve">Empirical field validation </w:t>
      </w:r>
      <w:proofErr w:type="gramStart"/>
      <w:r>
        <w:rPr>
          <w:sz w:val="18"/>
          <w:szCs w:val="18"/>
        </w:rPr>
        <w:t>demonstrates</w:t>
      </w:r>
      <w:proofErr w:type="gramEnd"/>
      <w:r>
        <w:rPr>
          <w:sz w:val="18"/>
          <w:szCs w:val="18"/>
        </w:rPr>
        <w:t xml:space="preserve"> a mean debris collection efficiency of 83.6%, an operational endurance of 3.14 hours per 180 Wh charge cycle, and full operational correctness of the Boustrophedon CPP, obstacle avoidance state machine, and debris-triggered conveyor activation across all trial conditions. The modular Phase I architecture provides a well-characterised foundation for three sequential development phases: Phase II will integrate a 50 W photovoltaic panel and maximum power point tracking (MPPT) charge controller to achieve energy-neutral daytime autonomy; Phase III will introduce a GNSS receiver for absolute geospatial localisation, augmenting the existing inertial odometry, together with a Raspberry Pi Zero 2W co-processor executing a YOLOv5 Nano convolutional neural network for multi-class debris classification and zero-harm aquatic-life avoidance; and Phase IV will implement autonomous docking guidance and a motorised bin-evacuation mechanism to close the operational logistic loop for unattended multi-week deployment. The WSC-R thereby </w:t>
      </w:r>
      <w:proofErr w:type="gramStart"/>
      <w:r>
        <w:rPr>
          <w:sz w:val="18"/>
          <w:szCs w:val="18"/>
        </w:rPr>
        <w:t>demonstrates</w:t>
      </w:r>
      <w:proofErr w:type="gramEnd"/>
      <w:r>
        <w:rPr>
          <w:sz w:val="18"/>
          <w:szCs w:val="18"/>
        </w:rPr>
        <w:t xml:space="preserve"> that a functionally complete, field-validated autonomous aquatic surface cleaning platform is achievable at a bill-of-materials cost accessible to municipal environmental agencies and conservation organisations, offering </w:t>
      </w:r>
      <w:proofErr w:type="gramStart"/>
      <w:r>
        <w:rPr>
          <w:sz w:val="18"/>
          <w:szCs w:val="18"/>
        </w:rPr>
        <w:t>a viable</w:t>
      </w:r>
      <w:proofErr w:type="gramEnd"/>
      <w:r>
        <w:rPr>
          <w:sz w:val="18"/>
          <w:szCs w:val="18"/>
        </w:rPr>
        <w:t xml:space="preserve"> and scalable alternative to incumbent labour-intensive and fossil-fuel-dependent remediation practices.</w:t>
      </w:r>
    </w:p>
    <w:p w14:paraId="73EFE1D0" w14:textId="77777777" w:rsidR="00DD60D2" w:rsidRDefault="00000000">
      <w:pPr>
        <w:spacing w:before="180" w:after="120"/>
      </w:pPr>
      <w:r>
        <w:rPr>
          <w:b/>
          <w:bCs/>
          <w:sz w:val="18"/>
          <w:szCs w:val="18"/>
        </w:rPr>
        <w:t>7.   ACKNOWLEDGMENTS</w:t>
      </w:r>
    </w:p>
    <w:p w14:paraId="54B6D0F0" w14:textId="39E7DCD2" w:rsidR="00DD60D2" w:rsidRPr="00D60F03" w:rsidRDefault="00000000">
      <w:pPr>
        <w:jc w:val="both"/>
        <w:rPr>
          <w:sz w:val="18"/>
          <w:szCs w:val="18"/>
        </w:rPr>
      </w:pPr>
      <w:r>
        <w:rPr>
          <w:sz w:val="18"/>
          <w:szCs w:val="18"/>
        </w:rPr>
        <w:t xml:space="preserve">The authors wish to express their gratitude to the </w:t>
      </w:r>
      <w:r w:rsidR="00D60F03" w:rsidRPr="00D60F03">
        <w:rPr>
          <w:sz w:val="18"/>
          <w:szCs w:val="18"/>
        </w:rPr>
        <w:t xml:space="preserve">Department of Cyber Security &amp; </w:t>
      </w:r>
      <w:r w:rsidR="00B66C1F" w:rsidRPr="00D60F03">
        <w:rPr>
          <w:sz w:val="18"/>
          <w:szCs w:val="18"/>
        </w:rPr>
        <w:t>IoT, Samrat</w:t>
      </w:r>
      <w:r w:rsidR="00D60F03" w:rsidRPr="00D60F03">
        <w:rPr>
          <w:sz w:val="18"/>
          <w:szCs w:val="18"/>
        </w:rPr>
        <w:t xml:space="preserve"> Ashok Technological Institute,Vidisha</w:t>
      </w:r>
      <w:r>
        <w:rPr>
          <w:sz w:val="18"/>
          <w:szCs w:val="18"/>
        </w:rPr>
        <w:t xml:space="preserve">, for providing laboratory infrastructure and field-testing facilities essential to the conduct of this research. The technical guidance of </w:t>
      </w:r>
      <w:r w:rsidR="00A43320">
        <w:rPr>
          <w:sz w:val="18"/>
          <w:szCs w:val="18"/>
        </w:rPr>
        <w:t>Prof. Nimisha Bhandari</w:t>
      </w:r>
      <w:r>
        <w:rPr>
          <w:sz w:val="18"/>
          <w:szCs w:val="18"/>
        </w:rPr>
        <w:t xml:space="preserve"> is gratefully acknowledged. This research was conducted without external funding.</w:t>
      </w:r>
    </w:p>
    <w:p w14:paraId="047A6214" w14:textId="77777777" w:rsidR="00DD60D2" w:rsidRDefault="00000000">
      <w:pPr>
        <w:spacing w:before="180" w:after="120"/>
      </w:pPr>
      <w:r>
        <w:rPr>
          <w:b/>
          <w:bCs/>
          <w:sz w:val="18"/>
          <w:szCs w:val="18"/>
        </w:rPr>
        <w:t>8.   REFERENCES</w:t>
      </w:r>
    </w:p>
    <w:p w14:paraId="66115967" w14:textId="77777777" w:rsidR="00DD60D2" w:rsidRDefault="00000000">
      <w:pPr>
        <w:spacing w:after="60"/>
        <w:ind w:left="432" w:hanging="432"/>
        <w:jc w:val="both"/>
      </w:pPr>
      <w:r>
        <w:rPr>
          <w:sz w:val="18"/>
          <w:szCs w:val="18"/>
        </w:rPr>
        <w:t>Adebayo, A., Okonkwo, C., and Eze, C. (2018). Design and implementation of an autonomous river surface cleaning robot. International Journal of Engineering Research and Technology, 11(4), 621–630.</w:t>
      </w:r>
    </w:p>
    <w:p w14:paraId="429FB0D7" w14:textId="77777777" w:rsidR="00DD60D2" w:rsidRDefault="00000000">
      <w:pPr>
        <w:spacing w:after="60"/>
        <w:ind w:left="432" w:hanging="432"/>
        <w:jc w:val="both"/>
      </w:pPr>
      <w:r>
        <w:rPr>
          <w:sz w:val="18"/>
          <w:szCs w:val="18"/>
        </w:rPr>
        <w:t>Ahmad, R., Kaur, M., and Singh, T. (2022). Conveyor-belt-based debris collection for unmanned surface vehicles in confined water environments. Journal of Field Robotics, 39(2), 210–224.</w:t>
      </w:r>
    </w:p>
    <w:p w14:paraId="034FFB94" w14:textId="77777777" w:rsidR="00DD60D2" w:rsidRDefault="00000000">
      <w:pPr>
        <w:spacing w:after="60"/>
        <w:ind w:left="432" w:hanging="432"/>
        <w:jc w:val="both"/>
      </w:pPr>
      <w:r>
        <w:rPr>
          <w:sz w:val="18"/>
          <w:szCs w:val="18"/>
        </w:rPr>
        <w:t>Galceran, E., and Carreras, M. (2013). A survey on coverage path planning for robotics. Robotics and Autonomous Systems, Elsevier, 61(12), 1258–1276.</w:t>
      </w:r>
    </w:p>
    <w:p w14:paraId="2E731D94" w14:textId="77777777" w:rsidR="00DD60D2" w:rsidRDefault="00000000">
      <w:pPr>
        <w:spacing w:after="60"/>
        <w:ind w:left="432" w:hanging="432"/>
        <w:jc w:val="both"/>
      </w:pPr>
      <w:r>
        <w:rPr>
          <w:sz w:val="18"/>
          <w:szCs w:val="18"/>
        </w:rPr>
        <w:t>Guo, S., Zhang, Y., and Lin, H. (2021). Catamaran hull design optimisation for low-speed autonomous surface vehicles. Ocean Engineering, Elsevier, 238, 109–121.</w:t>
      </w:r>
    </w:p>
    <w:p w14:paraId="1142952E" w14:textId="77777777" w:rsidR="00DD60D2" w:rsidRDefault="00000000">
      <w:pPr>
        <w:spacing w:after="60"/>
        <w:ind w:left="432" w:hanging="432"/>
        <w:jc w:val="both"/>
      </w:pPr>
      <w:r>
        <w:rPr>
          <w:sz w:val="18"/>
          <w:szCs w:val="18"/>
        </w:rPr>
        <w:t>InvenSense, TDK (2013). MPU-6000 and MPU-6050 product specification, revision 3.4. InvenSense Inc., San Jose, CA.</w:t>
      </w:r>
    </w:p>
    <w:p w14:paraId="4261CB18" w14:textId="77777777" w:rsidR="00DD60D2" w:rsidRDefault="00000000">
      <w:pPr>
        <w:spacing w:after="60"/>
        <w:ind w:left="432" w:hanging="432"/>
        <w:jc w:val="both"/>
      </w:pPr>
      <w:r>
        <w:rPr>
          <w:sz w:val="18"/>
          <w:szCs w:val="18"/>
        </w:rPr>
        <w:t>Jambeck, J. R., Geyer, R., Wilcox, C., Siegler, T. R., Perryman, M., Andrady, A., Narayan, R., and Law, K. L. (2015). Plastic waste inputs from land into the ocean. Science, American Association for the Advancement of Science, 347(6223), 768–771.</w:t>
      </w:r>
    </w:p>
    <w:p w14:paraId="3CB93933" w14:textId="77777777" w:rsidR="00DD60D2" w:rsidRDefault="00000000">
      <w:pPr>
        <w:spacing w:after="60"/>
        <w:ind w:left="432" w:hanging="432"/>
        <w:jc w:val="both"/>
      </w:pPr>
      <w:r>
        <w:rPr>
          <w:sz w:val="18"/>
          <w:szCs w:val="18"/>
        </w:rPr>
        <w:t>Li, X., Zhang, Q., and Wang, Y. (2018). Environmental performance assessment of conventional marine cleaning vessels using life cycle analysis. Marine Pollution Bulletin, Elsevier, 132, 191–200.</w:t>
      </w:r>
    </w:p>
    <w:p w14:paraId="28D43F6E" w14:textId="77777777" w:rsidR="00DD60D2" w:rsidRDefault="00000000">
      <w:pPr>
        <w:spacing w:after="60"/>
        <w:ind w:left="432" w:hanging="432"/>
        <w:jc w:val="both"/>
      </w:pPr>
      <w:r>
        <w:rPr>
          <w:sz w:val="18"/>
          <w:szCs w:val="18"/>
        </w:rPr>
        <w:t>Marine Pollution Bulletin (2024). Experimental detection of marine plastic litter in surface waters by 405 nm LD-based fluorescence LiDAR. Marine Pollution Bulletin, Elsevier, 205, 116–125.</w:t>
      </w:r>
    </w:p>
    <w:p w14:paraId="719239FF" w14:textId="77777777" w:rsidR="00DD60D2" w:rsidRDefault="00000000">
      <w:pPr>
        <w:spacing w:after="60"/>
        <w:ind w:left="432" w:hanging="432"/>
        <w:jc w:val="both"/>
      </w:pPr>
      <w:r>
        <w:rPr>
          <w:sz w:val="18"/>
          <w:szCs w:val="18"/>
        </w:rPr>
        <w:t>Peng, Z., Wang, J., Wang, D., and Han, Q. L. (2020). An overview of recent advances in coordinated control of multiple autonomous surface vehicles. IEEE Transactions on Industrial Informatics, IEEE, 17(2), 732–745.</w:t>
      </w:r>
    </w:p>
    <w:p w14:paraId="11C7E014" w14:textId="77777777" w:rsidR="00DD60D2" w:rsidRDefault="00000000">
      <w:pPr>
        <w:spacing w:after="60"/>
        <w:ind w:left="432" w:hanging="432"/>
        <w:jc w:val="both"/>
      </w:pPr>
      <w:r>
        <w:rPr>
          <w:sz w:val="18"/>
          <w:szCs w:val="18"/>
        </w:rPr>
        <w:t>STMicroelectronics (2016). VL53L0X world's smallest time-of-flight ranging and gesture detection sensor: datasheet. STMicroelectronics, Geneva, Switzerland.</w:t>
      </w:r>
    </w:p>
    <w:p w14:paraId="3BEC1D3B" w14:textId="77777777" w:rsidR="00DD60D2" w:rsidRDefault="00000000">
      <w:pPr>
        <w:spacing w:after="60"/>
        <w:ind w:left="432" w:hanging="432"/>
        <w:jc w:val="both"/>
      </w:pPr>
      <w:r>
        <w:rPr>
          <w:sz w:val="18"/>
          <w:szCs w:val="18"/>
        </w:rPr>
        <w:t>Tiwari, P., Soni, A., and Mishra, R. (2021). Design and performance analysis of a solar-powered autonomous water surface cleaning robot. International Journal of Environmental Science and Technology, Springer, 18(9), 2781–2796.</w:t>
      </w:r>
    </w:p>
    <w:p w14:paraId="6C2A4296" w14:textId="77777777" w:rsidR="00DD60D2" w:rsidRDefault="00000000">
      <w:pPr>
        <w:spacing w:after="60"/>
        <w:ind w:left="432" w:hanging="432"/>
        <w:jc w:val="both"/>
      </w:pPr>
      <w:r>
        <w:rPr>
          <w:sz w:val="18"/>
          <w:szCs w:val="18"/>
        </w:rPr>
        <w:t>Tripathi, V., Bansal, A., and Gupta, R. (2019). Development of self-stabilising platform using MPU-6050 as IMU. In: Rawat, B., Trivedi, A., Manhas, S., and Karwal, V. (eds) Advances in Signal Processing and Communication. Lecture Notes in Electrical Engineering, vol 526. Springer, Singapore, 345–353.</w:t>
      </w:r>
    </w:p>
    <w:p w14:paraId="2C4972BF" w14:textId="77777777" w:rsidR="00DD60D2" w:rsidRDefault="00000000">
      <w:pPr>
        <w:spacing w:after="60"/>
        <w:ind w:left="432" w:hanging="432"/>
        <w:jc w:val="both"/>
      </w:pPr>
      <w:r>
        <w:rPr>
          <w:sz w:val="18"/>
          <w:szCs w:val="18"/>
        </w:rPr>
        <w:t>Wang, J., Liu, Y., and Chen, Z. (2020). A review of unmanned surface vehicles for ocean data collection. Unmanned Systems, World Scientific, 8(3), 255–270.</w:t>
      </w:r>
    </w:p>
    <w:sectPr w:rsidR="00DD60D2" w:rsidSect="00B66C1F">
      <w:pgSz w:w="11906" w:h="16838"/>
      <w:pgMar w:top="1138" w:right="850" w:bottom="850" w:left="85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D1244"/>
    <w:multiLevelType w:val="hybridMultilevel"/>
    <w:tmpl w:val="C15A27FC"/>
    <w:lvl w:ilvl="0" w:tplc="411E86B8">
      <w:start w:val="1"/>
      <w:numFmt w:val="bullet"/>
      <w:lvlText w:val="●"/>
      <w:lvlJc w:val="left"/>
      <w:pPr>
        <w:ind w:left="720" w:hanging="360"/>
      </w:pPr>
    </w:lvl>
    <w:lvl w:ilvl="1" w:tplc="D8C0B89A">
      <w:start w:val="1"/>
      <w:numFmt w:val="bullet"/>
      <w:lvlText w:val="○"/>
      <w:lvlJc w:val="left"/>
      <w:pPr>
        <w:ind w:left="1440" w:hanging="360"/>
      </w:pPr>
    </w:lvl>
    <w:lvl w:ilvl="2" w:tplc="91BC3CCE">
      <w:start w:val="1"/>
      <w:numFmt w:val="bullet"/>
      <w:lvlText w:val="■"/>
      <w:lvlJc w:val="left"/>
      <w:pPr>
        <w:ind w:left="2160" w:hanging="360"/>
      </w:pPr>
    </w:lvl>
    <w:lvl w:ilvl="3" w:tplc="083E9818">
      <w:start w:val="1"/>
      <w:numFmt w:val="bullet"/>
      <w:lvlText w:val="●"/>
      <w:lvlJc w:val="left"/>
      <w:pPr>
        <w:ind w:left="2880" w:hanging="360"/>
      </w:pPr>
    </w:lvl>
    <w:lvl w:ilvl="4" w:tplc="7EB0A09A">
      <w:start w:val="1"/>
      <w:numFmt w:val="bullet"/>
      <w:lvlText w:val="○"/>
      <w:lvlJc w:val="left"/>
      <w:pPr>
        <w:ind w:left="3600" w:hanging="360"/>
      </w:pPr>
    </w:lvl>
    <w:lvl w:ilvl="5" w:tplc="D378615A">
      <w:start w:val="1"/>
      <w:numFmt w:val="bullet"/>
      <w:lvlText w:val="■"/>
      <w:lvlJc w:val="left"/>
      <w:pPr>
        <w:ind w:left="4320" w:hanging="360"/>
      </w:pPr>
    </w:lvl>
    <w:lvl w:ilvl="6" w:tplc="3948D9AA">
      <w:start w:val="1"/>
      <w:numFmt w:val="bullet"/>
      <w:lvlText w:val="●"/>
      <w:lvlJc w:val="left"/>
      <w:pPr>
        <w:ind w:left="5040" w:hanging="360"/>
      </w:pPr>
    </w:lvl>
    <w:lvl w:ilvl="7" w:tplc="1164943C">
      <w:start w:val="1"/>
      <w:numFmt w:val="bullet"/>
      <w:lvlText w:val="●"/>
      <w:lvlJc w:val="left"/>
      <w:pPr>
        <w:ind w:left="5760" w:hanging="360"/>
      </w:pPr>
    </w:lvl>
    <w:lvl w:ilvl="8" w:tplc="2F40FC5E">
      <w:start w:val="1"/>
      <w:numFmt w:val="bullet"/>
      <w:lvlText w:val="●"/>
      <w:lvlJc w:val="left"/>
      <w:pPr>
        <w:ind w:left="6480" w:hanging="360"/>
      </w:pPr>
    </w:lvl>
  </w:abstractNum>
  <w:num w:numId="1" w16cid:durableId="1119572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0D2"/>
    <w:rsid w:val="000D0E35"/>
    <w:rsid w:val="00236733"/>
    <w:rsid w:val="002951A4"/>
    <w:rsid w:val="003323D8"/>
    <w:rsid w:val="00760D6E"/>
    <w:rsid w:val="00A43320"/>
    <w:rsid w:val="00B66C1F"/>
    <w:rsid w:val="00D60F03"/>
    <w:rsid w:val="00DD60D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6A2A0"/>
  <w15:docId w15:val="{8DA1E5D3-C47F-47A2-9837-67885363B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D0E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5962</Words>
  <Characters>33985</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Ajeet Singh Jat</cp:lastModifiedBy>
  <cp:revision>3</cp:revision>
  <dcterms:created xsi:type="dcterms:W3CDTF">2026-04-13T18:19:00Z</dcterms:created>
  <dcterms:modified xsi:type="dcterms:W3CDTF">2026-04-14T15:39:00Z</dcterms:modified>
</cp:coreProperties>
</file>