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4" w:lineRule="exact" w:before="210" w:after="220"/>
        <w:ind w:left="212" w:right="212" w:firstLine="0"/>
        <w:jc w:val="left"/>
      </w:pPr>
      <w:r>
        <w:rPr>
          <w:rFonts w:ascii="Metropolis" w:hAnsi="Metropolis" w:eastAsia="Metropolis"/>
          <w:b w:val="0"/>
          <w:i/>
          <w:color w:val="00ADEF"/>
          <w:sz w:val="18"/>
        </w:rPr>
        <w:t>GOVERNMENT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2.00000000000003" w:type="dxa"/>
      </w:tblPr>
      <w:tblGrid>
        <w:gridCol w:w="1150"/>
        <w:gridCol w:w="1150"/>
        <w:gridCol w:w="1150"/>
        <w:gridCol w:w="1150"/>
        <w:gridCol w:w="1150"/>
        <w:gridCol w:w="1150"/>
      </w:tblGrid>
      <w:tr>
        <w:trPr>
          <w:trHeight w:hRule="exact" w:val="946"/>
        </w:trPr>
        <w:tc>
          <w:tcPr>
            <w:tcW w:type="dxa" w:w="669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22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221F1F"/>
                <w:sz w:val="20"/>
              </w:rPr>
              <w:t>Tabel</w:t>
            </w:r>
          </w:p>
          <w:p>
            <w:pPr>
              <w:autoSpaceDN w:val="0"/>
              <w:autoSpaceDE w:val="0"/>
              <w:widowControl/>
              <w:spacing w:line="248" w:lineRule="exact" w:before="232" w:after="0"/>
              <w:ind w:left="1162" w:right="1162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221F1F"/>
                <w:sz w:val="20"/>
              </w:rPr>
              <w:t xml:space="preserve">2019 </w:t>
            </w:r>
          </w:p>
        </w:tc>
      </w:tr>
      <w:tr>
        <w:trPr>
          <w:trHeight w:hRule="exact" w:val="240"/>
        </w:trPr>
        <w:tc>
          <w:tcPr>
            <w:tcW w:type="dxa" w:w="6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right"/>
            </w:pPr>
            <w:r>
              <w:rPr>
                <w:rFonts w:ascii="MyriadPro" w:hAnsi="MyriadPro" w:eastAsia="MyriadPro"/>
                <w:b/>
                <w:i/>
                <w:color w:val="221F1F"/>
                <w:sz w:val="20"/>
              </w:rPr>
              <w:t xml:space="preserve"> </w:t>
            </w:r>
          </w:p>
        </w:tc>
        <w:tc>
          <w:tcPr>
            <w:tcW w:type="dxa" w:w="607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482" w:right="482" w:firstLine="0"/>
              <w:jc w:val="right"/>
            </w:pPr>
            <w:r>
              <w:rPr>
                <w:rFonts w:ascii="MyriadPro" w:hAnsi="MyriadPro" w:eastAsia="MyriadPro"/>
                <w:b/>
                <w:i/>
                <w:color w:val="221F1F"/>
                <w:sz w:val="20"/>
              </w:rPr>
              <w:t xml:space="preserve">Actual Provincial Government Revenues and Expenditures </w:t>
            </w:r>
          </w:p>
        </w:tc>
      </w:tr>
      <w:tr>
        <w:trPr>
          <w:trHeight w:hRule="exact" w:val="540"/>
        </w:trPr>
        <w:tc>
          <w:tcPr>
            <w:tcW w:type="dxa" w:w="669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434" w:right="434" w:firstLine="0"/>
              <w:jc w:val="right"/>
            </w:pPr>
            <w:r>
              <w:rPr>
                <w:rFonts w:ascii="MyriadPro" w:hAnsi="MyriadPro" w:eastAsia="MyriadPro"/>
                <w:b/>
                <w:i/>
                <w:color w:val="221F1F"/>
                <w:sz w:val="20"/>
              </w:rPr>
              <w:t xml:space="preserve">by Regency/Municipality in Jawa Timur Province, 2018 and 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194" w:right="1194" w:firstLine="0"/>
              <w:jc w:val="left"/>
            </w:pPr>
            <w:r>
              <w:rPr>
                <w:rFonts w:ascii="MyriadPro" w:hAnsi="MyriadPro" w:eastAsia="MyriadPro"/>
                <w:b/>
                <w:i/>
                <w:color w:val="221F1F"/>
                <w:sz w:val="20"/>
              </w:rPr>
              <w:t xml:space="preserve">2019 </w:t>
            </w:r>
          </w:p>
        </w:tc>
      </w:tr>
      <w:tr>
        <w:trPr>
          <w:trHeight w:hRule="exact" w:val="408"/>
        </w:trPr>
        <w:tc>
          <w:tcPr>
            <w:tcW w:type="dxa" w:w="3062"/>
            <w:gridSpan w:val="2"/>
            <w:tcBorders/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9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221F1F"/>
                <w:sz w:val="18"/>
              </w:rPr>
              <w:t>Kabupaten/Kota</w:t>
            </w:r>
          </w:p>
        </w:tc>
        <w:tc>
          <w:tcPr>
            <w:tcW w:type="dxa" w:w="1474"/>
            <w:vMerge w:val="restart"/>
            <w:tcBorders/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38" w:after="0"/>
              <w:ind w:left="186" w:right="186" w:firstLine="0"/>
              <w:jc w:val="right"/>
            </w:pPr>
            <w:r>
              <w:rPr>
                <w:rFonts w:ascii="MyriadPro" w:hAnsi="MyriadPro" w:eastAsia="MyriadPro"/>
                <w:b/>
                <w:i w:val="0"/>
                <w:color w:val="221F1F"/>
                <w:sz w:val="18"/>
              </w:rPr>
              <w:t>Pendapatan</w:t>
            </w:r>
          </w:p>
        </w:tc>
        <w:tc>
          <w:tcPr>
            <w:tcW w:type="dxa" w:w="676"/>
            <w:gridSpan w:val="2"/>
            <w:vMerge w:val="restart"/>
            <w:tcBorders/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221F1F"/>
                <w:sz w:val="18"/>
              </w:rPr>
              <w:t>2018</w:t>
            </w:r>
          </w:p>
        </w:tc>
        <w:tc>
          <w:tcPr>
            <w:tcW w:type="dxa" w:w="1478"/>
            <w:vMerge w:val="restart"/>
            <w:tcBorders/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38" w:after="0"/>
              <w:ind w:left="332" w:right="332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221F1F"/>
                <w:sz w:val="18"/>
              </w:rPr>
              <w:t>Belanja</w:t>
            </w:r>
          </w:p>
        </w:tc>
      </w:tr>
      <w:tr>
        <w:trPr>
          <w:trHeight w:hRule="exact" w:val="146"/>
        </w:trPr>
        <w:tc>
          <w:tcPr>
            <w:tcW w:type="dxa" w:w="3062"/>
            <w:gridSpan w:val="2"/>
            <w:vMerge w:val="restart"/>
            <w:tcBorders/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/>
                <w:color w:val="221F1F"/>
                <w:sz w:val="18"/>
              </w:rPr>
              <w:t>Regency/Municipality</w:t>
            </w:r>
          </w:p>
        </w:tc>
        <w:tc>
          <w:tcPr>
            <w:tcW w:type="dxa" w:w="1150"/>
            <w:vMerge/>
            <w:tcBorders/>
          </w:tcPr>
          <w:p/>
        </w:tc>
        <w:tc>
          <w:tcPr>
            <w:tcW w:type="dxa" w:w="2300"/>
            <w:gridSpan w:val="2"/>
            <w:vMerge/>
            <w:tcBorders/>
          </w:tcPr>
          <w:p/>
        </w:tc>
        <w:tc>
          <w:tcPr>
            <w:tcW w:type="dxa" w:w="1150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00"/>
            <w:gridSpan w:val="2"/>
            <w:vMerge/>
            <w:tcBorders/>
          </w:tcPr>
          <w:p/>
        </w:tc>
        <w:tc>
          <w:tcPr>
            <w:tcW w:type="dxa" w:w="1474"/>
            <w:tcBorders/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82" w:right="282" w:firstLine="0"/>
              <w:jc w:val="right"/>
            </w:pPr>
            <w:r>
              <w:rPr>
                <w:rFonts w:ascii="MyriadPro" w:hAnsi="MyriadPro" w:eastAsia="MyriadPro"/>
                <w:b/>
                <w:i/>
                <w:color w:val="221F1F"/>
                <w:sz w:val="18"/>
              </w:rPr>
              <w:t>Revenues</w:t>
            </w:r>
          </w:p>
        </w:tc>
        <w:tc>
          <w:tcPr>
            <w:tcW w:type="dxa" w:w="2300"/>
            <w:gridSpan w:val="2"/>
            <w:vMerge/>
            <w:tcBorders/>
          </w:tcPr>
          <w:p/>
        </w:tc>
        <w:tc>
          <w:tcPr>
            <w:tcW w:type="dxa" w:w="1478"/>
            <w:tcBorders/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80" w:right="180" w:firstLine="0"/>
              <w:jc w:val="left"/>
            </w:pPr>
            <w:r>
              <w:rPr>
                <w:rFonts w:ascii="MyriadPro" w:hAnsi="MyriadPro" w:eastAsia="MyriadPro"/>
                <w:b/>
                <w:i/>
                <w:color w:val="221F1F"/>
                <w:sz w:val="18"/>
              </w:rPr>
              <w:t>Expenditures</w:t>
            </w:r>
          </w:p>
        </w:tc>
      </w:tr>
      <w:tr>
        <w:trPr>
          <w:trHeight w:hRule="exact" w:val="236"/>
        </w:trPr>
        <w:tc>
          <w:tcPr>
            <w:tcW w:type="dxa" w:w="3062"/>
            <w:gridSpan w:val="2"/>
            <w:tcBorders/>
            <w:shd w:fill="32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5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221F1F"/>
                <w:sz w:val="14"/>
              </w:rPr>
              <w:t>(1)</w:t>
            </w:r>
          </w:p>
        </w:tc>
        <w:tc>
          <w:tcPr>
            <w:tcW w:type="dxa" w:w="1814"/>
            <w:gridSpan w:val="2"/>
            <w:tcBorders/>
            <w:shd w:fill="32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5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221F1F"/>
                <w:sz w:val="14"/>
              </w:rPr>
              <w:t>(2)</w:t>
            </w:r>
          </w:p>
        </w:tc>
        <w:tc>
          <w:tcPr>
            <w:tcW w:type="dxa" w:w="1814"/>
            <w:gridSpan w:val="2"/>
            <w:tcBorders/>
            <w:shd w:fill="32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5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221F1F"/>
                <w:sz w:val="14"/>
              </w:rPr>
              <w:t>(3)</w:t>
            </w:r>
          </w:p>
        </w:tc>
      </w:tr>
      <w:tr>
        <w:trPr>
          <w:trHeight w:hRule="exact" w:val="198"/>
        </w:trPr>
        <w:tc>
          <w:tcPr>
            <w:tcW w:type="dxa" w:w="669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" w:after="0"/>
              <w:ind w:left="58" w:right="58" w:firstLine="0"/>
              <w:jc w:val="left"/>
            </w:pPr>
            <w:r>
              <w:rPr>
                <w:w w:val="98.92218907674155"/>
                <w:rFonts w:ascii="MyriadPro" w:hAnsi="MyriadPro" w:eastAsia="MyriadPro"/>
                <w:b/>
                <w:i w:val="0"/>
                <w:color w:val="221F1F"/>
                <w:sz w:val="15"/>
              </w:rPr>
              <w:t>Kabupaten/</w:t>
            </w:r>
            <w:r>
              <w:rPr>
                <w:w w:val="98.92218907674155"/>
                <w:rFonts w:ascii="MyriadPro" w:hAnsi="MyriadPro" w:eastAsia="MyriadPro"/>
                <w:b/>
                <w:i/>
                <w:color w:val="221F1F"/>
                <w:sz w:val="15"/>
              </w:rPr>
              <w:t>Regency</w:t>
            </w:r>
          </w:p>
        </w:tc>
      </w:tr>
      <w:tr>
        <w:trPr>
          <w:trHeight w:hRule="exact" w:val="4932"/>
        </w:trPr>
        <w:tc>
          <w:tcPr>
            <w:tcW w:type="dxa" w:w="30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Pacitan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Ponorogo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Trenggalek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Tulungagung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Blitar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Kediri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Malang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 xml:space="preserve">Lumajang 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Jember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Banyuwangi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Bondowoso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Situbondo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Probolinggo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Pasuruan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Sidoarjo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Mojokerto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Jombang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Nganjuk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Madiun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Magetan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Ngawi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Bojonegoro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Tuban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Lamongan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Gresik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Bangkalan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Sampang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Pamekasan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Sumenep</w:t>
            </w:r>
          </w:p>
          <w:p>
            <w:pPr>
              <w:autoSpaceDN w:val="0"/>
              <w:autoSpaceDE w:val="0"/>
              <w:widowControl/>
              <w:spacing w:line="120" w:lineRule="exact" w:before="0" w:after="0"/>
              <w:ind w:left="58" w:right="58" w:firstLine="0"/>
              <w:jc w:val="left"/>
            </w:pPr>
            <w:r>
              <w:rPr>
                <w:w w:val="98.92218907674155"/>
                <w:rFonts w:ascii="MyriadPro" w:hAnsi="MyriadPro" w:eastAsia="MyriadPro"/>
                <w:b/>
                <w:i w:val="0"/>
                <w:color w:val="221F1F"/>
                <w:sz w:val="15"/>
              </w:rPr>
              <w:t>Kota/</w:t>
            </w:r>
            <w:r>
              <w:rPr>
                <w:w w:val="98.92218907674155"/>
                <w:rFonts w:ascii="MyriadPro" w:hAnsi="MyriadPro" w:eastAsia="MyriadPro"/>
                <w:b/>
                <w:i/>
                <w:color w:val="221F1F"/>
                <w:sz w:val="15"/>
              </w:rPr>
              <w:t>Municipality</w:t>
            </w:r>
          </w:p>
        </w:tc>
        <w:tc>
          <w:tcPr>
            <w:tcW w:type="dxa" w:w="18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1 615 114 387 846,00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2 280 253 624 958,67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1 783 656 956 465,47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2 584 915 681 735,77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2 361 756 636 564,51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2 722 803 932 568,56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3 800 114 750 714,82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2 094 116 512 299,30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3 601 294 429 685,50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3 112 910 584 037,82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2 054 792 275 602,83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1 729 391 756 376,90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2 150 613 638 624,38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3 258 476 590 551,69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4 124 471 103 455,83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2 392 324 886 534,77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2 489 476 899 944,85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2 324 690 319 859,31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1 788 177 228 001,00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1 746 041 429 722,08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1 992 494 803 197,85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3 350 746 300 371,78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2 325 695 728 754,10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2 904 681 838 535,00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2 870 853 525 257,00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2 071 928 257 959,40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1 713 487 271 710,06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1 761 281 131 744,00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2 231 188 899 160,00</w:t>
            </w:r>
          </w:p>
        </w:tc>
        <w:tc>
          <w:tcPr>
            <w:tcW w:type="dxa" w:w="18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1 665 549 144 945,82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2 322 805 767 564,09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1 946 046 774 834,78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2 800 598 386 012,13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2 456 663 058 142,18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3 149 740 395 312,47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4 050 668 474 662,23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2 256 619 621 618,47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4 163 624 940 931,97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2 932 152 201 493,82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2 171 884 322 387,31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1 849 288 303 240,09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2 325 106 278 976,72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3 376 868 296 332,53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5 005 097 845 031,35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2 672 024 585 315,54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2 832 829 111 562,94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2 617 124 429 605,65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1 812 000 389 361,00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1 921 830 391 205,08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2 172 957 671 262,18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3 628 531 299 762,72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2 596 899 799 569,44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2 950 680 611 024,51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3 036 339 122 030,74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2 260 903 470 049,51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1 834 655 838 274,49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2 138 127 562 564,00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2 486 861 383 624,00</w:t>
            </w:r>
          </w:p>
        </w:tc>
      </w:tr>
      <w:tr>
        <w:trPr>
          <w:trHeight w:hRule="exact" w:val="1514"/>
        </w:trPr>
        <w:tc>
          <w:tcPr>
            <w:tcW w:type="dxa" w:w="30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Kediri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Blitar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Malang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Probolinggo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Pasuruan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Mojokerto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Madiun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Surabaya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124" w:right="124" w:firstLine="0"/>
              <w:jc w:val="lef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Batu</w:t>
            </w:r>
          </w:p>
        </w:tc>
        <w:tc>
          <w:tcPr>
            <w:tcW w:type="dxa" w:w="18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1 225 131 169 223,25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844 692 292 324,05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1 986 432 106 698,91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833 603 523 833,37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860 332 267 210,24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903 893 040 082,00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977 096 842 937,00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927 740 607 523,39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8 079 142 194 268,00</w:t>
            </w:r>
          </w:p>
        </w:tc>
        <w:tc>
          <w:tcPr>
            <w:tcW w:type="dxa" w:w="18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1 425 225 617 136,69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972 204 365 136,51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2 360 831 551 277,57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907 766 807 435,83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1 006 333 411 941,04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978 603 405 644,03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1 285 587 599 826,46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1 066 290 673 712,87</w:t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26" w:right="226" w:firstLine="0"/>
              <w:jc w:val="right"/>
            </w:pPr>
            <w:r>
              <w:rPr>
                <w:w w:val="98.92196655273438"/>
                <w:rFonts w:ascii="MyriadPro" w:hAnsi="MyriadPro" w:eastAsia="MyriadPro"/>
                <w:b w:val="0"/>
                <w:i w:val="0"/>
                <w:color w:val="221F1F"/>
                <w:sz w:val="18"/>
              </w:rPr>
              <w:t>9 268 450 333 673,00</w:t>
            </w:r>
          </w:p>
        </w:tc>
      </w:tr>
      <w:tr>
        <w:trPr>
          <w:trHeight w:hRule="exact" w:val="250"/>
        </w:trPr>
        <w:tc>
          <w:tcPr>
            <w:tcW w:type="dxa" w:w="3062"/>
            <w:gridSpan w:val="2"/>
            <w:tcBorders/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0" w:right="0" w:firstLine="0"/>
              <w:jc w:val="center"/>
            </w:pPr>
            <w:r>
              <w:rPr>
                <w:w w:val="98.92196655273438"/>
                <w:rFonts w:ascii="MyriadPro" w:hAnsi="MyriadPro" w:eastAsia="MyriadPro"/>
                <w:b/>
                <w:i w:val="0"/>
                <w:color w:val="221F1F"/>
                <w:sz w:val="18"/>
              </w:rPr>
              <w:t>Jawa Timur</w:t>
            </w:r>
          </w:p>
        </w:tc>
        <w:tc>
          <w:tcPr>
            <w:tcW w:type="dxa" w:w="1814"/>
            <w:gridSpan w:val="2"/>
            <w:tcBorders/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0" w:right="0" w:firstLine="0"/>
              <w:jc w:val="center"/>
            </w:pPr>
            <w:r>
              <w:rPr>
                <w:w w:val="98.92196655273438"/>
                <w:rFonts w:ascii="MyriadPro" w:hAnsi="MyriadPro" w:eastAsia="MyriadPro"/>
                <w:b/>
                <w:i w:val="0"/>
                <w:color w:val="221F1F"/>
                <w:sz w:val="18"/>
              </w:rPr>
              <w:t>87 875 815 426 339,50</w:t>
            </w:r>
          </w:p>
        </w:tc>
        <w:tc>
          <w:tcPr>
            <w:tcW w:type="dxa" w:w="1814"/>
            <w:gridSpan w:val="2"/>
            <w:tcBorders/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0" w:right="0" w:firstLine="0"/>
              <w:jc w:val="center"/>
            </w:pPr>
            <w:r>
              <w:rPr>
                <w:w w:val="98.92196655273438"/>
                <w:rFonts w:ascii="MyriadPro" w:hAnsi="MyriadPro" w:eastAsia="MyriadPro"/>
                <w:b/>
                <w:i w:val="0"/>
                <w:color w:val="221F1F"/>
                <w:sz w:val="18"/>
              </w:rPr>
              <w:t>96 705 773 242 481,70</w:t>
            </w:r>
          </w:p>
        </w:tc>
      </w:tr>
      <w:tr>
        <w:trPr>
          <w:trHeight w:hRule="exact" w:val="730"/>
        </w:trPr>
        <w:tc>
          <w:tcPr>
            <w:tcW w:type="dxa" w:w="6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52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FFFFFF"/>
                <w:sz w:val="18"/>
              </w:rPr>
              <w:t>32</w:t>
            </w:r>
          </w:p>
        </w:tc>
        <w:tc>
          <w:tcPr>
            <w:tcW w:type="dxa" w:w="607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26" w:after="0"/>
              <w:ind w:left="202" w:right="202" w:firstLine="0"/>
              <w:jc w:val="left"/>
            </w:pPr>
            <w:r>
              <w:rPr>
                <w:rFonts w:ascii="MyriadPro" w:hAnsi="MyriadPro" w:eastAsia="MyriadPro"/>
                <w:b w:val="0"/>
                <w:i/>
                <w:color w:val="00ADEF"/>
                <w:sz w:val="20"/>
              </w:rPr>
              <w:t>Jawa Timur Province in Figures 2020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8391" w:h="11906"/>
      <w:pgMar w:top="210" w:right="824" w:bottom="314" w:left="6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