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CD777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Kategori</w:t>
      </w:r>
      <w:proofErr w:type="spellEnd"/>
    </w:p>
    <w:p w:rsidR="00A434F1" w:rsidRDefault="00A434F1" w:rsidP="00A434F1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1FC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Sampai publikasi Rosch pada tahun 1970-an dari karyanya yang penting tentang kategori dan kategorisasi (Rosch, 1973, 1975), penelitian di bidang kategorisasi telah berfokus pada pembentukan konsep </w:t>
      </w:r>
      <w:r w:rsidRPr="00FD01FC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bukan sebagai proses penciptaan, </w:t>
      </w:r>
      <w:r w:rsidRPr="00FD01FC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tetapi sebagai proses pengenala</w:t>
      </w:r>
      <w:r w:rsidRPr="00FD01FC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n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. Dunia pengalaman diasumsikan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terdiri dari sekumpulan kategori yang telah ditentukan sebelumnya, masing-masing ditentukan oleh sekumpulan fitur penting yang diwakili oleh label kategori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; d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an semua anggota yang diberikan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kategori diasumsikan berbagi satu set fi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tur penting yang diidentifikasi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oleh label kategori dan dapat dipahami oleh semua anggota komunitas linguistik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:rsidR="00CD777B" w:rsidRDefault="00A434F1" w:rsidP="0078123E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</w:pPr>
      <w:r>
        <w:br/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Jadi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Hull (1920)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menulis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tentang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penemuan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makna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anak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dalam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kata "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anjing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"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sebagai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pengakuan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bertahap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dari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konsep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yang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sudah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sebelumnya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tidak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berubah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: "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Pengalaman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'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anjing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'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muncul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pada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interval yang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tidak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proofErr w:type="gram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teratur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 . . .</w:t>
      </w:r>
      <w:proofErr w:type="gram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Lama-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kelamaan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tiba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saatnya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ketika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si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anak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memiliki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'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makna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'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untuk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kata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anjing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.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Setelah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diteliti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makna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ini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ternyata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merupakan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karakteristik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lebih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atau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kurang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umum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untuk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semua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anjing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tidak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umum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untuk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kucing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boneka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dan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'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boneka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beruang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' "(Hull, 1920,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hlm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. 5–6;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dikutip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dalam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Brown, 1979, </w:t>
      </w:r>
      <w:proofErr w:type="spellStart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hal</w:t>
      </w:r>
      <w:proofErr w:type="spellEnd"/>
      <w:r w:rsidRPr="00A434F1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 188).</w:t>
      </w:r>
    </w:p>
    <w:p w:rsidR="00A434F1" w:rsidRPr="00A434F1" w:rsidRDefault="00A434F1" w:rsidP="00A434F1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Anggapan bahwa suatu kategori ditentukan oleh seperangkat definisi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kriteria dikenal sebagai "teori kateg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ori klasik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". Ini sederhana tapi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teori kuat yang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bertumpu pada tiga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proposisi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dasar (Smith &amp; Medin,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1981; lihat juga Taylor, 1989):</w:t>
      </w:r>
    </w:p>
    <w:p w:rsidR="00A434F1" w:rsidRPr="00A434F1" w:rsidRDefault="00A434F1" w:rsidP="00A434F1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1. Intensi suatu kategori adalah represen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tasi ringkasan dari keseluruhan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kategori entitas.</w:t>
      </w:r>
    </w:p>
    <w:p w:rsidR="00A434F1" w:rsidRPr="00A434F1" w:rsidRDefault="00A434F1" w:rsidP="00A434F1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2. Ciri-ciri penting yang membentuk intensi suatu kategori s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ecara individual diperlukan dan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cukup bersa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ma untuk menentukan keanggotaan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dalam kategori.</w:t>
      </w:r>
    </w:p>
    <w:p w:rsidR="00A434F1" w:rsidRDefault="00A434F1" w:rsidP="00A434F1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3. Jika kategori (A) bersarang dalam 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kategori superordinat (B), maka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fitur-fitur yang mendefinisikan kategori (B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) terdapat dalam kumpulan fitur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434F1">
        <w:rPr>
          <w:rFonts w:ascii="Times New Roman" w:hAnsi="Times New Roman" w:cs="Times New Roman"/>
          <w:color w:val="222222"/>
          <w:sz w:val="24"/>
          <w:szCs w:val="24"/>
          <w:lang w:val="id-ID"/>
        </w:rPr>
        <w:t>yang mendefinisikan kategori (A).</w:t>
      </w:r>
    </w:p>
    <w:p w:rsidR="0078123E" w:rsidRPr="00A434F1" w:rsidRDefault="0078123E" w:rsidP="00A434F1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</w:p>
    <w:p w:rsidR="0078123E" w:rsidRDefault="0078123E" w:rsidP="0078123E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Proposisi I menyatakan bahwa definisi (intensi) dari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suatu kategori adalah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penyatuan fitur-fitur penting yang mengiden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tifikasi keanggotaan (ekstensi)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kategori itu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. Selanjutnya karena se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mua anggota satu kategori pasti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berbagi serangkaian fitur penting ini, se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tiap anggota sama-sama mewakili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kategori secara keseluruhan. Untuk alasan ini, struktur internal suatu kategori dikatakan tidak dinilai, atau tanpa pangkat, kare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na tidak ada anggota yang dapat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lebih khas atau lebih mewakili kategori daripada anggota lainnya.</w:t>
      </w:r>
    </w:p>
    <w:p w:rsidR="0078123E" w:rsidRDefault="0078123E" w:rsidP="0078123E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</w:p>
    <w:p w:rsidR="0078123E" w:rsidRPr="0078123E" w:rsidRDefault="0078123E" w:rsidP="0078123E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lastRenderedPageBreak/>
        <w:t>Proposisi II menyatakan bahwa, karena setiap anggota kategori harus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menunjukkan semua fitur penting yang terdiri dari intensi kategori, kepemilikan se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rangkaian fitur yang menentukan kategori sudah cukup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untuk menentukan keanggotaan dalam kategori. Dan, karena ada biner,</w:t>
      </w:r>
    </w:p>
    <w:p w:rsidR="0078123E" w:rsidRDefault="0078123E" w:rsidP="0078123E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salah satu / atau hubungan yang ada antara entitas dan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kategori sedemikian rupa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suatu entitas adalah anggota dari kategori tertentu atau bukan, batasan kategori dikatakan tetap dan kaku.</w:t>
      </w:r>
    </w:p>
    <w:p w:rsidR="0078123E" w:rsidRDefault="0078123E" w:rsidP="0078123E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</w:p>
    <w:p w:rsidR="0078123E" w:rsidRDefault="0078123E" w:rsidP="0078123E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Proposisi III mengidentifikasi hubungan warisan yang ada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antara kategori dalam struktur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hierarki: setiap anggota kategori 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yang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adalah bagian d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ari kategori superordinat harus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menunjukkan tidak hanya kumpulan fitur penting yang menentukan keanggotaan da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lam subset tetapi juga kumpulan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fitur penting yang menentukan keanggotaan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dalam kategori superordinat di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mana subset bersarang</w:t>
      </w:r>
    </w:p>
    <w:p w:rsidR="0078123E" w:rsidRDefault="0078123E" w:rsidP="0078123E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</w:p>
    <w:p w:rsidR="0078123E" w:rsidRPr="00E319D9" w:rsidRDefault="0078123E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</w:pP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Dalam bentuknya yang paling mendasar,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kategoris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asi dapat didefinisikan sebagai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penempatan entitas dalam kelompok yang anggotanya memiliki b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eberapa kesamaan satu sama lain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lain.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Namun, dalam 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kerangka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teori kategori klasik,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kategorisasi adalah proses membag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i dunia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pengalaman secara sistematis ke dalam struktur kategori yang diformalkan dan berpotensi hierarkis, yang masing-masing ditentukan oleh seran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gkaian fitur penting yang unik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Karena intensi suatu kategori mendefinisik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an sekumpulan fitur penting itu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setiap anggota kategori harus memamerkan,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demikian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pendapat teori klasik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bahwa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intensi sama dengan perluasan — bahwa </w:t>
      </w:r>
      <w:r w:rsidRPr="001925D1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keanggotaan dalam kategori tertentu (ekstensi) memerlukan kepemilikan karakter esensial dan penentu (intensi) kategori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. Misalnya,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jika intensi kategori "burung" terdiri dari fitur "bertelur",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 "memiliki sayap", "</w:t>
      </w:r>
      <w:proofErr w:type="spellStart"/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terbang</w:t>
      </w:r>
      <w:proofErr w:type="spellEnd"/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", dan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“Membangun sarang di tempat-tempat tinggi,” setiap anggota kategori harus mencontohkan rangkaian fitur penentu yang lengkap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.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Jika sebuah entit</w:t>
      </w:r>
      <w:r w:rsidR="00FD01FC"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as tidak terbang, ia tidak bisa</w:t>
      </w:r>
      <w:r w:rsidR="00FD01FC"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diberi keanggotaan dalam kategori "burung" meskipun ia bertelur, miliki</w:t>
      </w:r>
    </w:p>
    <w:p w:rsidR="0078123E" w:rsidRDefault="0078123E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sayap, dan membangun sarang di tempat tinggi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. Dan, karena semua anggota kategori ditentukan oleh sekumpulan fitur yang sama, tidak ada satu burung pun yang lebih khas atau lebih mewakili kategori tersebut daripada burung lainnya.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Jadi, menurut teori klasik, burung beo, m</w:t>
      </w:r>
      <w:r w:rsidR="00FD01FC"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erpati, dan puffin akan menjadi</w:t>
      </w:r>
      <w:r w:rsidR="00FD01FC"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sama-sama mewakili kategori "burung"</w:t>
      </w:r>
      <w:r w:rsidRPr="0078123E">
        <w:rPr>
          <w:rFonts w:ascii="Times New Roman" w:hAnsi="Times New Roman" w:cs="Times New Roman"/>
          <w:color w:val="222222"/>
          <w:sz w:val="24"/>
          <w:szCs w:val="24"/>
          <w:lang w:val="id-ID"/>
        </w:rPr>
        <w:t>.</w:t>
      </w:r>
    </w:p>
    <w:p w:rsidR="00FD01FC" w:rsidRDefault="00FD01FC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</w:p>
    <w:p w:rsidR="00FD01FC" w:rsidRDefault="00FD01FC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Brown (1979)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mengamati bahwa dalam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tatanan realitas yang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diformalkan dan dibatasi secara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kaku yang ditetap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kan oleh teori klasik, kategori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keanggotaan adalah mutlak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: “. . . hal tertentu 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ada 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lastRenderedPageBreak/>
        <w:t>di dalam atau di luar set "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(hal. 189). Ketetapan inilah yang menjadi sumber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kekuatan penjelas teori klasik: karena itu mensyaratkan bahwa inten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si sama dengan ekstensi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—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bahwa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keanggotaan dalam suatu kategori menunjukka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n kepemilikan himpunan esensial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fitur yang menentukan kategori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— teori kategori klasik akan melakukannya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>memberikan penjelasan sederhana namun elega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n untuk kedua struktur internal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>representasi kognitif dan arti semantik kata-kata.</w:t>
      </w:r>
    </w:p>
    <w:p w:rsidR="00FD01FC" w:rsidRDefault="00FD01FC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</w:p>
    <w:p w:rsidR="00FD01FC" w:rsidRDefault="00FD01FC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>Sampai saat ini, teori klasik tentang kategori mencontohkan "hak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cara 'untuk berpikir tentang kategori, konsep, dan klasifikasi 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>"(Gardner, 1987,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p. 340).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Tetapi penelitian empiris yang dilakukan selama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tiga puluh tahun terakhir telah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menantang validitas asumsi yang mendasari teori ini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.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Kritikus teori klasik berpendapat bahw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a ketidakmampuan mata pelajaran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untuk mengidentifikasi karakteristik yang menentukan suat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u entitas</w:t>
      </w:r>
      <w:r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(Hampton, 1979; Rosch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D01FC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&amp; Mervis, 1975) tidak hanya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asumsi bahwa himpuna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 xml:space="preserve">n fitur penting yang menentukan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keanggotaan kat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egori adalah mutlak tetapi juga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mempertanyakan gagasan bahwa fitur ini tersedia dan dapa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t ditentukan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E319D9">
        <w:rPr>
          <w:rFonts w:ascii="Times New Roman" w:hAnsi="Times New Roman" w:cs="Times New Roman"/>
          <w:color w:val="222222"/>
          <w:sz w:val="24"/>
          <w:szCs w:val="24"/>
          <w:highlight w:val="yellow"/>
          <w:lang w:val="id-ID"/>
        </w:rPr>
        <w:t>oleh semua anggota komunitas linguistik.</w:t>
      </w:r>
      <w:bookmarkStart w:id="0" w:name="_GoBack"/>
      <w:bookmarkEnd w:id="0"/>
    </w:p>
    <w:p w:rsidR="00FD01FC" w:rsidRPr="00FD01FC" w:rsidRDefault="00FD01FC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  <w:r>
        <w:br/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Peragaan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efek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tipikalitas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bertingkat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—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pengamatan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yang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dilakukan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subjek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untuk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menilai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anggota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tertentu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lebih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mewakili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suatu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daripada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yang lain (McCloskey &amp;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Glucksberg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1978; Rips,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Shoben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&amp; Smith, 1973;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Rosch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, 1973, 1975) —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mengontrover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Asumsi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bahwa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struktur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tidak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dinilai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karena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semua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anggota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mewakili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yang </w:t>
      </w:r>
      <w:proofErr w:type="spellStart"/>
      <w:proofErr w:type="gram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ama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. Ada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bukti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juga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subjek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itu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dapat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memberi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peringkat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baik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anggota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maupun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nonangg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ota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pada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satu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kontinum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keterwakilan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.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Misalnya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Barsalou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(1987)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mendemonstrasikan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bahwa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subjek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dapat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menentukan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peringkat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robin,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merpati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burung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unta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kupu-kupu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kursi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pada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satu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kontinum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keterwakilan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untuk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tersebut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“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Burung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” —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suatu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kontinum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yang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membentang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anggota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yang paling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khas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(robin)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hingga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anggota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(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kursi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) yang paling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tidak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lazim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.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Bukti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untuk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dinilai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struktur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menunjukkan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kurangnya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batasan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tetap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pasti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yang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memisahkan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anggota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nonanggota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;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ditopang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seperti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dengan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demonstrasi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keanggotaan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berdasarkan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kemiripan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keluarga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(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Rosch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&amp;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Mervis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, 1975),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struktur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bertingkat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meragukan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asumsi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klasik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bahwa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ada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hubungan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inklusi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/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eksklusi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eksplisit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antara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entitas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dan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kategori</w:t>
      </w:r>
      <w:proofErr w:type="spellEnd"/>
      <w:r w:rsidRPr="00FD01F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.</w:t>
      </w:r>
    </w:p>
    <w:p w:rsidR="00FD01FC" w:rsidRPr="00FD01FC" w:rsidRDefault="00FD01FC" w:rsidP="00FD01FC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color w:val="222222"/>
          <w:sz w:val="24"/>
          <w:szCs w:val="24"/>
          <w:lang w:val="id-ID"/>
        </w:rPr>
      </w:pPr>
    </w:p>
    <w:p w:rsidR="00A434F1" w:rsidRPr="0078123E" w:rsidRDefault="00A434F1" w:rsidP="0078123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434F1" w:rsidRPr="00781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7B"/>
    <w:rsid w:val="001925D1"/>
    <w:rsid w:val="003370C5"/>
    <w:rsid w:val="0078123E"/>
    <w:rsid w:val="00A434F1"/>
    <w:rsid w:val="00B07BFD"/>
    <w:rsid w:val="00CD777B"/>
    <w:rsid w:val="00E31233"/>
    <w:rsid w:val="00E319D9"/>
    <w:rsid w:val="00F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CF1CF-1D73-4173-A953-B74D369C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2020-09-21T10:39:00Z</dcterms:created>
  <dcterms:modified xsi:type="dcterms:W3CDTF">2020-09-21T12:20:00Z</dcterms:modified>
</cp:coreProperties>
</file>