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begin"/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instrText xml:space="preserve"> HYPERLINK "http://en.wikipedia.org/wiki/Two-factor_theory" \o "Two factor theory" </w:instrTex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separate"/>
      </w:r>
      <w:proofErr w:type="spellStart"/>
      <w:r w:rsidRPr="007C6016">
        <w:rPr>
          <w:rFonts w:ascii="inherit" w:eastAsia="Times New Roman" w:hAnsi="inherit" w:cs="Times New Roman"/>
          <w:b/>
          <w:bCs/>
          <w:color w:val="E64946"/>
          <w:sz w:val="21"/>
          <w:szCs w:val="21"/>
          <w:bdr w:val="none" w:sz="0" w:space="0" w:color="auto" w:frame="1"/>
        </w:rPr>
        <w:t>Teori</w:t>
      </w:r>
      <w:proofErr w:type="spellEnd"/>
      <w:r w:rsidRPr="007C6016">
        <w:rPr>
          <w:rFonts w:ascii="inherit" w:eastAsia="Times New Roman" w:hAnsi="inherit" w:cs="Times New Roman"/>
          <w:b/>
          <w:bCs/>
          <w:color w:val="E649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C6016">
        <w:rPr>
          <w:rFonts w:ascii="inherit" w:eastAsia="Times New Roman" w:hAnsi="inherit" w:cs="Times New Roman"/>
          <w:b/>
          <w:bCs/>
          <w:color w:val="E64946"/>
          <w:sz w:val="21"/>
          <w:szCs w:val="21"/>
          <w:bdr w:val="none" w:sz="0" w:space="0" w:color="auto" w:frame="1"/>
        </w:rPr>
        <w:t>Dua</w:t>
      </w:r>
      <w:proofErr w:type="spellEnd"/>
      <w:r w:rsidRPr="007C6016">
        <w:rPr>
          <w:rFonts w:ascii="inherit" w:eastAsia="Times New Roman" w:hAnsi="inherit" w:cs="Times New Roman"/>
          <w:b/>
          <w:bCs/>
          <w:color w:val="E649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C6016">
        <w:rPr>
          <w:rFonts w:ascii="inherit" w:eastAsia="Times New Roman" w:hAnsi="inherit" w:cs="Times New Roman"/>
          <w:b/>
          <w:bCs/>
          <w:color w:val="E64946"/>
          <w:sz w:val="21"/>
          <w:szCs w:val="21"/>
          <w:bdr w:val="none" w:sz="0" w:space="0" w:color="auto" w:frame="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end"/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juga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dikenal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Herzberg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atau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hygiene-motivator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dikembangkan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 w:rsidRPr="007C6016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Frederick Irving Herzberg 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(1923-2000),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seorang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psikolog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asal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Amerika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Serikat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 </w:t>
      </w:r>
      <w:proofErr w:type="spellStart"/>
      <w:proofErr w:type="gram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Ia</w:t>
      </w:r>
      <w:proofErr w:type="spellEnd"/>
      <w:proofErr w:type="gram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dianggap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salah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satu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pemikir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besar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bidang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manajemen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Frederick Herzberg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menyatakan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bahwa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tertentu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tempat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menyebabkan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sementara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bagian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lain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pula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lain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menyebabkan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ketidakpuasan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kata lain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ketidakpuasan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berhubungan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satu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sama</w:t>
      </w:r>
      <w:proofErr w:type="spellEnd"/>
      <w:proofErr w:type="gram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lain.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tertentu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tempat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tersebut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Frederick Herzberg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diidentifikasi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hygiene factors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kesehatan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motivation factors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pemuas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).</w:t>
      </w:r>
    </w:p>
    <w:p w:rsidR="007C6016" w:rsidRPr="007C6016" w:rsidRDefault="007C6016" w:rsidP="007C6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016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drawing>
          <wp:inline distT="0" distB="0" distL="0" distR="0">
            <wp:extent cx="1435100" cy="1775460"/>
            <wp:effectExtent l="0" t="0" r="0" b="0"/>
            <wp:docPr id="2" name="Picture 2" descr="Frederick Herzberg IM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derick Herzberg IM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016">
        <w:rPr>
          <w:rFonts w:ascii="Times New Roman" w:eastAsia="Times New Roman" w:hAnsi="Times New Roman" w:cs="Times New Roman"/>
          <w:sz w:val="24"/>
          <w:szCs w:val="24"/>
        </w:rPr>
        <w:t>Frederick Herzberg. Courtesy: historiadaadministracao.com.br</w:t>
      </w:r>
    </w:p>
    <w:p w:rsidR="007C6016" w:rsidRPr="007C6016" w:rsidRDefault="007C6016" w:rsidP="007C601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Dua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Frederick Herzberg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dialamatkan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intrinsik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ekstrinsik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dimana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intrinsik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mendorong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termotivasi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yaitu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dorong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timbul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masing-masing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orang,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ekstrinsik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yaitu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dorong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datang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luar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seseorang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terutama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organisasi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tempatnya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merupakan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pengembangan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hirarki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kebutuhan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hyperlink r:id="rId7" w:tooltip="Abraham Maslow" w:history="1">
        <w:r w:rsidRPr="007C6016">
          <w:rPr>
            <w:rFonts w:ascii="inherit" w:eastAsia="Times New Roman" w:hAnsi="inherit" w:cs="Times New Roman"/>
            <w:b/>
            <w:bCs/>
            <w:color w:val="E64946"/>
            <w:sz w:val="21"/>
            <w:szCs w:val="21"/>
            <w:u w:val="single"/>
            <w:bdr w:val="none" w:sz="0" w:space="0" w:color="auto" w:frame="1"/>
          </w:rPr>
          <w:t>Maslow</w:t>
        </w:r>
      </w:hyperlink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Dan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juga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berhubungan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erat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proofErr w:type="gram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sosial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hyperlink r:id="rId8" w:tooltip="teori-tiga-motif-sosial" w:history="1">
        <w:r w:rsidRPr="007C6016">
          <w:rPr>
            <w:rFonts w:ascii="inherit" w:eastAsia="Times New Roman" w:hAnsi="inherit" w:cs="Times New Roman"/>
            <w:b/>
            <w:bCs/>
            <w:color w:val="E64946"/>
            <w:sz w:val="21"/>
            <w:szCs w:val="21"/>
            <w:u w:val="single"/>
            <w:bdr w:val="none" w:sz="0" w:space="0" w:color="auto" w:frame="1"/>
          </w:rPr>
          <w:t>McClelland</w:t>
        </w:r>
      </w:hyperlink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016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drawing>
          <wp:inline distT="0" distB="0" distL="0" distR="0">
            <wp:extent cx="2860040" cy="1956435"/>
            <wp:effectExtent l="0" t="0" r="0" b="5715"/>
            <wp:docPr id="1" name="Picture 1" descr="Two Factor Theory. Courtesy: research-methodology.net IM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 Factor Theory. Courtesy: research-methodology.net IM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016">
        <w:rPr>
          <w:rFonts w:ascii="Times New Roman" w:eastAsia="Times New Roman" w:hAnsi="Times New Roman" w:cs="Times New Roman"/>
          <w:sz w:val="24"/>
          <w:szCs w:val="24"/>
        </w:rPr>
        <w:t>Two Factor Theory. Courtesy: research-methodology.net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7C6016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Hygiene Factors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Hygiene factors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kesehatan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penting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tempat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tidak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mengarah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positif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jangka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panjang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Tetapi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jika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tidak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hadir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maka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muncul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ketidakpuasan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ekstrinsik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higienis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juga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disebut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dissatisfiers</w:t>
      </w:r>
      <w:proofErr w:type="spellEnd"/>
      <w:proofErr w:type="gram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atau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pemeliharaan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diperlukan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menghindari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ketidakpuasan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Hygiene factors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kesehatan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gambaran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kebutuhan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fisiologis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individu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diharapkan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dipenuhi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Hygiene factors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kesehatan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meliputi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gaji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kehidupan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pribadi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kualitas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supervisi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kondisi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jaminan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hubungan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antar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pribadi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kebijaksanaan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administrasi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perusahaan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7C6016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Motivation Factors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Menurut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Herzberg,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hygiene factors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kesehatan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tidak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dianggap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motivator.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harus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menghasilkan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positif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melekat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sebuah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kinerja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unggul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disebut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pemuas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hanya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menemukan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intrinsik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berharga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motivation factors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pemuas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). Para motivator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melambangkan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kebutuhan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psikologis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dirasakan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manfaat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tambahan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dikaitkan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mencakup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keberhasilan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pengakuan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menantang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peningkatan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pertumbuhan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7C6016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Kritik</w:t>
      </w:r>
      <w:proofErr w:type="spellEnd"/>
    </w:p>
    <w:p w:rsidR="007C6016" w:rsidRPr="007C6016" w:rsidRDefault="007C6016" w:rsidP="007C601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menurut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Cushway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Lodge, 1995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mengabaikan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biru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/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gaji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tidak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dimasukkan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mendapat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kritikan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para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ahli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kerah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biru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sering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kali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dilakukan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mereka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bukan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karena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intrinsik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mereka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peroleh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tetapi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kerena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memenuhi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kebutuhan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dasar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dua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juga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memiliki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keterbatasan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lain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yaitu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variabel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situasional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Herzberg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mengasumsikan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korelasi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antara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produktivitas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Namun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penelitian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dilakukan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Herzberg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menekankan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mengabaikan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produktivitas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Tidak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ukuran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komprehensif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digunakan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Seorang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mungkin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menemukan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diterima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meskipun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bahwa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ia</w:t>
      </w:r>
      <w:proofErr w:type="spellEnd"/>
      <w:proofErr w:type="gram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mungkin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membenci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obyek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dua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menurut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para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ahli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juga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tidak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bebas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bias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karena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didasarkan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reaksi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alami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mereka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ditanya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sumber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ketidakpuasan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tempat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Mereka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akan</w:t>
      </w:r>
      <w:proofErr w:type="spellEnd"/>
      <w:proofErr w:type="gram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menyalahkan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ketidakpuasan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eksternal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seperti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struktur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gaji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kebijakan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perusahaan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hubungan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lainnya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Juga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tentunya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subyektif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terhadap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mereka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sendiri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menilai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Meskipun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mendapatkan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kritik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namun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demikian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dua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Herzberg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diterima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secara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luas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oleh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para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ahli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C6016" w:rsidRPr="007C6016" w:rsidRDefault="007C6016" w:rsidP="007C6016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7C6016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Implikasi</w:t>
      </w:r>
      <w:proofErr w:type="spellEnd"/>
      <w:r w:rsidRPr="007C6016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C6016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Teori</w:t>
      </w:r>
      <w:proofErr w:type="spellEnd"/>
    </w:p>
    <w:p w:rsidR="007C6016" w:rsidRPr="007C6016" w:rsidRDefault="007C6016" w:rsidP="007C601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Dua-Faktor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menyiratkan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bahwa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manajer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harus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fokus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menjamin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kecukupan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 w:rsidRPr="007C6016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hygiene</w:t>
      </w:r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 (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kesehatan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guna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menghindari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ketidakpuasan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Juga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manajer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harus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memastikan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bahwa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sebagai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perangsang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bermanfaat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sehingga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termotivasi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untuk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melakukannya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lebih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lebih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baik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Teori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ini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menekankan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pengayaan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sehingga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Pekerjaan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harus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memanfaatkan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keterampilan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karyawan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kompetensi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mereka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secara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maksimal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Berfokus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faktor-faktor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motivasi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dapat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meningkatkan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kerja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berkualitas</w:t>
      </w:r>
      <w:proofErr w:type="spellEnd"/>
      <w:r w:rsidRPr="007C6016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512B49" w:rsidRDefault="006052BC"/>
    <w:p w:rsidR="006052BC" w:rsidRDefault="006052BC">
      <w:hyperlink r:id="rId11" w:history="1">
        <w:r>
          <w:rPr>
            <w:rStyle w:val="Hyperlink"/>
          </w:rPr>
          <w:t>http://perilakuorganisasi.com/teori-dua-faktor.html</w:t>
        </w:r>
      </w:hyperlink>
      <w:bookmarkStart w:id="0" w:name="_GoBack"/>
      <w:bookmarkEnd w:id="0"/>
    </w:p>
    <w:sectPr w:rsidR="0060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F49CA"/>
    <w:multiLevelType w:val="multilevel"/>
    <w:tmpl w:val="FF8AD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16"/>
    <w:rsid w:val="006052BC"/>
    <w:rsid w:val="007C6016"/>
    <w:rsid w:val="00B07BFD"/>
    <w:rsid w:val="00E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D748C-E458-4745-A96F-AB08EEE6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0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6016"/>
    <w:rPr>
      <w:b/>
      <w:bCs/>
    </w:rPr>
  </w:style>
  <w:style w:type="character" w:styleId="Emphasis">
    <w:name w:val="Emphasis"/>
    <w:basedOn w:val="DefaultParagraphFont"/>
    <w:uiPriority w:val="20"/>
    <w:qFormat/>
    <w:rsid w:val="007C60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ilakuorganisasi.com/teori-tiga-motif-sosi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erilakuorganisasi.com/teori-hirarki-kebutuhan-abraham-maslo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erilakuorganisasi.com/teori-dua-faktor.html" TargetMode="External"/><Relationship Id="rId5" Type="http://schemas.openxmlformats.org/officeDocument/2006/relationships/hyperlink" Target="http://perilakuorganisasi.com/wp-content/uploads/2012/11/Frederick-Herzberg-2.jp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perilakuorganisasi.com/wp-content/uploads/2012/11/Two-Factor-Theor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2020-02-13T04:56:00Z</dcterms:created>
  <dcterms:modified xsi:type="dcterms:W3CDTF">2020-02-13T04:57:00Z</dcterms:modified>
</cp:coreProperties>
</file>