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6"/>
          <w:szCs w:val="26"/>
        </w:rPr>
        <w:t xml:space="preserve">AJESA</w:t>
      </w:r>
    </w:p>
    <w:p>
      <w:pPr>
        <w:spacing w:after="120" w:line="300"/>
      </w:pPr>
      <w:r>
        <w:rPr>
          <w:i/>
          <w:iCs/>
          <w:sz w:val="22"/>
          <w:szCs w:val="22"/>
        </w:rPr>
        <w:t xml:space="preserve">Association des Jeunes Solidaires d'Amanikro</w:t>
      </w:r>
    </w:p>
    <w:p>
      <w:pPr>
        <w:spacing w:after="120" w:line="300"/>
      </w:pPr>
      <w:r>
        <w:rPr>
          <w:color w:val="595959"/>
          <w:sz w:val="20"/>
          <w:szCs w:val="20"/>
        </w:rPr>
        <w:t xml:space="preserve">Amanikro — Daloa — Haut-Sassandra</w:t>
      </w:r>
    </w:p>
    <w:p>
      <w:pPr>
        <w:spacing w:after="100" w:before="300"/>
      </w:pPr>
      <w:r>
        <w:rPr>
          <w:b/>
          <w:bCs/>
          <w:sz w:val="30"/>
          <w:szCs w:val="30"/>
        </w:rPr>
        <w:t xml:space="preserve">RÈGLEMENT INTÉRIEUR</w:t>
      </w:r>
    </w:p>
    <w:p>
      <w:pPr>
        <w:spacing w:after="300"/>
      </w:pPr>
      <w:r>
        <w:rPr>
          <w:b/>
          <w:bCs/>
          <w:sz w:val="24"/>
          <w:szCs w:val="24"/>
        </w:rPr>
        <w:t xml:space="preserve">de la Caisse d'Épargne et de Solidarité des Membres</w:t>
      </w:r>
    </w:p>
    <w:p>
      <w:pPr>
        <w:spacing w:after="120" w:line="300"/>
      </w:pPr>
      <w:r>
        <w:rPr>
          <w:b/>
          <w:bCs/>
          <w:sz w:val="24"/>
          <w:szCs w:val="24"/>
        </w:rPr>
        <w:t xml:space="preserve">« CAP / CESAM »</w:t>
      </w:r>
    </w:p>
    <w:p>
      <w:pPr>
        <w:spacing w:after="120" w:line="300"/>
      </w:pPr>
      <w:r>
        <w:rPr>
          <w:i/>
          <w:iCs/>
          <w:color w:val="595959"/>
          <w:sz w:val="20"/>
          <w:szCs w:val="20"/>
        </w:rPr>
        <w:t xml:space="preserve">Document annexé aux Statuts d'AJESA (article 43 bis)</w:t>
      </w:r>
    </w:p>
    <w:p>
      <w:pPr>
        <w:spacing w:after="120" w:line="300"/>
      </w:pPr>
      <w:r>
        <w:rPr>
          <w:i/>
          <w:iCs/>
          <w:color w:val="595959"/>
          <w:sz w:val="20"/>
          <w:szCs w:val="20"/>
        </w:rPr>
        <w:t xml:space="preserve">Réservé exclusivement aux membres cotisants d'AJESA</w:t>
      </w:r>
    </w:p>
    <w:p>
      <w:pPr>
        <w:spacing w:after="120" w:line="300"/>
      </w:pPr>
      <w:r>
        <w:rPr>
          <w:i/>
          <w:iCs/>
          <w:color w:val="2E7D32"/>
          <w:sz w:val="18"/>
          <w:szCs w:val="18"/>
        </w:rPr>
        <w:t xml:space="preserve">Version : 2.0 — 10 septembre 2026</w:t>
      </w:r>
    </w:p>
    <w:p>
      <w:pPr>
        <w:pStyle w:val="Heading1"/>
        <w:spacing w:after="200" w:before="400"/>
      </w:pPr>
      <w:r>
        <w:rPr>
          <w:b/>
          <w:bCs/>
          <w:color w:val="1F3864"/>
          <w:sz w:val="25"/>
          <w:szCs w:val="25"/>
        </w:rPr>
        <w:t xml:space="preserve">Préambule</w:t>
      </w:r>
    </w:p>
    <w:p>
      <w:pPr>
        <w:spacing w:after="120" w:line="300"/>
      </w:pPr>
      <w:r>
        <w:rPr>
          <w:sz w:val="22"/>
          <w:szCs w:val="22"/>
        </w:rPr>
        <w:t xml:space="preserve">Le présent règlement intérieur a pour objet d'organiser le fonctionnement de la Caisse d'Épargne et de Solidarité des Membres d'AJESA, ci-après désignée « la Caisse » ou « CAP/CESAM ». Il est établi conformément à l'article 43 bis des Statuts de l'Association des Jeunes Solidaires d'Amanikro (AJESA) et vient les compléter sur les questions relatives à l'épargne et au crédit interne.</w:t>
      </w:r>
    </w:p>
    <w:p>
      <w:pPr>
        <w:spacing w:after="120" w:line="300"/>
      </w:pPr>
      <w:r>
        <w:rPr>
          <w:sz w:val="22"/>
          <w:szCs w:val="22"/>
        </w:rPr>
        <w:t xml:space="preserve">La Caisse constitue un dispositif interne de solidarité entre membres. Elle n'est pas un établissement financier au sens de la réglementation sur les Systèmes Financiers Décentralisés (SFD) en vigueur en Côte d'Ivoire, dans la mesure où ses opérations sont strictement limitées aux membres cotisants d'AJESA à jour de leurs engagements, à l'exclusion de toute collecte d'épargne ou tout octroi de crédit auprès du public. </w:t>
      </w:r>
      <w:r>
        <w:rPr>
          <w:i/>
          <w:iCs/>
          <w:color w:val="595959"/>
          <w:sz w:val="22"/>
          <w:szCs w:val="22"/>
        </w:rPr>
        <w:t xml:space="preserve">Cette qualification est appréciée au regard de l'usage réel de la Caisse et fera l'objet d'une vérification périodique si son activité venait à se développer significativement.</w:t>
      </w:r>
    </w:p>
    <w:p>
      <w:pPr>
        <w:pStyle w:val="Heading1"/>
        <w:spacing w:after="200" w:before="400"/>
      </w:pPr>
      <w:r>
        <w:rPr>
          <w:b/>
          <w:bCs/>
          <w:color w:val="1F3864"/>
          <w:sz w:val="25"/>
          <w:szCs w:val="25"/>
        </w:rPr>
        <w:t xml:space="preserve">Titre I — Dispositions générales</w:t>
      </w:r>
    </w:p>
    <w:p>
      <w:pPr>
        <w:pStyle w:val="Heading2"/>
        <w:spacing w:after="100" w:before="220"/>
      </w:pPr>
      <w:r>
        <w:rPr>
          <w:b/>
          <w:bCs/>
          <w:sz w:val="22"/>
          <w:szCs w:val="22"/>
          <w:u w:val="single"/>
        </w:rPr>
        <w:t xml:space="preserve">Article 1 — Dénomination</w:t>
      </w:r>
    </w:p>
    <w:p>
      <w:pPr>
        <w:spacing w:after="120" w:line="300"/>
      </w:pPr>
      <w:r>
        <w:rPr>
          <w:sz w:val="22"/>
          <w:szCs w:val="22"/>
        </w:rPr>
        <w:t xml:space="preserve">La Caisse est dénommée « Caisse d'Appui et de Progrès » (CAP), également désignée sous le sigle CESAM (Caisse d'Épargne et de Solidarité des Membres d'AJESA). Le nom retenu par le Bureau peut être précisé en assemblée générale.</w:t>
      </w:r>
    </w:p>
    <w:p>
      <w:pPr>
        <w:pStyle w:val="Heading2"/>
        <w:spacing w:after="100" w:before="220"/>
      </w:pPr>
      <w:r>
        <w:rPr>
          <w:b/>
          <w:bCs/>
          <w:sz w:val="22"/>
          <w:szCs w:val="22"/>
          <w:u w:val="single"/>
        </w:rPr>
        <w:t xml:space="preserve">Article 2 — Objet</w:t>
      </w:r>
    </w:p>
    <w:p>
      <w:pPr>
        <w:spacing w:after="120" w:line="300"/>
      </w:pPr>
      <w:r>
        <w:rPr>
          <w:sz w:val="22"/>
          <w:szCs w:val="22"/>
        </w:rPr>
        <w:t xml:space="preserve">La Caisse a pour objet :</w:t>
      </w:r>
    </w:p>
    <w:p>
      <w:pPr>
        <w:pStyle w:val="ListParagraph"/>
        <w:numPr>
          <w:ilvl w:val="0"/>
          <w:numId w:val="2"/>
        </w:numPr>
        <w:spacing w:after="80" w:line="280"/>
      </w:pPr>
      <w:r>
        <w:rPr>
          <w:sz w:val="22"/>
          <w:szCs w:val="22"/>
        </w:rPr>
        <w:t xml:space="preserve">de collecter l'épargne volontaire des membres d'AJESA ;</w:t>
      </w:r>
    </w:p>
    <w:p>
      <w:pPr>
        <w:pStyle w:val="ListParagraph"/>
        <w:numPr>
          <w:ilvl w:val="0"/>
          <w:numId w:val="2"/>
        </w:numPr>
        <w:spacing w:after="80" w:line="280"/>
      </w:pPr>
      <w:r>
        <w:rPr>
          <w:sz w:val="22"/>
          <w:szCs w:val="22"/>
        </w:rPr>
        <w:t xml:space="preserve">d'octroyer des prêts aux membres pour financer des besoins sociaux (santé, scolarité, événements familiaux) ou des activités génératrices de revenus (AGR) ;</w:t>
      </w:r>
    </w:p>
    <w:p>
      <w:pPr>
        <w:pStyle w:val="ListParagraph"/>
        <w:numPr>
          <w:ilvl w:val="0"/>
          <w:numId w:val="2"/>
        </w:numPr>
        <w:spacing w:after="80" w:line="280"/>
      </w:pPr>
      <w:r>
        <w:rPr>
          <w:sz w:val="22"/>
          <w:szCs w:val="22"/>
        </w:rPr>
        <w:t xml:space="preserve">de renforcer la solidarité et l'entraide entre les membres de l'association ;</w:t>
      </w:r>
    </w:p>
    <w:p>
      <w:pPr>
        <w:pStyle w:val="ListParagraph"/>
        <w:numPr>
          <w:ilvl w:val="0"/>
          <w:numId w:val="2"/>
        </w:numPr>
        <w:spacing w:after="80" w:line="280"/>
      </w:pPr>
      <w:r>
        <w:rPr>
          <w:sz w:val="22"/>
          <w:szCs w:val="22"/>
        </w:rPr>
        <w:t xml:space="preserve">de contribuer, à terme, au financement des projets menés par l'AJESA dans ses domaines d'intervention prévus à l'article 7 des Statuts. </w:t>
      </w:r>
      <w:r>
        <w:rPr>
          <w:b/>
          <w:bCs/>
          <w:color w:val="2E7D32"/>
          <w:sz w:val="18"/>
          <w:szCs w:val="18"/>
        </w:rPr>
        <w:t xml:space="preserve">  [MODIFIÉ]</w:t>
      </w:r>
    </w:p>
    <w:p>
      <w:pPr>
        <w:pStyle w:val="Heading2"/>
        <w:spacing w:after="100" w:before="220"/>
      </w:pPr>
      <w:r>
        <w:rPr>
          <w:b/>
          <w:bCs/>
          <w:sz w:val="22"/>
          <w:szCs w:val="22"/>
          <w:u w:val="single"/>
        </w:rPr>
        <w:t xml:space="preserve">Article 3 — Champ d'application</w:t>
      </w:r>
    </w:p>
    <w:p>
      <w:pPr>
        <w:spacing w:after="120" w:line="300"/>
      </w:pPr>
      <w:r>
        <w:rPr>
          <w:sz w:val="22"/>
          <w:szCs w:val="22"/>
        </w:rPr>
        <w:t xml:space="preserve">Le présent règlement s'applique à tout membre d'AJESA à jour de ses cotisations souhaitant épargner et/ou solliciter un prêt auprès de la Caisse. L'adhésion à la Caisse est facultative mais réservée exclusivement aux membres de l'association ; elle n'est en aucun cas ouverte à des tiers non-membres.</w:t>
      </w:r>
    </w:p>
    <w:p>
      <w:pPr>
        <w:pStyle w:val="Heading1"/>
        <w:spacing w:after="200" w:before="400"/>
      </w:pPr>
      <w:r>
        <w:rPr>
          <w:b/>
          <w:bCs/>
          <w:color w:val="1F3864"/>
          <w:sz w:val="25"/>
          <w:szCs w:val="25"/>
        </w:rPr>
        <w:t xml:space="preserve">Titre II — Ressources de la Caisse</w:t>
      </w:r>
    </w:p>
    <w:p>
      <w:pPr>
        <w:pStyle w:val="Heading2"/>
        <w:spacing w:after="100" w:before="220"/>
      </w:pPr>
      <w:r>
        <w:rPr>
          <w:b/>
          <w:bCs/>
          <w:sz w:val="22"/>
          <w:szCs w:val="22"/>
          <w:u w:val="single"/>
        </w:rPr>
        <w:t xml:space="preserve">Article 4 — Origine des ressources</w:t>
      </w:r>
    </w:p>
    <w:p>
      <w:pPr>
        <w:spacing w:after="120" w:line="300"/>
      </w:pPr>
      <w:r>
        <w:rPr>
          <w:sz w:val="22"/>
          <w:szCs w:val="22"/>
        </w:rPr>
        <w:t xml:space="preserve">Les ressources de la Caisse proviennent :</w:t>
      </w:r>
    </w:p>
    <w:p>
      <w:pPr>
        <w:pStyle w:val="ListParagraph"/>
        <w:numPr>
          <w:ilvl w:val="0"/>
          <w:numId w:val="2"/>
        </w:numPr>
        <w:spacing w:after="80" w:line="280"/>
      </w:pPr>
      <w:r>
        <w:rPr>
          <w:sz w:val="22"/>
          <w:szCs w:val="22"/>
        </w:rPr>
        <w:t xml:space="preserve">des cotisations et dépôts d'épargne volontaires des membres, versés notamment par Mobile Money ;</w:t>
      </w:r>
    </w:p>
    <w:p>
      <w:pPr>
        <w:pStyle w:val="ListParagraph"/>
        <w:numPr>
          <w:ilvl w:val="0"/>
          <w:numId w:val="2"/>
        </w:numPr>
        <w:spacing w:after="80" w:line="280"/>
      </w:pPr>
      <w:r>
        <w:rPr>
          <w:sz w:val="22"/>
          <w:szCs w:val="22"/>
        </w:rPr>
        <w:t xml:space="preserve">des intérêts perçus sur les prêts accordés aux membres ;</w:t>
      </w:r>
    </w:p>
    <w:p>
      <w:pPr>
        <w:pStyle w:val="ListParagraph"/>
        <w:numPr>
          <w:ilvl w:val="0"/>
          <w:numId w:val="2"/>
        </w:numPr>
        <w:spacing w:after="80" w:line="280"/>
      </w:pPr>
      <w:r>
        <w:rPr>
          <w:sz w:val="22"/>
          <w:szCs w:val="22"/>
        </w:rPr>
        <w:t xml:space="preserve">le cas échéant, d'une dotation initiale ou d'un appui décidé par le Bureau exécutif d'AJESA ;</w:t>
      </w:r>
    </w:p>
    <w:p>
      <w:pPr>
        <w:pStyle w:val="ListParagraph"/>
        <w:numPr>
          <w:ilvl w:val="0"/>
          <w:numId w:val="2"/>
        </w:numPr>
        <w:spacing w:after="80" w:line="280"/>
      </w:pPr>
      <w:r>
        <w:rPr>
          <w:sz w:val="22"/>
          <w:szCs w:val="22"/>
        </w:rPr>
        <w:t xml:space="preserve">de dons ou subventions éventuels affectés à la Caisse par des partenaires.</w:t>
      </w:r>
    </w:p>
    <w:p>
      <w:pPr>
        <w:pStyle w:val="Heading2"/>
        <w:spacing w:after="100" w:before="220"/>
      </w:pPr>
      <w:r>
        <w:rPr>
          <w:b/>
          <w:bCs/>
          <w:sz w:val="22"/>
          <w:szCs w:val="22"/>
          <w:u w:val="single"/>
        </w:rPr>
        <w:t xml:space="preserve">Article 5 — Affectation</w:t>
      </w:r>
    </w:p>
    <w:p>
      <w:pPr>
        <w:spacing w:after="120" w:line="300"/>
      </w:pPr>
      <w:r>
        <w:rPr>
          <w:sz w:val="22"/>
          <w:szCs w:val="22"/>
        </w:rPr>
        <w:t xml:space="preserve">Les ressources de la Caisse sont exclusivement affectées à l'octroi de prêts aux membres et à la couverture des frais de gestion de la Caisse. Elles sont tenues séparément de la trésorerie générale d'AJESA dans une comptabilité dédiée.</w:t>
      </w:r>
    </w:p>
    <w:p>
      <w:pPr>
        <w:pStyle w:val="Heading1"/>
        <w:spacing w:after="200" w:before="400"/>
      </w:pPr>
      <w:r>
        <w:rPr>
          <w:b/>
          <w:bCs/>
          <w:color w:val="1F3864"/>
          <w:sz w:val="25"/>
          <w:szCs w:val="25"/>
        </w:rPr>
        <w:t xml:space="preserve">Titre III — Organes de gestion</w:t>
      </w:r>
    </w:p>
    <w:p>
      <w:pPr>
        <w:pStyle w:val="Heading2"/>
        <w:spacing w:after="100" w:before="220"/>
      </w:pPr>
      <w:r>
        <w:rPr>
          <w:b/>
          <w:bCs/>
          <w:sz w:val="22"/>
          <w:szCs w:val="22"/>
          <w:u w:val="single"/>
        </w:rPr>
        <w:t xml:space="preserve">Article 6 — Le Comité de crédit</w:t>
      </w:r>
      <w:r>
        <w:rPr>
          <w:b/>
          <w:bCs/>
          <w:color w:val="2E7D32"/>
          <w:sz w:val="18"/>
          <w:szCs w:val="18"/>
        </w:rPr>
        <w:t xml:space="preserve">  [MODIFIÉ]</w:t>
      </w:r>
    </w:p>
    <w:p>
      <w:pPr>
        <w:spacing w:after="120" w:line="300"/>
      </w:pPr>
      <w:r>
        <w:rPr>
          <w:sz w:val="22"/>
          <w:szCs w:val="22"/>
        </w:rPr>
        <w:t xml:space="preserve">Le Comité de crédit est une commission spécialisée constituée en application de l'article 36 des Statuts d'AJESA. Il assure la gestion de la Caisse et est composé de trois (3) à cinq (5) membres, dont le Trésorier général d'AJESA, membre de droit. Les autres membres du Comité sont désignés par le Bureau exécutif ou élus en assemblée générale, pour un mandat renouvelable d'un (1) an.</w:t>
      </w:r>
    </w:p>
    <w:p>
      <w:pPr>
        <w:spacing w:after="120" w:line="300"/>
      </w:pPr>
      <w:r>
        <w:rPr>
          <w:sz w:val="22"/>
          <w:szCs w:val="22"/>
        </w:rPr>
        <w:t xml:space="preserve">Le Comité de crédit a pour missions :</w:t>
      </w:r>
    </w:p>
    <w:p>
      <w:pPr>
        <w:pStyle w:val="ListParagraph"/>
        <w:numPr>
          <w:ilvl w:val="0"/>
          <w:numId w:val="2"/>
        </w:numPr>
        <w:spacing w:after="80" w:line="280"/>
      </w:pPr>
      <w:r>
        <w:rPr>
          <w:sz w:val="22"/>
          <w:szCs w:val="22"/>
        </w:rPr>
        <w:t xml:space="preserve">d'étudier et de statuer sur les demandes d'adhésion à la Caisse et de prêt ;</w:t>
      </w:r>
    </w:p>
    <w:p>
      <w:pPr>
        <w:pStyle w:val="ListParagraph"/>
        <w:numPr>
          <w:ilvl w:val="0"/>
          <w:numId w:val="2"/>
        </w:numPr>
        <w:spacing w:after="80" w:line="280"/>
      </w:pPr>
      <w:r>
        <w:rPr>
          <w:sz w:val="22"/>
          <w:szCs w:val="22"/>
        </w:rPr>
        <w:t xml:space="preserve">de tenir à jour le registre des épargnants et des bénéficiaires de prêts ;</w:t>
      </w:r>
    </w:p>
    <w:p>
      <w:pPr>
        <w:pStyle w:val="ListParagraph"/>
        <w:numPr>
          <w:ilvl w:val="0"/>
          <w:numId w:val="2"/>
        </w:numPr>
        <w:spacing w:after="80" w:line="280"/>
      </w:pPr>
      <w:r>
        <w:rPr>
          <w:sz w:val="22"/>
          <w:szCs w:val="22"/>
        </w:rPr>
        <w:t xml:space="preserve">de suivre les échéances de remboursement et de déclencher les procédures de relance ;</w:t>
      </w:r>
    </w:p>
    <w:p>
      <w:pPr>
        <w:pStyle w:val="ListParagraph"/>
        <w:numPr>
          <w:ilvl w:val="0"/>
          <w:numId w:val="2"/>
        </w:numPr>
        <w:spacing w:after="80" w:line="280"/>
      </w:pPr>
      <w:r>
        <w:rPr>
          <w:sz w:val="22"/>
          <w:szCs w:val="22"/>
        </w:rPr>
        <w:t xml:space="preserve">de rendre compte, chaque trimestre, de la situation financière de la Caisse au Bureau exécutif.</w:t>
      </w:r>
    </w:p>
    <w:p>
      <w:pPr>
        <w:spacing w:after="120" w:line="300"/>
      </w:pPr>
      <w:r>
        <w:rPr>
          <w:i/>
          <w:iCs/>
          <w:color w:val="595959"/>
          <w:sz w:val="20"/>
          <w:szCs w:val="20"/>
        </w:rPr>
        <w:t xml:space="preserve">Conformément à l'article 37 du Règlement Intérieur général de l'AJESA, le Comité de crédit ne peut engager juridiquement ou financièrement l'association au-delà des pouvoirs qui lui sont attribués par le présent règlement.</w:t>
      </w:r>
    </w:p>
    <w:p>
      <w:pPr>
        <w:pStyle w:val="Heading2"/>
        <w:spacing w:after="100" w:before="220"/>
      </w:pPr>
      <w:r>
        <w:rPr>
          <w:b/>
          <w:bCs/>
          <w:sz w:val="22"/>
          <w:szCs w:val="22"/>
          <w:u w:val="single"/>
        </w:rPr>
        <w:t xml:space="preserve">Article 7 — Le Trésorier et le décaissement des prêts</w:t>
      </w:r>
    </w:p>
    <w:p>
      <w:pPr>
        <w:spacing w:after="120" w:line="300"/>
      </w:pPr>
      <w:r>
        <w:rPr>
          <w:sz w:val="22"/>
          <w:szCs w:val="22"/>
        </w:rPr>
        <w:t xml:space="preserve">Le Trésorier général d'AJESA assure la tenue de la comptabilité de la Caisse, ainsi que l'encaissement des cotisations, dépôts d'épargne et remboursements. </w:t>
      </w:r>
      <w:r>
        <w:rPr>
          <w:sz w:val="22"/>
          <w:szCs w:val="22"/>
        </w:rPr>
        <w:t xml:space="preserve">Conformément à l'article 41 des Statuts d'AJESA, le décaissement de tout prêt validé par le Comité de crédit constitue une opération financière nécessitant au minimum deux (2) signatures parmi les trois personnes habilitées (Président, Secrétaire Général, Trésorier). Le décaissement est donc cosigné par le Trésorier et par le Président ou, en cas d'empêchement de ce dernier, par le Secrétaire Général.</w:t>
      </w:r>
      <w:r>
        <w:rPr>
          <w:b/>
          <w:bCs/>
          <w:color w:val="2E7D32"/>
          <w:sz w:val="18"/>
          <w:szCs w:val="18"/>
        </w:rPr>
        <w:t xml:space="preserve">  [MODIFIÉ]</w:t>
      </w:r>
    </w:p>
    <w:p>
      <w:pPr>
        <w:pStyle w:val="Heading2"/>
        <w:spacing w:after="100" w:before="220"/>
      </w:pPr>
      <w:r>
        <w:rPr>
          <w:b/>
          <w:bCs/>
          <w:sz w:val="22"/>
          <w:szCs w:val="22"/>
          <w:u w:val="single"/>
        </w:rPr>
        <w:t xml:space="preserve">Article 8 — L'Assemblée générale</w:t>
      </w:r>
    </w:p>
    <w:p>
      <w:pPr>
        <w:spacing w:after="120" w:line="300"/>
      </w:pPr>
      <w:r>
        <w:rPr>
          <w:sz w:val="22"/>
          <w:szCs w:val="22"/>
        </w:rPr>
        <w:t xml:space="preserve">L'Assemblée générale d'AJESA reste l'organe souverain. Elle valide chaque année le bilan de la Caisse, peut modifier le présent règlement et statue sur toute question non prévue par celui-ci.</w:t>
      </w:r>
    </w:p>
    <w:p>
      <w:pPr>
        <w:pStyle w:val="Heading1"/>
        <w:spacing w:after="200" w:before="400"/>
      </w:pPr>
      <w:r>
        <w:rPr>
          <w:b/>
          <w:bCs/>
          <w:color w:val="1F3864"/>
          <w:sz w:val="25"/>
          <w:szCs w:val="25"/>
        </w:rPr>
        <w:t xml:space="preserve">Titre IV — Adhésion à la Caisse</w:t>
      </w:r>
    </w:p>
    <w:p>
      <w:pPr>
        <w:pStyle w:val="Heading2"/>
        <w:spacing w:after="100" w:before="220"/>
      </w:pPr>
      <w:r>
        <w:rPr>
          <w:b/>
          <w:bCs/>
          <w:sz w:val="22"/>
          <w:szCs w:val="22"/>
          <w:u w:val="single"/>
        </w:rPr>
        <w:t xml:space="preserve">Article 9 — Conditions d'adhésion</w:t>
      </w:r>
    </w:p>
    <w:p>
      <w:pPr>
        <w:spacing w:after="120" w:line="300"/>
      </w:pPr>
      <w:r>
        <w:rPr>
          <w:sz w:val="22"/>
          <w:szCs w:val="22"/>
        </w:rPr>
        <w:t xml:space="preserve">Pour adhérer à la Caisse, le membre d'AJESA doit :</w:t>
      </w:r>
    </w:p>
    <w:p>
      <w:pPr>
        <w:pStyle w:val="ListParagraph"/>
        <w:numPr>
          <w:ilvl w:val="0"/>
          <w:numId w:val="2"/>
        </w:numPr>
        <w:spacing w:after="80" w:line="280"/>
      </w:pPr>
      <w:r>
        <w:rPr>
          <w:sz w:val="22"/>
          <w:szCs w:val="22"/>
        </w:rPr>
        <w:t xml:space="preserve">être membre actif, à jour de ses cotisations à l'association depuis au moins trois (3) mois ;</w:t>
      </w:r>
    </w:p>
    <w:p>
      <w:pPr>
        <w:pStyle w:val="ListParagraph"/>
        <w:numPr>
          <w:ilvl w:val="0"/>
          <w:numId w:val="2"/>
        </w:numPr>
        <w:spacing w:after="80" w:line="280"/>
      </w:pPr>
      <w:r>
        <w:rPr>
          <w:sz w:val="22"/>
          <w:szCs w:val="22"/>
        </w:rPr>
        <w:t xml:space="preserve">remplir et signer la fiche d'adhésion à la Caisse ;</w:t>
      </w:r>
    </w:p>
    <w:p>
      <w:pPr>
        <w:pStyle w:val="ListParagraph"/>
        <w:numPr>
          <w:ilvl w:val="0"/>
          <w:numId w:val="2"/>
        </w:numPr>
        <w:spacing w:after="80" w:line="280"/>
      </w:pPr>
      <w:r>
        <w:rPr>
          <w:sz w:val="22"/>
          <w:szCs w:val="22"/>
        </w:rPr>
        <w:t xml:space="preserve">s'engager à respecter le présent règlement intérieur.</w:t>
      </w:r>
    </w:p>
    <w:p>
      <w:pPr>
        <w:pStyle w:val="Heading2"/>
        <w:spacing w:after="100" w:before="220"/>
      </w:pPr>
      <w:r>
        <w:rPr>
          <w:b/>
          <w:bCs/>
          <w:sz w:val="22"/>
          <w:szCs w:val="22"/>
          <w:u w:val="single"/>
        </w:rPr>
        <w:t xml:space="preserve">Article 10 — Formalités</w:t>
      </w:r>
    </w:p>
    <w:p>
      <w:pPr>
        <w:spacing w:after="120" w:line="300"/>
      </w:pPr>
      <w:r>
        <w:rPr>
          <w:sz w:val="22"/>
          <w:szCs w:val="22"/>
        </w:rPr>
        <w:t xml:space="preserve">L'adhésion est formalisée par la signature de la fiche d'adhésion prévue à cet effet, conservée par le Trésorier et archivée par le Comité de crédit.</w:t>
      </w:r>
    </w:p>
    <w:p>
      <w:pPr>
        <w:pStyle w:val="Heading1"/>
        <w:spacing w:after="200" w:before="400"/>
      </w:pPr>
      <w:r>
        <w:rPr>
          <w:b/>
          <w:bCs/>
          <w:color w:val="1F3864"/>
          <w:sz w:val="25"/>
          <w:szCs w:val="25"/>
        </w:rPr>
        <w:t xml:space="preserve">Titre V — Octroi des prêts</w:t>
      </w:r>
    </w:p>
    <w:p>
      <w:pPr>
        <w:pStyle w:val="Heading2"/>
        <w:spacing w:after="100" w:before="220"/>
      </w:pPr>
      <w:r>
        <w:rPr>
          <w:b/>
          <w:bCs/>
          <w:sz w:val="22"/>
          <w:szCs w:val="22"/>
          <w:u w:val="single"/>
        </w:rPr>
        <w:t xml:space="preserve">Article 11 — Conditions d'éligibilité au crédit</w:t>
      </w:r>
    </w:p>
    <w:p>
      <w:pPr>
        <w:spacing w:after="120" w:line="300"/>
      </w:pPr>
      <w:r>
        <w:rPr>
          <w:sz w:val="22"/>
          <w:szCs w:val="22"/>
        </w:rPr>
        <w:t xml:space="preserve">Peut solliciter un prêt tout membre adhérent à la Caisse remplissant les conditions suivantes :</w:t>
      </w:r>
    </w:p>
    <w:p>
      <w:pPr>
        <w:pStyle w:val="ListParagraph"/>
        <w:numPr>
          <w:ilvl w:val="0"/>
          <w:numId w:val="2"/>
        </w:numPr>
        <w:spacing w:after="80" w:line="280"/>
      </w:pPr>
      <w:r>
        <w:rPr>
          <w:sz w:val="22"/>
          <w:szCs w:val="22"/>
        </w:rPr>
        <w:t xml:space="preserve">être à jour de ses cotisations à AJESA et de ses éventuels engagements antérieurs envers la Caisse ;</w:t>
      </w:r>
    </w:p>
    <w:p>
      <w:pPr>
        <w:pStyle w:val="ListParagraph"/>
        <w:numPr>
          <w:ilvl w:val="0"/>
          <w:numId w:val="2"/>
        </w:numPr>
        <w:spacing w:after="80" w:line="280"/>
      </w:pPr>
      <w:r>
        <w:rPr>
          <w:sz w:val="22"/>
          <w:szCs w:val="22"/>
        </w:rPr>
        <w:t xml:space="preserve">présenter une demande écrite précisant le montant, la durée et le motif du prêt ;</w:t>
      </w:r>
    </w:p>
    <w:p>
      <w:pPr>
        <w:pStyle w:val="ListParagraph"/>
        <w:numPr>
          <w:ilvl w:val="0"/>
          <w:numId w:val="2"/>
        </w:numPr>
        <w:spacing w:after="80" w:line="280"/>
      </w:pPr>
      <w:r>
        <w:rPr>
          <w:sz w:val="22"/>
          <w:szCs w:val="22"/>
        </w:rPr>
        <w:t xml:space="preserve">apporter, selon le montant sollicité, une garantie conforme à l'article 14.</w:t>
      </w:r>
    </w:p>
    <w:p>
      <w:pPr>
        <w:pStyle w:val="Heading2"/>
        <w:spacing w:after="100" w:before="220"/>
      </w:pPr>
      <w:r>
        <w:rPr>
          <w:b/>
          <w:bCs/>
          <w:sz w:val="22"/>
          <w:szCs w:val="22"/>
          <w:u w:val="single"/>
        </w:rPr>
        <w:t xml:space="preserve">Article 12 — Montant et durée</w:t>
      </w:r>
    </w:p>
    <w:p>
      <w:pPr>
        <w:spacing w:after="120" w:line="300"/>
      </w:pPr>
      <w:r>
        <w:rPr>
          <w:sz w:val="22"/>
          <w:szCs w:val="22"/>
        </w:rPr>
        <w:t xml:space="preserve">Le montant maximal du prêt accordé à un membre est fixé par le Comité de crédit en fonction des ressources disponibles de la Caisse et, le cas échéant, de l'épargne accumulée par le demandeur. La durée de remboursement varie de un (1) à douze (12) mois.</w:t>
      </w:r>
    </w:p>
    <w:p>
      <w:pPr>
        <w:pStyle w:val="Heading2"/>
        <w:spacing w:after="100" w:before="220"/>
      </w:pPr>
      <w:r>
        <w:rPr>
          <w:b/>
          <w:bCs/>
          <w:sz w:val="22"/>
          <w:szCs w:val="22"/>
          <w:u w:val="single"/>
        </w:rPr>
        <w:t xml:space="preserve">Article 13 — Barème des taux d'intérêt</w:t>
      </w:r>
    </w:p>
    <w:p>
      <w:pPr>
        <w:spacing w:after="120" w:line="300"/>
      </w:pPr>
      <w:r>
        <w:rPr>
          <w:sz w:val="22"/>
          <w:szCs w:val="22"/>
        </w:rPr>
        <w:t xml:space="preserve">Le taux d'intérêt appliqué est progressif selon la durée du prêt, conformément au barème suivant :</w:t>
      </w:r>
    </w:p>
    <w:p>
      <w:pPr>
        <w:pStyle w:val="ListParagraph"/>
        <w:numPr>
          <w:ilvl w:val="0"/>
          <w:numId w:val="2"/>
        </w:numPr>
        <w:spacing w:after="80" w:line="280"/>
      </w:pPr>
      <w:r>
        <w:rPr>
          <w:sz w:val="22"/>
          <w:szCs w:val="22"/>
        </w:rPr>
        <w:t xml:space="preserve">Jusqu'à 3 mois : 10 % ;</w:t>
      </w:r>
    </w:p>
    <w:p>
      <w:pPr>
        <w:pStyle w:val="ListParagraph"/>
        <w:numPr>
          <w:ilvl w:val="0"/>
          <w:numId w:val="2"/>
        </w:numPr>
        <w:spacing w:after="80" w:line="280"/>
      </w:pPr>
      <w:r>
        <w:rPr>
          <w:sz w:val="22"/>
          <w:szCs w:val="22"/>
        </w:rPr>
        <w:t xml:space="preserve">De 4 à 6 mois : 15 % ;</w:t>
      </w:r>
    </w:p>
    <w:p>
      <w:pPr>
        <w:pStyle w:val="ListParagraph"/>
        <w:numPr>
          <w:ilvl w:val="0"/>
          <w:numId w:val="2"/>
        </w:numPr>
        <w:spacing w:after="80" w:line="280"/>
      </w:pPr>
      <w:r>
        <w:rPr>
          <w:sz w:val="22"/>
          <w:szCs w:val="22"/>
        </w:rPr>
        <w:t xml:space="preserve">De 7 à 9 mois : 20 % ;</w:t>
      </w:r>
    </w:p>
    <w:p>
      <w:pPr>
        <w:pStyle w:val="ListParagraph"/>
        <w:numPr>
          <w:ilvl w:val="0"/>
          <w:numId w:val="2"/>
        </w:numPr>
        <w:spacing w:after="80" w:line="280"/>
      </w:pPr>
      <w:r>
        <w:rPr>
          <w:sz w:val="22"/>
          <w:szCs w:val="22"/>
        </w:rPr>
        <w:t xml:space="preserve">De 10 à 12 mois : 25 %.</w:t>
      </w:r>
    </w:p>
    <w:p>
      <w:pPr>
        <w:spacing w:after="120" w:line="300"/>
      </w:pPr>
      <w:r>
        <w:rPr>
          <w:i/>
          <w:iCs/>
          <w:sz w:val="22"/>
          <w:szCs w:val="22"/>
        </w:rPr>
        <w:t xml:space="preserve">Ce taux est calculé sur le montant initial du prêt et est révisable par décision de l'Assemblée générale, sur proposition du Comité de crédit.</w:t>
      </w:r>
    </w:p>
    <w:p>
      <w:pPr>
        <w:pStyle w:val="Heading2"/>
        <w:spacing w:after="100" w:before="220"/>
      </w:pPr>
      <w:r>
        <w:rPr>
          <w:b/>
          <w:bCs/>
          <w:sz w:val="22"/>
          <w:szCs w:val="22"/>
          <w:u w:val="single"/>
        </w:rPr>
        <w:t xml:space="preserve">Article 14 — Garanties</w:t>
      </w:r>
    </w:p>
    <w:p>
      <w:pPr>
        <w:spacing w:after="120" w:line="300"/>
      </w:pPr>
      <w:r>
        <w:rPr>
          <w:sz w:val="22"/>
          <w:szCs w:val="22"/>
        </w:rPr>
        <w:t xml:space="preserve">Selon le montant sollicité, le Comité de crédit peut exiger :</w:t>
      </w:r>
    </w:p>
    <w:p>
      <w:pPr>
        <w:pStyle w:val="ListParagraph"/>
        <w:numPr>
          <w:ilvl w:val="0"/>
          <w:numId w:val="2"/>
        </w:numPr>
        <w:spacing w:after="80" w:line="280"/>
      </w:pPr>
      <w:r>
        <w:rPr>
          <w:sz w:val="22"/>
          <w:szCs w:val="22"/>
        </w:rPr>
        <w:t xml:space="preserve">la caution solidaire d'un ou plusieurs autres membres à jour de leurs cotisations ;</w:t>
      </w:r>
    </w:p>
    <w:p>
      <w:pPr>
        <w:pStyle w:val="ListParagraph"/>
        <w:numPr>
          <w:ilvl w:val="0"/>
          <w:numId w:val="2"/>
        </w:numPr>
        <w:spacing w:after="80" w:line="280"/>
      </w:pPr>
      <w:r>
        <w:rPr>
          <w:sz w:val="22"/>
          <w:szCs w:val="22"/>
        </w:rPr>
        <w:t xml:space="preserve">le nantissement de l'épargne accumulée par le demandeur au sein de la Caisse ;</w:t>
      </w:r>
    </w:p>
    <w:p>
      <w:pPr>
        <w:pStyle w:val="ListParagraph"/>
        <w:numPr>
          <w:ilvl w:val="0"/>
          <w:numId w:val="2"/>
        </w:numPr>
        <w:spacing w:after="80" w:line="280"/>
      </w:pPr>
      <w:r>
        <w:rPr>
          <w:sz w:val="22"/>
          <w:szCs w:val="22"/>
        </w:rPr>
        <w:t xml:space="preserve">tout autre gage jugé suffisant par le Comité de crédit.</w:t>
      </w:r>
    </w:p>
    <w:p>
      <w:pPr>
        <w:pStyle w:val="Heading2"/>
        <w:spacing w:after="100" w:before="220"/>
      </w:pPr>
      <w:r>
        <w:rPr>
          <w:b/>
          <w:bCs/>
          <w:sz w:val="22"/>
          <w:szCs w:val="22"/>
          <w:u w:val="single"/>
        </w:rPr>
        <w:t xml:space="preserve">Article 15 — Décision et décaissement</w:t>
      </w:r>
    </w:p>
    <w:p>
      <w:pPr>
        <w:spacing w:after="120" w:line="300"/>
      </w:pPr>
      <w:r>
        <w:rPr>
          <w:sz w:val="22"/>
          <w:szCs w:val="22"/>
        </w:rPr>
        <w:t xml:space="preserve">Le Comité de crédit statue sur chaque demande dans un délai maximal de quinze (15) jours après réception du dossier complet. Toute décision d'octroi donne lieu à la signature d'un contrat de prêt entre la Caisse et le bénéficiaire, précisant le montant, le taux, l'échéancier et les garanties. Le décaissement s'effectue dans les conditions de double signature prévues à l'article 7 du présent règlement.</w:t>
      </w:r>
    </w:p>
    <w:p>
      <w:pPr>
        <w:pStyle w:val="Heading1"/>
        <w:spacing w:after="200" w:before="400"/>
      </w:pPr>
      <w:r>
        <w:rPr>
          <w:b/>
          <w:bCs/>
          <w:color w:val="1F3864"/>
          <w:sz w:val="25"/>
          <w:szCs w:val="25"/>
        </w:rPr>
        <w:t xml:space="preserve">Titre VI — Remboursement</w:t>
      </w:r>
    </w:p>
    <w:p>
      <w:pPr>
        <w:pStyle w:val="Heading2"/>
        <w:spacing w:after="100" w:before="220"/>
      </w:pPr>
      <w:r>
        <w:rPr>
          <w:b/>
          <w:bCs/>
          <w:sz w:val="22"/>
          <w:szCs w:val="22"/>
          <w:u w:val="single"/>
        </w:rPr>
        <w:t xml:space="preserve">Article 16 — Échéancier</w:t>
      </w:r>
    </w:p>
    <w:p>
      <w:pPr>
        <w:spacing w:after="120" w:line="300"/>
      </w:pPr>
      <w:r>
        <w:rPr>
          <w:sz w:val="22"/>
          <w:szCs w:val="22"/>
        </w:rPr>
        <w:t xml:space="preserve">Le remboursement s'effectue selon l'échéancier fixé dans le contrat de prêt, par versements mensuels ou selon toute autre périodicité convenue avec le Comité de crédit. Les versements sont effectués auprès du Trésorier, notamment par Mobile Money.</w:t>
      </w:r>
    </w:p>
    <w:p>
      <w:pPr>
        <w:pStyle w:val="Heading2"/>
        <w:spacing w:after="100" w:before="220"/>
      </w:pPr>
      <w:r>
        <w:rPr>
          <w:b/>
          <w:bCs/>
          <w:sz w:val="22"/>
          <w:szCs w:val="22"/>
          <w:u w:val="single"/>
        </w:rPr>
        <w:t xml:space="preserve">Article 17 — Remboursement anticipé</w:t>
      </w:r>
    </w:p>
    <w:p>
      <w:pPr>
        <w:spacing w:after="120" w:line="300"/>
      </w:pPr>
      <w:r>
        <w:rPr>
          <w:sz w:val="22"/>
          <w:szCs w:val="22"/>
        </w:rPr>
        <w:t xml:space="preserve">Tout bénéficiaire peut rembourser son prêt par anticipation, sans pénalité, après accord préalable du Comité de crédit sur le calcul des intérêts dus.</w:t>
      </w:r>
    </w:p>
    <w:p>
      <w:pPr>
        <w:pStyle w:val="Heading1"/>
        <w:spacing w:after="200" w:before="400"/>
      </w:pPr>
      <w:r>
        <w:rPr>
          <w:b/>
          <w:bCs/>
          <w:color w:val="1F3864"/>
          <w:sz w:val="25"/>
          <w:szCs w:val="25"/>
        </w:rPr>
        <w:t xml:space="preserve">Titre VII — Incidents de remboursement</w:t>
      </w:r>
    </w:p>
    <w:p>
      <w:pPr>
        <w:pStyle w:val="Heading2"/>
        <w:spacing w:after="100" w:before="220"/>
      </w:pPr>
      <w:r>
        <w:rPr>
          <w:b/>
          <w:bCs/>
          <w:sz w:val="22"/>
          <w:szCs w:val="22"/>
          <w:u w:val="single"/>
        </w:rPr>
        <w:t xml:space="preserve">Article 18 — Retard de paiement</w:t>
      </w:r>
    </w:p>
    <w:p>
      <w:pPr>
        <w:spacing w:after="120" w:line="300"/>
      </w:pPr>
      <w:r>
        <w:rPr>
          <w:sz w:val="22"/>
          <w:szCs w:val="22"/>
        </w:rPr>
        <w:t xml:space="preserve">En cas de retard, le Comité de crédit adresse une relance écrite ou orale au bénéficiaire dans un délai de sept (7) jours après l'échéance manquée.</w:t>
      </w:r>
    </w:p>
    <w:p>
      <w:pPr>
        <w:pStyle w:val="Heading2"/>
        <w:spacing w:after="100" w:before="220"/>
      </w:pPr>
      <w:r>
        <w:rPr>
          <w:b/>
          <w:bCs/>
          <w:sz w:val="22"/>
          <w:szCs w:val="22"/>
          <w:u w:val="single"/>
        </w:rPr>
        <w:t xml:space="preserve">Article 19 — Sanctions</w:t>
      </w:r>
    </w:p>
    <w:p>
      <w:pPr>
        <w:spacing w:after="120" w:line="300"/>
      </w:pPr>
      <w:r>
        <w:rPr>
          <w:sz w:val="22"/>
          <w:szCs w:val="22"/>
        </w:rPr>
        <w:t xml:space="preserve">En cas de non-remboursement persistant au-delà de trente (30) jours après relance, le Comité de crédit peut, selon la gravité :</w:t>
      </w:r>
    </w:p>
    <w:p>
      <w:pPr>
        <w:pStyle w:val="ListParagraph"/>
        <w:numPr>
          <w:ilvl w:val="0"/>
          <w:numId w:val="2"/>
        </w:numPr>
        <w:spacing w:after="80" w:line="280"/>
      </w:pPr>
      <w:r>
        <w:rPr>
          <w:sz w:val="22"/>
          <w:szCs w:val="22"/>
        </w:rPr>
        <w:t xml:space="preserve">appliquer une pénalité de retard fixée par l'Assemblée générale ;</w:t>
      </w:r>
    </w:p>
    <w:p>
      <w:pPr>
        <w:pStyle w:val="ListParagraph"/>
        <w:numPr>
          <w:ilvl w:val="0"/>
          <w:numId w:val="2"/>
        </w:numPr>
        <w:spacing w:after="80" w:line="280"/>
      </w:pPr>
      <w:r>
        <w:rPr>
          <w:sz w:val="22"/>
          <w:szCs w:val="22"/>
        </w:rPr>
        <w:t xml:space="preserve">mettre en jeu la caution ou la garantie constituée ;</w:t>
      </w:r>
    </w:p>
    <w:p>
      <w:pPr>
        <w:pStyle w:val="ListParagraph"/>
        <w:numPr>
          <w:ilvl w:val="0"/>
          <w:numId w:val="2"/>
        </w:numPr>
        <w:spacing w:after="80" w:line="280"/>
      </w:pPr>
      <w:r>
        <w:rPr>
          <w:sz w:val="22"/>
          <w:szCs w:val="22"/>
        </w:rPr>
        <w:t xml:space="preserve">suspendre temporairement les droits du membre au sein de la Caisse et, le cas échéant, saisir le Bureau exécutif d'AJESA pour suspension des droits d'adhérent, dans le respect de la procédure disciplinaire prévue aux articles 56 à 59 du Règlement Intérieur général ;</w:t>
      </w:r>
    </w:p>
    <w:p>
      <w:pPr>
        <w:pStyle w:val="ListParagraph"/>
        <w:numPr>
          <w:ilvl w:val="0"/>
          <w:numId w:val="2"/>
        </w:numPr>
        <w:spacing w:after="80" w:line="280"/>
      </w:pPr>
      <w:r>
        <w:rPr>
          <w:sz w:val="22"/>
          <w:szCs w:val="22"/>
        </w:rPr>
        <w:t xml:space="preserve">engager toute voie amiable de recouvrement jugée appropriée par le Bureau exécutif.</w:t>
      </w:r>
    </w:p>
    <w:p>
      <w:pPr>
        <w:pStyle w:val="Heading1"/>
        <w:spacing w:after="200" w:before="400"/>
      </w:pPr>
      <w:r>
        <w:rPr>
          <w:b/>
          <w:bCs/>
          <w:color w:val="1F3864"/>
          <w:sz w:val="25"/>
          <w:szCs w:val="25"/>
        </w:rPr>
        <w:t xml:space="preserve">Titre VIII — Épargne</w:t>
      </w:r>
    </w:p>
    <w:p>
      <w:pPr>
        <w:pStyle w:val="Heading2"/>
        <w:spacing w:after="100" w:before="220"/>
      </w:pPr>
      <w:r>
        <w:rPr>
          <w:b/>
          <w:bCs/>
          <w:sz w:val="22"/>
          <w:szCs w:val="22"/>
          <w:u w:val="single"/>
        </w:rPr>
        <w:t xml:space="preserve">Article 20 — Dépôts et retraits</w:t>
      </w:r>
    </w:p>
    <w:p>
      <w:pPr>
        <w:spacing w:after="120" w:line="300"/>
      </w:pPr>
      <w:r>
        <w:rPr>
          <w:sz w:val="22"/>
          <w:szCs w:val="22"/>
        </w:rPr>
        <w:t xml:space="preserve">Tout membre adhérent à la Caisse peut y déposer une épargne volontaire. Les modalités de dépôt et de retrait (fréquence, délai de préavis) sont fixées par le Comité de crédit et communiquées aux membres.</w:t>
      </w:r>
    </w:p>
    <w:p>
      <w:pPr>
        <w:pStyle w:val="Heading2"/>
        <w:spacing w:after="100" w:before="220"/>
      </w:pPr>
      <w:r>
        <w:rPr>
          <w:b/>
          <w:bCs/>
          <w:sz w:val="22"/>
          <w:szCs w:val="22"/>
          <w:u w:val="single"/>
        </w:rPr>
        <w:t xml:space="preserve">Article 21 — Rémunération de l'épargne</w:t>
      </w:r>
    </w:p>
    <w:p>
      <w:pPr>
        <w:spacing w:after="120" w:line="300"/>
      </w:pPr>
      <w:r>
        <w:rPr>
          <w:sz w:val="22"/>
          <w:szCs w:val="22"/>
        </w:rPr>
        <w:t xml:space="preserve">L'Assemblée générale peut décider d'une rémunération de l'épargne des membres, financée par les intérêts perçus sur les prêts, selon des modalités qu'elle détermine.</w:t>
      </w:r>
    </w:p>
    <w:p>
      <w:pPr>
        <w:pStyle w:val="Heading1"/>
        <w:spacing w:after="200" w:before="400"/>
      </w:pPr>
      <w:r>
        <w:rPr>
          <w:b/>
          <w:bCs/>
          <w:color w:val="1F3864"/>
          <w:sz w:val="25"/>
          <w:szCs w:val="25"/>
        </w:rPr>
        <w:t xml:space="preserve">Titre IX — Dispositions diverses</w:t>
      </w:r>
    </w:p>
    <w:p>
      <w:pPr>
        <w:pStyle w:val="Heading2"/>
        <w:spacing w:after="100" w:before="220"/>
      </w:pPr>
      <w:r>
        <w:rPr>
          <w:b/>
          <w:bCs/>
          <w:sz w:val="22"/>
          <w:szCs w:val="22"/>
          <w:u w:val="single"/>
        </w:rPr>
        <w:t xml:space="preserve">Article 22 — Comptabilité et transparence</w:t>
      </w:r>
    </w:p>
    <w:p>
      <w:pPr>
        <w:spacing w:after="120" w:line="300"/>
      </w:pPr>
      <w:r>
        <w:rPr>
          <w:sz w:val="22"/>
          <w:szCs w:val="22"/>
        </w:rPr>
        <w:t xml:space="preserve">La situation financière de la Caisse (total des dépôts, encours de prêts, impayés) est présentée à l'Assemblée générale au moins une fois par an.</w:t>
      </w:r>
    </w:p>
    <w:p>
      <w:pPr>
        <w:pStyle w:val="Heading2"/>
        <w:spacing w:after="100" w:before="220"/>
      </w:pPr>
      <w:r>
        <w:rPr>
          <w:b/>
          <w:bCs/>
          <w:sz w:val="22"/>
          <w:szCs w:val="22"/>
          <w:u w:val="single"/>
        </w:rPr>
        <w:t xml:space="preserve">Article 23 — Modification du règlement</w:t>
      </w:r>
    </w:p>
    <w:p>
      <w:pPr>
        <w:spacing w:after="120" w:line="300"/>
      </w:pPr>
      <w:r>
        <w:rPr>
          <w:sz w:val="22"/>
          <w:szCs w:val="22"/>
        </w:rPr>
        <w:t xml:space="preserve">Le présent règlement peut être modifié par l'Assemblée générale, sur proposition du Bureau exécutif ou du Comité de crédit, à la majorité prévue par les Statuts d'AJESA.</w:t>
      </w:r>
    </w:p>
    <w:p>
      <w:pPr>
        <w:pStyle w:val="Heading2"/>
        <w:spacing w:after="100" w:before="220"/>
      </w:pPr>
      <w:r>
        <w:rPr>
          <w:b/>
          <w:bCs/>
          <w:sz w:val="22"/>
          <w:szCs w:val="22"/>
          <w:u w:val="single"/>
        </w:rPr>
        <w:t xml:space="preserve">Article 24 — Entrée en vigueur</w:t>
      </w:r>
    </w:p>
    <w:p>
      <w:pPr>
        <w:spacing w:after="120" w:line="300"/>
      </w:pPr>
      <w:r>
        <w:rPr>
          <w:sz w:val="22"/>
          <w:szCs w:val="22"/>
        </w:rPr>
        <w:t xml:space="preserve">Le présent règlement intérieur entre en vigueur dès son adoption par l'Assemblée générale et son annexion aux Statuts d'AJESA, conformément à l'article 43 bis de ceux-ci.</w:t>
      </w:r>
    </w:p>
    <w:p>
      <w:pPr>
        <w:spacing w:after="100"/>
        <w:jc w:val="center"/>
      </w:pPr>
      <w:r>
        <w:rPr>
          <w:b/>
          <w:bCs/>
          <w:sz w:val="22"/>
          <w:szCs w:val="22"/>
        </w:rPr>
        <w:t xml:space="preserve">Adopté en Assemblée générale d'AJESA</w:t>
      </w:r>
    </w:p>
    <w:p>
      <w:pPr>
        <w:spacing w:after="120" w:line="300"/>
      </w:pPr>
      <w:r>
        <w:rPr>
          <w:sz w:val="22"/>
          <w:szCs w:val="22"/>
        </w:rPr>
        <w:t xml:space="preserve">Fait à Amanikro, le ____________________</w:t>
      </w:r>
    </w:p>
    <w:p>
      <w:pPr>
        <w:spacing w:after="120" w:line="300"/>
      </w:pPr>
      <w:r>
        <w:rPr>
          <w:sz w:val="22"/>
          <w:szCs w:val="22"/>
        </w:rPr>
        <w:t xml:space="preserve">Le Président — Nom, signature :</w:t>
      </w:r>
    </w:p>
    <w:p>
      <w:pPr>
        <w:spacing w:after="120" w:line="300"/>
      </w:pPr>
      <w:r>
        <w:rPr>
          <w:sz w:val="22"/>
          <w:szCs w:val="22"/>
        </w:rPr>
        <w:t xml:space="preserve">Le Trésorier général — Nom, signature :</w:t>
      </w:r>
    </w:p>
    <w:p>
      <w:pPr>
        <w:spacing w:after="120" w:line="300"/>
      </w:pPr>
      <w:r>
        <w:rPr>
          <w:sz w:val="22"/>
          <w:szCs w:val="22"/>
        </w:rPr>
        <w:t xml:space="preserve">Le/La Secrétaire général(e) — Nom, signature :</w:t>
      </w:r>
    </w:p>
    <w:p>
      <w:pPr>
        <w:spacing w:before="300"/>
      </w:pPr>
      <w:r>
        <w:rPr>
          <w:i/>
          <w:iCs/>
          <w:color w:val="2E7D32"/>
          <w:sz w:val="20"/>
          <w:szCs w:val="20"/>
        </w:rPr>
        <w:t xml:space="preserve">Les passages marqués [MODIFIÉ] correspondent aux ajustements apportés pour assurer la cohérence avec les Statuts et le Règlement Intérieur général de l'AJESA.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2026-09-10T19:07:48.510Z</dcterms:created>
  <dcterms:modified xsi:type="dcterms:W3CDTF">2026-09-10T19:07:48.511Z</dcterms:modified>
</cp:coreProperties>
</file>

<file path=docProps/custom.xml><?xml version="1.0" encoding="utf-8"?>
<Properties xmlns="http://schemas.openxmlformats.org/officeDocument/2006/custom-properties" xmlns:vt="http://schemas.openxmlformats.org/officeDocument/2006/docPropsVTypes"/>
</file>