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9FBD" w14:textId="1E4C18FA" w:rsidR="006005C6" w:rsidRPr="006005C6" w:rsidRDefault="00803157" w:rsidP="006005C6">
      <w:pPr>
        <w:rPr>
          <w:rFonts w:ascii="Century Gothic" w:hAnsi="Century Gothic"/>
          <w:sz w:val="22"/>
          <w:szCs w:val="22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6005C6">
        <w:rPr>
          <w:rFonts w:ascii="Century Gothic" w:hAnsi="Century Gothic"/>
          <w:sz w:val="22"/>
          <w:szCs w:val="22"/>
        </w:rPr>
        <w:t xml:space="preserve">Department of </w:t>
      </w:r>
      <w:r w:rsidR="006005C6" w:rsidRPr="006005C6">
        <w:rPr>
          <w:rFonts w:ascii="Century Gothic" w:hAnsi="Century Gothic"/>
          <w:sz w:val="22"/>
          <w:szCs w:val="22"/>
        </w:rPr>
        <w:t>Hearing &amp; Speech Sciences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B87058" w:rsidRPr="006005C6">
        <w:rPr>
          <w:rFonts w:ascii="Century Gothic" w:hAnsi="Century Gothic"/>
          <w:sz w:val="22"/>
          <w:szCs w:val="22"/>
        </w:rPr>
        <w:t xml:space="preserve"> </w:t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5470C0" w:rsidRPr="006005C6">
        <w:rPr>
          <w:rFonts w:ascii="Century Gothic" w:hAnsi="Century Gothic"/>
          <w:sz w:val="22"/>
          <w:szCs w:val="22"/>
        </w:rPr>
        <w:tab/>
      </w:r>
      <w:r w:rsidR="006005C6">
        <w:rPr>
          <w:rFonts w:ascii="Century Gothic" w:hAnsi="Century Gothic"/>
          <w:sz w:val="22"/>
          <w:szCs w:val="22"/>
        </w:rPr>
        <w:t xml:space="preserve">                   </w:t>
      </w:r>
      <w:r w:rsidR="006005C6" w:rsidRPr="006005C6">
        <w:rPr>
          <w:rFonts w:ascii="Century Gothic" w:hAnsi="Century Gothic" w:cs="Arial"/>
          <w:color w:val="000000"/>
          <w:sz w:val="22"/>
          <w:szCs w:val="22"/>
        </w:rPr>
        <w:t>0100 LeFrak Hall</w:t>
      </w:r>
    </w:p>
    <w:p w14:paraId="4034B752" w14:textId="1C007740" w:rsidR="007D2A09" w:rsidRPr="007D2A09" w:rsidRDefault="007304AC" w:rsidP="005470C0">
      <w:pPr>
        <w:rPr>
          <w:rFonts w:ascii="Century Gothic" w:hAnsi="Century Gothic"/>
          <w:sz w:val="22"/>
          <w:szCs w:val="22"/>
        </w:rPr>
      </w:pPr>
      <w:r w:rsidRPr="006005C6">
        <w:rPr>
          <w:rFonts w:ascii="Century Gothic" w:hAnsi="Century Gothic"/>
          <w:sz w:val="22"/>
          <w:szCs w:val="22"/>
        </w:rPr>
        <w:t>Universi</w:t>
      </w:r>
      <w:r w:rsidR="000A4D66" w:rsidRPr="006005C6">
        <w:rPr>
          <w:rFonts w:ascii="Century Gothic" w:hAnsi="Century Gothic"/>
          <w:sz w:val="22"/>
          <w:szCs w:val="22"/>
        </w:rPr>
        <w:t xml:space="preserve">ty of </w:t>
      </w:r>
      <w:r w:rsidR="006005C6" w:rsidRPr="006005C6">
        <w:rPr>
          <w:rFonts w:ascii="Century Gothic" w:hAnsi="Century Gothic"/>
          <w:sz w:val="22"/>
          <w:szCs w:val="22"/>
        </w:rPr>
        <w:t>Maryland, College Park</w:t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       </w:t>
      </w:r>
      <w:r w:rsidR="006005C6" w:rsidRPr="007D2A09">
        <w:rPr>
          <w:rFonts w:ascii="Century Gothic" w:hAnsi="Century Gothic"/>
          <w:sz w:val="22"/>
          <w:szCs w:val="22"/>
        </w:rPr>
        <w:t>College Park</w:t>
      </w:r>
      <w:r w:rsidRPr="007D2A09">
        <w:rPr>
          <w:rFonts w:ascii="Century Gothic" w:hAnsi="Century Gothic"/>
          <w:sz w:val="22"/>
          <w:szCs w:val="22"/>
        </w:rPr>
        <w:t xml:space="preserve">, </w:t>
      </w:r>
      <w:r w:rsidR="006005C6" w:rsidRPr="007D2A09">
        <w:rPr>
          <w:rFonts w:ascii="Century Gothic" w:hAnsi="Century Gothic"/>
          <w:sz w:val="22"/>
          <w:szCs w:val="22"/>
        </w:rPr>
        <w:t>MD</w:t>
      </w:r>
      <w:r w:rsidRPr="007D2A09">
        <w:rPr>
          <w:rFonts w:ascii="Century Gothic" w:hAnsi="Century Gothic"/>
          <w:sz w:val="22"/>
          <w:szCs w:val="22"/>
        </w:rPr>
        <w:t xml:space="preserve"> </w:t>
      </w:r>
      <w:r w:rsidR="006005C6" w:rsidRPr="007D2A09">
        <w:rPr>
          <w:rFonts w:ascii="Century Gothic" w:hAnsi="Century Gothic"/>
          <w:sz w:val="22"/>
          <w:szCs w:val="22"/>
        </w:rPr>
        <w:t>20742</w:t>
      </w:r>
      <w:r w:rsidR="005470C0" w:rsidRPr="007D2A09">
        <w:rPr>
          <w:rFonts w:ascii="Century Gothic" w:hAnsi="Century Gothic"/>
          <w:sz w:val="22"/>
          <w:szCs w:val="22"/>
        </w:rPr>
        <w:br/>
      </w:r>
      <w:r w:rsidR="008D1325" w:rsidRPr="007D2A09">
        <w:rPr>
          <w:rFonts w:ascii="Century Gothic" w:hAnsi="Century Gothic"/>
          <w:sz w:val="22"/>
          <w:szCs w:val="22"/>
        </w:rPr>
        <w:t>mcychosz</w:t>
      </w:r>
      <w:r w:rsidR="00017111" w:rsidRPr="007D2A09">
        <w:rPr>
          <w:rFonts w:ascii="Century Gothic" w:hAnsi="Century Gothic"/>
          <w:sz w:val="22"/>
          <w:szCs w:val="22"/>
        </w:rPr>
        <w:t>@</w:t>
      </w:r>
      <w:r w:rsidR="006005C6" w:rsidRPr="007D2A09">
        <w:rPr>
          <w:rFonts w:ascii="Century Gothic" w:hAnsi="Century Gothic"/>
          <w:sz w:val="22"/>
          <w:szCs w:val="22"/>
        </w:rPr>
        <w:t>umd</w:t>
      </w:r>
      <w:r w:rsidR="00017111" w:rsidRPr="007D2A09">
        <w:rPr>
          <w:rFonts w:ascii="Century Gothic" w:hAnsi="Century Gothic"/>
          <w:sz w:val="22"/>
          <w:szCs w:val="22"/>
        </w:rPr>
        <w:t>.edu</w:t>
      </w:r>
      <w:r w:rsidR="00B7094A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 w:rsidRPr="007D2A09">
        <w:rPr>
          <w:rFonts w:ascii="Century Gothic" w:hAnsi="Century Gothic"/>
          <w:sz w:val="22"/>
          <w:szCs w:val="22"/>
        </w:rPr>
        <w:tab/>
      </w:r>
      <w:r w:rsidR="007D2A09">
        <w:rPr>
          <w:rFonts w:ascii="Century Gothic" w:hAnsi="Century Gothic"/>
          <w:sz w:val="22"/>
          <w:szCs w:val="22"/>
        </w:rPr>
        <w:t xml:space="preserve">        </w:t>
      </w:r>
      <w:hyperlink r:id="rId8" w:history="1">
        <w:r w:rsidR="007D2A09" w:rsidRPr="007D2A09">
          <w:rPr>
            <w:rStyle w:val="Hyperlink"/>
            <w:rFonts w:ascii="Century Gothic" w:hAnsi="Century Gothic"/>
            <w:sz w:val="22"/>
            <w:szCs w:val="22"/>
          </w:rPr>
          <w:t>megseekosh.github.io</w:t>
        </w:r>
      </w:hyperlink>
    </w:p>
    <w:p w14:paraId="2D2A43DC" w14:textId="41C8B464" w:rsidR="00614393" w:rsidRPr="006005C6" w:rsidRDefault="00614393" w:rsidP="00614393">
      <w:pPr>
        <w:ind w:left="576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</w:t>
      </w:r>
      <w:hyperlink r:id="rId9" w:history="1">
        <w:r w:rsidRPr="00614393">
          <w:rPr>
            <w:rStyle w:val="Hyperlink"/>
            <w:rFonts w:ascii="Century Gothic" w:hAnsi="Century Gothic"/>
            <w:sz w:val="22"/>
            <w:szCs w:val="22"/>
          </w:rPr>
          <w:t>github.com/megseekosh</w:t>
        </w:r>
      </w:hyperlink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5E9199B6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Researcher (NIDCD)</w:t>
      </w:r>
    </w:p>
    <w:p w14:paraId="3F390DF4" w14:textId="7B2F5B9A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  <w:t>University of Maryland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7ACD9A8" w:rsidR="004A3BE1" w:rsidRDefault="004A3BE1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69553C0A" w14:textId="6DF7C949" w:rsidR="003E1D71" w:rsidRPr="0010286C" w:rsidRDefault="00BD4B4F" w:rsidP="00FB7DF9">
      <w:pPr>
        <w:rPr>
          <w:rFonts w:ascii="Century Gothic" w:hAnsi="Century Gothic"/>
          <w:b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2018-</w:t>
      </w:r>
      <w:r w:rsidR="0069506E"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Learning to Talk Lab</w:t>
      </w:r>
      <w:r w:rsidR="005E3C33" w:rsidRPr="009A359C">
        <w:rPr>
          <w:rFonts w:ascii="Century Gothic" w:hAnsi="Century Gothic"/>
          <w:b/>
          <w:sz w:val="22"/>
          <w:szCs w:val="22"/>
        </w:rPr>
        <w:t>, Hearing and Speech Sciences Department</w:t>
      </w:r>
      <w:r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69506E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University of Maryland</w:t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3DD9F27A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>Support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2178C3F8" w:rsidR="008A56F4" w:rsidRDefault="001E61D4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To be funded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60452A8E" w14:textId="77777777" w:rsidR="002F2F05" w:rsidRP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05DCAA57" w14:textId="38BB984F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2020-present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5B81D69B" w14:textId="1F12ED93" w:rsidR="00475785" w:rsidRDefault="00475785" w:rsidP="006C5B2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4A9A15F3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revision 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 xml:space="preserve">Newman, R., </w:t>
      </w:r>
      <w:r>
        <w:rPr>
          <w:rFonts w:ascii="Century Gothic" w:hAnsi="Century Gothic"/>
          <w:sz w:val="22"/>
          <w:szCs w:val="22"/>
          <w:lang w:val="en-US"/>
        </w:rPr>
        <w:t>Munson, B., &amp; Edwards, J.</w:t>
      </w:r>
      <w:r>
        <w:rPr>
          <w:rFonts w:ascii="Century Gothic" w:hAnsi="Century Gothic"/>
          <w:sz w:val="22"/>
          <w:szCs w:val="22"/>
          <w:lang w:val="en-US"/>
        </w:rPr>
        <w:t xml:space="preserve"> Auditory feedback experience in phonetic development: Evidence from children with cochlear implants and their normal-hearing peers. [</w:t>
      </w:r>
      <w:hyperlink r:id="rId10" w:history="1">
        <w:r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4B9BB97A" w:rsidR="00553606" w:rsidRDefault="00457ADC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revision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1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D321846" w14:textId="7B926C78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Under </w:t>
      </w:r>
      <w:r w:rsidR="008A56F4">
        <w:rPr>
          <w:rFonts w:ascii="Century Gothic" w:hAnsi="Century Gothic"/>
          <w:sz w:val="22"/>
          <w:szCs w:val="22"/>
          <w:lang w:val="en-US"/>
        </w:rPr>
        <w:t>revision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Word structure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55D9E828" w14:textId="77777777" w:rsidR="00FF1DC9" w:rsidRDefault="00FF1DC9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B3E743" w14:textId="0B2986F1" w:rsidR="00293322" w:rsidRDefault="00937E42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93322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293322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293322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>Cristia, A, Bergelson, E., Casillas, M., Baudet, G., Warlaumont, A. S</w:t>
      </w:r>
      <w:r w:rsidR="006B2CE4">
        <w:rPr>
          <w:rFonts w:ascii="Century Gothic" w:hAnsi="Century Gothic"/>
          <w:bCs/>
          <w:sz w:val="22"/>
          <w:szCs w:val="22"/>
          <w:lang w:val="en-US"/>
        </w:rPr>
        <w:t xml:space="preserve">., Scaff, C., Yankowitz, L., &amp; </w:t>
      </w:r>
      <w:r w:rsidR="005B3631" w:rsidRPr="005B3631">
        <w:rPr>
          <w:rFonts w:ascii="Century Gothic" w:hAnsi="Century Gothic"/>
          <w:bCs/>
          <w:sz w:val="22"/>
          <w:szCs w:val="22"/>
          <w:lang w:val="en-US"/>
        </w:rPr>
        <w:t xml:space="preserve">Seidl, </w:t>
      </w:r>
      <w:r w:rsidR="005B3631" w:rsidRPr="00166603">
        <w:rPr>
          <w:rFonts w:ascii="Century Gothic" w:hAnsi="Century Gothic"/>
          <w:bCs/>
          <w:sz w:val="22"/>
          <w:szCs w:val="22"/>
          <w:lang w:val="en-US"/>
        </w:rPr>
        <w:t>A.</w:t>
      </w:r>
      <w:r w:rsidR="005B3631" w:rsidRPr="00166603">
        <w:rPr>
          <w:rFonts w:ascii="Century Gothic" w:hAnsi="Century Gothic"/>
          <w:b/>
          <w:sz w:val="22"/>
          <w:szCs w:val="22"/>
          <w:lang w:val="en-US"/>
        </w:rPr>
        <w:t xml:space="preserve"> </w:t>
      </w:r>
      <w:r w:rsidR="00293322" w:rsidRPr="00166603">
        <w:rPr>
          <w:rFonts w:ascii="Century Gothic" w:hAnsi="Century Gothic"/>
          <w:iCs/>
          <w:sz w:val="22"/>
          <w:szCs w:val="22"/>
          <w:lang w:val="en-US"/>
        </w:rPr>
        <w:t>Canonical babble development in a large-scale, crosslinguistic corpus.</w:t>
      </w:r>
      <w:r>
        <w:rPr>
          <w:rFonts w:ascii="Century Gothic" w:hAnsi="Century Gothic"/>
          <w:iCs/>
          <w:sz w:val="22"/>
          <w:szCs w:val="22"/>
          <w:lang w:val="en-US"/>
        </w:rPr>
        <w:t xml:space="preserve"> </w:t>
      </w:r>
      <w:r w:rsidRPr="00937E42">
        <w:rPr>
          <w:rFonts w:ascii="Century Gothic" w:hAnsi="Century Gothic"/>
          <w:i/>
          <w:sz w:val="22"/>
          <w:szCs w:val="22"/>
          <w:lang w:val="en-US"/>
        </w:rPr>
        <w:t>Developmental Science</w:t>
      </w:r>
      <w:r>
        <w:rPr>
          <w:rFonts w:ascii="Century Gothic" w:hAnsi="Century Gothic"/>
          <w:iCs/>
          <w:sz w:val="22"/>
          <w:szCs w:val="22"/>
          <w:lang w:val="en-US"/>
        </w:rPr>
        <w:t>.</w:t>
      </w:r>
      <w:r w:rsidR="00293322">
        <w:rPr>
          <w:rFonts w:ascii="Century Gothic" w:hAnsi="Century Gothic"/>
          <w:i/>
          <w:iCs/>
          <w:sz w:val="22"/>
          <w:szCs w:val="22"/>
          <w:lang w:val="en-US"/>
        </w:rPr>
        <w:t xml:space="preserve"> </w:t>
      </w:r>
      <w:r w:rsidR="008504E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="008504E9"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3767A8D5" w14:textId="1EC4BD09" w:rsidR="0053786B" w:rsidRDefault="0053786B" w:rsidP="0029332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C94CAF2" w14:textId="6D3F6726" w:rsidR="0053786B" w:rsidRPr="008504E9" w:rsidRDefault="0053786B" w:rsidP="0053786B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621712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621712">
        <w:rPr>
          <w:rFonts w:ascii="Century Gothic" w:hAnsi="Century Gothic"/>
          <w:sz w:val="22"/>
          <w:szCs w:val="22"/>
          <w:lang w:val="en-US"/>
        </w:rPr>
        <w:t xml:space="preserve">.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8504E9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564A9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E72E64A" w14:textId="3E9C621C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>Romeo, R., Soderstrom, M., Scaff, C., Ganek, H., Cristia, A., Casillas, M., de Barbaro, K., Bang, J., &amp; Weisleder,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E8A8AE5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="00E557DF">
        <w:rPr>
          <w:rFonts w:ascii="Century Gothic" w:hAnsi="Century Gothic"/>
          <w:sz w:val="22"/>
          <w:szCs w:val="22"/>
          <w:lang w:val="en-US"/>
        </w:rPr>
        <w:t xml:space="preserve">(2019).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America-EL,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33A1EB23" w:rsidR="003913BA" w:rsidRP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8B82AE0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B6D4184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D26F523" w14:textId="77777777" w:rsidR="00034779" w:rsidRPr="009A359C" w:rsidRDefault="00034779" w:rsidP="000347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2019 </w:t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sz w:val="22"/>
          <w:szCs w:val="22"/>
          <w:lang w:val="en-US"/>
        </w:rPr>
        <w:tab/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Holistic lexical storage: Coarticulatory evidence from child speech. </w:t>
      </w:r>
      <w:r>
        <w:rPr>
          <w:rFonts w:ascii="Century Gothic" w:hAnsi="Century Gothic"/>
          <w:sz w:val="22"/>
          <w:szCs w:val="22"/>
          <w:lang w:val="en-US"/>
        </w:rPr>
        <w:t>In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Melbourne, Australia. 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lastRenderedPageBreak/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Bergelson, E., Cristia, A., Seidl, A., Warlaumont, A., Yankowitz,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07552C5B" w14:textId="77777777" w:rsidR="00034779" w:rsidRPr="009A359C" w:rsidRDefault="00034779" w:rsidP="00034779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DB29708" w14:textId="117833D3" w:rsidR="00034779" w:rsidRPr="006B2CE4" w:rsidRDefault="00034779" w:rsidP="006B2CE4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3D3D0DAA" w14:textId="77777777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A026A9F" w14:textId="77777777" w:rsidR="006329EA" w:rsidRDefault="006329EA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2DA625BC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5D1466F" w14:textId="77777777" w:rsidR="00034779" w:rsidRPr="009A359C" w:rsidRDefault="00034779" w:rsidP="00034779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6557D69E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8647E49" w14:textId="77777777" w:rsidR="004041FD" w:rsidRDefault="004041FD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38F9719D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>Romeo, R., Soders</w:t>
      </w:r>
      <w:r w:rsidR="004041FD">
        <w:rPr>
          <w:rFonts w:ascii="Century Gothic" w:hAnsi="Century Gothic"/>
          <w:sz w:val="22"/>
          <w:szCs w:val="22"/>
        </w:rPr>
        <w:t>trom, M., Scaff, C., Ganek,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64A99">
        <w:rPr>
          <w:rFonts w:ascii="Century Gothic" w:hAnsi="Century Gothic"/>
          <w:sz w:val="22"/>
          <w:szCs w:val="22"/>
        </w:rPr>
        <w:lastRenderedPageBreak/>
        <w:t>Cristia, A., Casillas, M., de Barbaro, K., Bang, J., &amp; Weisleder,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B3631">
        <w:rPr>
          <w:rFonts w:ascii="Century Gothic" w:hAnsi="Century Gothic"/>
          <w:bCs/>
          <w:sz w:val="22"/>
          <w:szCs w:val="22"/>
        </w:rPr>
        <w:t>Cristia, A, Bergelson</w:t>
      </w:r>
      <w:r w:rsidR="004041FD">
        <w:rPr>
          <w:rFonts w:ascii="Century Gothic" w:hAnsi="Century Gothic"/>
          <w:bCs/>
          <w:sz w:val="22"/>
          <w:szCs w:val="22"/>
        </w:rPr>
        <w:t>, E., Casillas, M., Baudet,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r w:rsidRPr="005B3631">
        <w:rPr>
          <w:rFonts w:ascii="Century Gothic" w:hAnsi="Century Gothic"/>
          <w:bCs/>
          <w:sz w:val="22"/>
          <w:szCs w:val="22"/>
        </w:rPr>
        <w:t xml:space="preserve">Warlaumont, A. S., Scaff, C., Yankowitz, L., &amp;  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BabbleCor: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r w:rsidRPr="00A5636D">
        <w:rPr>
          <w:rFonts w:ascii="Century Gothic" w:hAnsi="Century Gothic"/>
          <w:i/>
          <w:iCs/>
          <w:sz w:val="22"/>
          <w:szCs w:val="22"/>
        </w:rPr>
        <w:t>Cychosz HomeBank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77777777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77777777" w:rsidR="00305B79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9EA63C4" w14:textId="77777777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DAFD6A6" w14:textId="77777777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F4D2264" w14:textId="410A3A8F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June</w:t>
      </w:r>
      <w:r>
        <w:rPr>
          <w:rFonts w:ascii="Century Gothic" w:hAnsi="Century Gothic"/>
          <w:sz w:val="22"/>
          <w:szCs w:val="22"/>
        </w:rPr>
        <w:t xml:space="preserve"> 202</w:t>
      </w:r>
      <w:r>
        <w:rPr>
          <w:rFonts w:ascii="Century Gothic" w:hAnsi="Century Gothic"/>
          <w:sz w:val="22"/>
          <w:szCs w:val="22"/>
        </w:rPr>
        <w:t>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573D6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573D63">
        <w:rPr>
          <w:rFonts w:ascii="Century Gothic" w:hAnsi="Century Gothic"/>
          <w:b/>
          <w:sz w:val="22"/>
          <w:szCs w:val="22"/>
        </w:rPr>
        <w:t>, M</w:t>
      </w:r>
      <w:r w:rsidRPr="00573D63">
        <w:rPr>
          <w:rFonts w:ascii="Century Gothic" w:hAnsi="Century Gothic"/>
          <w:sz w:val="22"/>
          <w:szCs w:val="22"/>
        </w:rPr>
        <w:t xml:space="preserve">. </w:t>
      </w:r>
      <w:r w:rsidRPr="00573D63">
        <w:rPr>
          <w:rFonts w:ascii="Century Gothic" w:eastAsiaTheme="minorHAnsi" w:hAnsi="Century Gothic" w:cs="Helvetica"/>
          <w:sz w:val="22"/>
          <w:szCs w:val="22"/>
        </w:rPr>
        <w:t>Reconsidering variability in child speech production. 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151844C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r w:rsidR="001A6332" w:rsidRPr="001A6332">
        <w:rPr>
          <w:rFonts w:ascii="Century Gothic" w:hAnsi="Century Gothic"/>
          <w:b/>
          <w:sz w:val="22"/>
          <w:szCs w:val="22"/>
        </w:rPr>
        <w:t>Cychosz,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r w:rsidR="00816301" w:rsidRPr="001A6332">
        <w:rPr>
          <w:rFonts w:ascii="Century Gothic" w:hAnsi="Century Gothic"/>
          <w:b/>
          <w:sz w:val="22"/>
          <w:szCs w:val="22"/>
        </w:rPr>
        <w:t>Cychosz,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0A5F8908" w14:textId="30914214" w:rsidR="00573D63" w:rsidRPr="00191D60" w:rsidRDefault="00236024" w:rsidP="00634C65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277C00E5" w14:textId="77777777" w:rsidR="00A326B1" w:rsidRDefault="00A326B1" w:rsidP="00F94B8E">
      <w:pPr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376A19AD" w14:textId="1B8CD160" w:rsidR="00F94B8E" w:rsidRPr="002E4BD0" w:rsidRDefault="00F94B8E" w:rsidP="00F94B8E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to be given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565988CB" w14:textId="04490813" w:rsidR="00F94B8E" w:rsidRPr="002E4BD0" w:rsidRDefault="00F94B8E" w:rsidP="00F94B8E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2E4BD0">
        <w:rPr>
          <w:rFonts w:ascii="Century Gothic" w:hAnsi="Century Gothic"/>
          <w:sz w:val="22"/>
          <w:szCs w:val="22"/>
          <w:lang w:val="en-US"/>
        </w:rPr>
        <w:t xml:space="preserve"> </w:t>
      </w:r>
    </w:p>
    <w:p w14:paraId="78D42773" w14:textId="2B3B74E6" w:rsidR="002E4BD0" w:rsidRPr="002E4BD0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9"/>
          <w:szCs w:val="29"/>
        </w:rPr>
      </w:pP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2E4BD0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2E4BD0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A</w:t>
      </w:r>
      <w:r w:rsidRPr="002E4BD0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What day-long audio-recordings can tell us about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c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hildren's 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v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>ocal development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Talk to be given at the </w:t>
      </w:r>
      <w:r w:rsidRPr="000336D0">
        <w:rPr>
          <w:rFonts w:ascii="Century Gothic" w:hAnsi="Century Gothic"/>
          <w:b w:val="0"/>
          <w:bCs w:val="0"/>
          <w:i/>
          <w:iCs/>
          <w:color w:val="000000" w:themeColor="text1"/>
          <w:sz w:val="21"/>
          <w:szCs w:val="21"/>
        </w:rPr>
        <w:t>Münster Conference on Linguistic Representations and Language Processing</w:t>
      </w:r>
      <w:r w:rsidRPr="002E4BD0">
        <w:rPr>
          <w:rFonts w:ascii="Century Gothic" w:hAnsi="Century Gothic"/>
          <w:b w:val="0"/>
          <w:bCs w:val="0"/>
          <w:color w:val="000000" w:themeColor="text1"/>
          <w:sz w:val="21"/>
          <w:szCs w:val="21"/>
        </w:rPr>
        <w:t xml:space="preserve">. </w:t>
      </w:r>
    </w:p>
    <w:p w14:paraId="060C8661" w14:textId="72F6958D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r w:rsidRPr="00F94B8E">
        <w:rPr>
          <w:rFonts w:ascii="Century Gothic" w:hAnsi="Century Gothic"/>
          <w:sz w:val="22"/>
          <w:szCs w:val="22"/>
        </w:rPr>
        <w:t xml:space="preserve">Weisleder,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B921A45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, 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to be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>Marin, N.,…</w:t>
      </w:r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.,…Cristia,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lastRenderedPageBreak/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Weisleder,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Weisleder,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r w:rsidRPr="005B3631">
        <w:rPr>
          <w:rFonts w:ascii="Century Gothic" w:hAnsi="Century Gothic"/>
          <w:bCs/>
          <w:sz w:val="22"/>
          <w:szCs w:val="22"/>
        </w:rPr>
        <w:t>Cristia, A, Bergelson, E., Casillas, M., Baudet, G., Warlaumont, A. S</w:t>
      </w:r>
      <w:r>
        <w:rPr>
          <w:rFonts w:ascii="Century Gothic" w:hAnsi="Century Gothic"/>
          <w:bCs/>
          <w:sz w:val="22"/>
          <w:szCs w:val="22"/>
        </w:rPr>
        <w:t xml:space="preserve">., Scaff, C., Yankowitz, L., &amp; </w:t>
      </w:r>
      <w:r w:rsidRPr="005B3631">
        <w:rPr>
          <w:rFonts w:ascii="Century Gothic" w:hAnsi="Century Gothic"/>
          <w:bCs/>
          <w:sz w:val="22"/>
          <w:szCs w:val="22"/>
        </w:rPr>
        <w:t xml:space="preserve">Seidl,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r w:rsidRPr="005D4160">
        <w:rPr>
          <w:rFonts w:ascii="Century Gothic" w:hAnsi="Century Gothic"/>
          <w:b/>
          <w:sz w:val="22"/>
          <w:szCs w:val="22"/>
          <w:lang w:val="fr-FR"/>
        </w:rPr>
        <w:t>Cychosz,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Munson,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The lexical advantage: Four year old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3FAB335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(unable to attend)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0DC5D49C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7A8C1E06" w14:textId="6752DF9F" w:rsidR="00634C65" w:rsidRPr="009A359C" w:rsidRDefault="00634C65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C9DFE61" w14:textId="07AD5DD3" w:rsidR="00EF07F6" w:rsidRPr="007047CF" w:rsidRDefault="007C590F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  <w:t>UC Berkeley</w:t>
      </w:r>
    </w:p>
    <w:p w14:paraId="20F521F3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4CE0839" w14:textId="4B372854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156AD3E3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2CC86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4E543B7A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Arriola,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76741C3" w14:textId="2F841D27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0E2F0512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Journal of Child Language, Developmental Science, Ear and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695F91B5" w:rsidR="00614393" w:rsidRPr="007C7939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, 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Acquisition</w:t>
      </w:r>
      <w:r w:rsidR="00614393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9A359C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2563312E" w14:textId="143D84E3" w:rsidR="007658D7" w:rsidRPr="007C7939" w:rsidRDefault="007658D7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proofErr w:type="spellStart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7658D7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</w:p>
    <w:p w14:paraId="19C20866" w14:textId="77777777" w:rsidR="00614393" w:rsidRDefault="00614393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282B21F2" w:rsidR="00114268" w:rsidRDefault="00114268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A04EA78" w14:textId="62344E67" w:rsidR="0080589F" w:rsidRDefault="0080589F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</w:t>
      </w:r>
      <w:r w:rsidR="003B07D5">
        <w:rPr>
          <w:rFonts w:ascii="Century Gothic" w:hAnsi="Century Gothic" w:cs="Arial"/>
          <w:sz w:val="22"/>
          <w:szCs w:val="22"/>
        </w:rPr>
        <w:t xml:space="preserve"> (BLS 2020)</w:t>
      </w:r>
      <w:r w:rsidR="00730014">
        <w:rPr>
          <w:rFonts w:ascii="Century Gothic" w:hAnsi="Century Gothic" w:cs="Arial"/>
          <w:sz w:val="22"/>
          <w:szCs w:val="22"/>
        </w:rPr>
        <w:t>: Phonological</w:t>
      </w:r>
      <w:r>
        <w:rPr>
          <w:rFonts w:ascii="Century Gothic" w:hAnsi="Century Gothic" w:cs="Arial"/>
          <w:sz w:val="22"/>
          <w:szCs w:val="22"/>
        </w:rPr>
        <w:t xml:space="preserve"> Representations. </w:t>
      </w:r>
    </w:p>
    <w:p w14:paraId="008DE5D3" w14:textId="47B0BC4A" w:rsidR="00D91DED" w:rsidRDefault="00D91DED" w:rsidP="00BD768B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54695110" w14:textId="66EDB11E" w:rsidR="00573D63" w:rsidRDefault="00804C96" w:rsidP="000148F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Pre-PI Representative and pre-PI group organizer,</w:t>
      </w:r>
      <w:r w:rsidRPr="009A359C">
        <w:rPr>
          <w:rFonts w:ascii="Century Gothic" w:hAnsi="Century Gothic" w:cs="Arial"/>
          <w:sz w:val="22"/>
          <w:szCs w:val="22"/>
        </w:rPr>
        <w:t xml:space="preserve"> DARCLE Board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 xml:space="preserve">(Daylong Audio Recordings of Children’s Linguistic Environments) </w:t>
      </w:r>
    </w:p>
    <w:p w14:paraId="33526C97" w14:textId="439930B0" w:rsidR="00605E9A" w:rsidRDefault="00573D63" w:rsidP="000148FB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2D71A4FD" w14:textId="0BB0B85D" w:rsidR="006329EA" w:rsidRDefault="00493B09" w:rsidP="0011426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="00B9487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B94878" w:rsidRPr="009A359C">
        <w:rPr>
          <w:rFonts w:ascii="Century Gothic" w:hAnsi="Century Gothic" w:cs="Arial"/>
          <w:sz w:val="22"/>
          <w:szCs w:val="22"/>
        </w:rPr>
        <w:tab/>
      </w:r>
      <w:r w:rsidR="005E3C33"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="00965476"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="00965476"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605E9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</w:t>
      </w:r>
      <w:r w:rsidR="0075374D"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Conference</w:t>
      </w:r>
      <w:r w:rsidR="00965476" w:rsidRPr="009A359C">
        <w:rPr>
          <w:rFonts w:ascii="Century Gothic" w:hAnsi="Century Gothic" w:cs="Arial"/>
          <w:sz w:val="22"/>
          <w:szCs w:val="22"/>
        </w:rPr>
        <w:br/>
      </w:r>
      <w:r w:rsidR="000148FB" w:rsidRPr="009A359C">
        <w:rPr>
          <w:rFonts w:ascii="Century Gothic" w:hAnsi="Century Gothic" w:cs="Arial"/>
          <w:sz w:val="22"/>
          <w:szCs w:val="22"/>
        </w:rPr>
        <w:t>2016-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0148FB" w:rsidRPr="009A359C">
        <w:rPr>
          <w:rFonts w:ascii="Century Gothic" w:hAnsi="Century Gothic" w:cs="Arial"/>
          <w:sz w:val="22"/>
          <w:szCs w:val="22"/>
        </w:rPr>
        <w:t>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0148FB" w:rsidRPr="009A359C">
        <w:rPr>
          <w:rFonts w:ascii="Century Gothic" w:hAnsi="Century Gothic" w:cs="Arial"/>
          <w:b/>
          <w:sz w:val="22"/>
          <w:szCs w:val="22"/>
        </w:rPr>
        <w:t>Organizer</w:t>
      </w:r>
      <w:r w:rsidR="000148FB"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="000148FB"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  <w:r w:rsidR="005639AB" w:rsidRPr="009A359C">
        <w:rPr>
          <w:rFonts w:ascii="Century Gothic" w:hAnsi="Century Gothic" w:cs="Arial"/>
          <w:sz w:val="22"/>
          <w:szCs w:val="22"/>
        </w:rPr>
        <w:br/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7C590F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6000E31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r w:rsidR="00C402A0" w:rsidRPr="009A359C">
        <w:rPr>
          <w:rFonts w:ascii="Century Gothic" w:hAnsi="Century Gothic" w:cs="Arial"/>
          <w:sz w:val="22"/>
          <w:szCs w:val="22"/>
        </w:rPr>
        <w:t>Praat</w:t>
      </w:r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OpenSesame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72B407D6" w:rsidR="00E966FC" w:rsidRPr="009A359C" w:rsidRDefault="007B4D76" w:rsidP="00493B0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r w:rsidR="00521557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Language </w:t>
      </w:r>
      <w:proofErr w:type="spellStart"/>
      <w:r w:rsidR="005100BB" w:rsidRPr="009A359C">
        <w:rPr>
          <w:rFonts w:ascii="Century Gothic" w:hAnsi="Century Gothic"/>
          <w:sz w:val="22"/>
          <w:szCs w:val="22"/>
        </w:rPr>
        <w:t>E</w:t>
      </w:r>
      <w:r w:rsidR="00D91DED">
        <w:rPr>
          <w:rFonts w:ascii="Century Gothic" w:hAnsi="Century Gothic"/>
          <w:sz w:val="22"/>
          <w:szCs w:val="22"/>
        </w:rPr>
        <w:t>N</w:t>
      </w:r>
      <w:r w:rsidR="005100BB" w:rsidRPr="009A359C">
        <w:rPr>
          <w:rFonts w:ascii="Century Gothic" w:hAnsi="Century Gothic"/>
          <w:sz w:val="22"/>
          <w:szCs w:val="22"/>
        </w:rPr>
        <w:t>vironment</w:t>
      </w:r>
      <w:proofErr w:type="spellEnd"/>
      <w:r w:rsidR="005100BB" w:rsidRPr="009A359C">
        <w:rPr>
          <w:rFonts w:ascii="Century Gothic" w:hAnsi="Century Gothic"/>
          <w:sz w:val="22"/>
          <w:szCs w:val="22"/>
        </w:rPr>
        <w:t xml:space="preserve"> Analysis (LENA)</w:t>
      </w:r>
    </w:p>
    <w:p w14:paraId="5FFACF7E" w14:textId="77777777" w:rsidR="00CD39B5" w:rsidRDefault="00CD39B5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2016-2017;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586135F7" w14:textId="0109769E" w:rsidR="00D237D2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052B0152" w14:textId="217E48B6" w:rsidR="005E3C33" w:rsidRDefault="005E3C33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04B83B86" w14:textId="2AD04026" w:rsidR="00A326B1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47942C78" w14:textId="055BB1B7" w:rsidR="00A81A5A" w:rsidRDefault="004F134F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>International Congress of Infant Studies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       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63BABBAD" w14:textId="0DBEB94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D6EC66" w14:textId="1837FED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73751C5" w14:textId="6048D51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523F473" w14:textId="2F65CDD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96D126" w14:textId="07E29E6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BE3E283" w14:textId="1075703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45DCEE9" w14:textId="1DD7829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FB961F9" w14:textId="35F0711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4302F7D" w14:textId="279AB2F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D07E6D" w14:textId="7D8F0D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0551D8" w14:textId="0B21B8CB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BAF7D3" w14:textId="4AC21658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E00CC2" w14:textId="3856195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A16CE2F" w14:textId="37F0C80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B367E0D" w14:textId="648E737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7F085A8" w14:textId="7144474F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3709443" w14:textId="70F4C4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917CE03" w14:textId="2147421A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5BFA068" w14:textId="6379A220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C4D987D" w14:textId="57DFDEB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26FA3CA" w14:textId="4FEB54A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21B3D19" w14:textId="3A03A4E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8DADE75" w14:textId="3F94F77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0E726BD" w14:textId="4EC60091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D10A7B3" w14:textId="22FE3C85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E648087" w14:textId="40A3761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9F608ED" w14:textId="4EC14B4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870F0AD" w14:textId="4FCE048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9157AF" w14:textId="3BDDB2D6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322828D" w14:textId="1DF727A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DB8EFA3" w14:textId="2ACDFC02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B49B09E" w14:textId="150979B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78F0C91" w14:textId="35E1DB2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34A18E7C" w14:textId="34E3F5A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2854C464" w14:textId="56FF024C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100812E0" w14:textId="20C8D91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43E2126" w14:textId="6E8A930E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553881A3" w14:textId="73D2264D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60143AE0" w14:textId="03239A97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07EE45F6" w14:textId="5AFE9D33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74E18C26" w14:textId="0BCA8E89" w:rsidR="001E0820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p w14:paraId="4F30AFF5" w14:textId="77777777" w:rsidR="00632B7C" w:rsidRDefault="00632B7C" w:rsidP="00632B7C">
      <w:pPr>
        <w:pStyle w:val="Heading1"/>
        <w:jc w:val="center"/>
        <w:rPr>
          <w:rFonts w:ascii="Palatino" w:hAnsi="Palatino"/>
          <w:color w:val="000000" w:themeColor="text1"/>
          <w:sz w:val="24"/>
          <w:szCs w:val="24"/>
        </w:rPr>
      </w:pPr>
      <w:bookmarkStart w:id="1" w:name="_gjdgxs" w:colFirst="0" w:colLast="0"/>
      <w:bookmarkEnd w:id="1"/>
    </w:p>
    <w:p w14:paraId="74CAD3A4" w14:textId="77777777" w:rsidR="001E0820" w:rsidRPr="009A359C" w:rsidRDefault="001E0820" w:rsidP="003B07D5">
      <w:pPr>
        <w:ind w:left="2160"/>
        <w:rPr>
          <w:rFonts w:ascii="Century Gothic" w:hAnsi="Century Gothic" w:cs="Arial"/>
          <w:sz w:val="22"/>
          <w:szCs w:val="22"/>
        </w:rPr>
      </w:pPr>
    </w:p>
    <w:sectPr w:rsidR="001E0820" w:rsidRPr="009A359C" w:rsidSect="00744BC3">
      <w:footerReference w:type="even" r:id="rId15"/>
      <w:footerReference w:type="default" r:id="rId16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64CE" w14:textId="77777777" w:rsidR="0044183D" w:rsidRDefault="0044183D" w:rsidP="00A20228">
      <w:r>
        <w:separator/>
      </w:r>
    </w:p>
  </w:endnote>
  <w:endnote w:type="continuationSeparator" w:id="0">
    <w:p w14:paraId="555A5CD9" w14:textId="77777777" w:rsidR="0044183D" w:rsidRDefault="0044183D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﷽﷽﷽﷽﷽﷽﷽﷽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5B27" w14:textId="77777777" w:rsidR="0044183D" w:rsidRDefault="0044183D" w:rsidP="00A20228">
      <w:r>
        <w:separator/>
      </w:r>
    </w:p>
  </w:footnote>
  <w:footnote w:type="continuationSeparator" w:id="0">
    <w:p w14:paraId="55DE2BC4" w14:textId="77777777" w:rsidR="0044183D" w:rsidRDefault="0044183D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148FB"/>
    <w:rsid w:val="00017111"/>
    <w:rsid w:val="0002080F"/>
    <w:rsid w:val="00024498"/>
    <w:rsid w:val="00026419"/>
    <w:rsid w:val="00027440"/>
    <w:rsid w:val="000336D0"/>
    <w:rsid w:val="00034779"/>
    <w:rsid w:val="00035813"/>
    <w:rsid w:val="00035DB2"/>
    <w:rsid w:val="00037BC9"/>
    <w:rsid w:val="00043FA7"/>
    <w:rsid w:val="000454D1"/>
    <w:rsid w:val="00046026"/>
    <w:rsid w:val="00047736"/>
    <w:rsid w:val="00060145"/>
    <w:rsid w:val="000618CC"/>
    <w:rsid w:val="000755F3"/>
    <w:rsid w:val="00084AFD"/>
    <w:rsid w:val="0008598E"/>
    <w:rsid w:val="00085A26"/>
    <w:rsid w:val="00087237"/>
    <w:rsid w:val="00087A63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5582"/>
    <w:rsid w:val="000C5C3A"/>
    <w:rsid w:val="000C6317"/>
    <w:rsid w:val="000D121D"/>
    <w:rsid w:val="000D44C2"/>
    <w:rsid w:val="000D6026"/>
    <w:rsid w:val="000E7C93"/>
    <w:rsid w:val="000F3619"/>
    <w:rsid w:val="000F3AA9"/>
    <w:rsid w:val="000F4AAF"/>
    <w:rsid w:val="001009B2"/>
    <w:rsid w:val="0010286C"/>
    <w:rsid w:val="00104008"/>
    <w:rsid w:val="00107AF3"/>
    <w:rsid w:val="001132A1"/>
    <w:rsid w:val="00114268"/>
    <w:rsid w:val="00120700"/>
    <w:rsid w:val="00130C9F"/>
    <w:rsid w:val="00133DD4"/>
    <w:rsid w:val="00134903"/>
    <w:rsid w:val="00136C3A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C0C4B"/>
    <w:rsid w:val="001D2FC9"/>
    <w:rsid w:val="001D38B4"/>
    <w:rsid w:val="001D3FA0"/>
    <w:rsid w:val="001D6016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275F6"/>
    <w:rsid w:val="00236024"/>
    <w:rsid w:val="0023739C"/>
    <w:rsid w:val="002443EB"/>
    <w:rsid w:val="00260661"/>
    <w:rsid w:val="00264CBD"/>
    <w:rsid w:val="00277FDB"/>
    <w:rsid w:val="002859DB"/>
    <w:rsid w:val="0029224D"/>
    <w:rsid w:val="00293322"/>
    <w:rsid w:val="00294242"/>
    <w:rsid w:val="00295630"/>
    <w:rsid w:val="002A1B61"/>
    <w:rsid w:val="002A72E8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C6665"/>
    <w:rsid w:val="003D4D86"/>
    <w:rsid w:val="003D6531"/>
    <w:rsid w:val="003D71C6"/>
    <w:rsid w:val="003E09B5"/>
    <w:rsid w:val="003E1D71"/>
    <w:rsid w:val="003E279F"/>
    <w:rsid w:val="003F31BD"/>
    <w:rsid w:val="003F6EB2"/>
    <w:rsid w:val="003F755A"/>
    <w:rsid w:val="004041FD"/>
    <w:rsid w:val="00404BAB"/>
    <w:rsid w:val="00413AC0"/>
    <w:rsid w:val="00416948"/>
    <w:rsid w:val="00424B07"/>
    <w:rsid w:val="004310B9"/>
    <w:rsid w:val="00433394"/>
    <w:rsid w:val="0044038E"/>
    <w:rsid w:val="0044183D"/>
    <w:rsid w:val="00442137"/>
    <w:rsid w:val="00443D80"/>
    <w:rsid w:val="00451F81"/>
    <w:rsid w:val="004548E8"/>
    <w:rsid w:val="00454DFB"/>
    <w:rsid w:val="00455E9D"/>
    <w:rsid w:val="00457AD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701E"/>
    <w:rsid w:val="004C36DA"/>
    <w:rsid w:val="004D1E68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24DC"/>
    <w:rsid w:val="0054316D"/>
    <w:rsid w:val="0054410F"/>
    <w:rsid w:val="00546706"/>
    <w:rsid w:val="005470C0"/>
    <w:rsid w:val="00553606"/>
    <w:rsid w:val="005558BA"/>
    <w:rsid w:val="00561605"/>
    <w:rsid w:val="005624B6"/>
    <w:rsid w:val="005639AB"/>
    <w:rsid w:val="00564A99"/>
    <w:rsid w:val="00566758"/>
    <w:rsid w:val="00573D63"/>
    <w:rsid w:val="00573F9D"/>
    <w:rsid w:val="00585758"/>
    <w:rsid w:val="005859F0"/>
    <w:rsid w:val="00590479"/>
    <w:rsid w:val="00592291"/>
    <w:rsid w:val="00593DFB"/>
    <w:rsid w:val="00597E76"/>
    <w:rsid w:val="005A1684"/>
    <w:rsid w:val="005A24D2"/>
    <w:rsid w:val="005B343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5E9A"/>
    <w:rsid w:val="00611D73"/>
    <w:rsid w:val="00614393"/>
    <w:rsid w:val="00621712"/>
    <w:rsid w:val="006247C4"/>
    <w:rsid w:val="006248E7"/>
    <w:rsid w:val="00626987"/>
    <w:rsid w:val="00627CD6"/>
    <w:rsid w:val="006329EA"/>
    <w:rsid w:val="00632B7C"/>
    <w:rsid w:val="00634C65"/>
    <w:rsid w:val="00635E08"/>
    <w:rsid w:val="00635E0A"/>
    <w:rsid w:val="00637B5E"/>
    <w:rsid w:val="006540AD"/>
    <w:rsid w:val="006657EB"/>
    <w:rsid w:val="00665821"/>
    <w:rsid w:val="006778F8"/>
    <w:rsid w:val="00682D26"/>
    <w:rsid w:val="00683732"/>
    <w:rsid w:val="006856F5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70784"/>
    <w:rsid w:val="008734AE"/>
    <w:rsid w:val="008840A2"/>
    <w:rsid w:val="00887D57"/>
    <w:rsid w:val="00890181"/>
    <w:rsid w:val="0089106B"/>
    <w:rsid w:val="008946C5"/>
    <w:rsid w:val="00896982"/>
    <w:rsid w:val="008A56F4"/>
    <w:rsid w:val="008A599D"/>
    <w:rsid w:val="008B4FD3"/>
    <w:rsid w:val="008B5C64"/>
    <w:rsid w:val="008B62EF"/>
    <w:rsid w:val="008C0D29"/>
    <w:rsid w:val="008C4004"/>
    <w:rsid w:val="008D101A"/>
    <w:rsid w:val="008D11F9"/>
    <w:rsid w:val="008D1325"/>
    <w:rsid w:val="008D3E85"/>
    <w:rsid w:val="008E243E"/>
    <w:rsid w:val="008E2562"/>
    <w:rsid w:val="008E61D6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91DC8"/>
    <w:rsid w:val="009955AA"/>
    <w:rsid w:val="00996000"/>
    <w:rsid w:val="009A0732"/>
    <w:rsid w:val="009A359C"/>
    <w:rsid w:val="009A5B80"/>
    <w:rsid w:val="009A5E6D"/>
    <w:rsid w:val="009C3DA2"/>
    <w:rsid w:val="009C6C2F"/>
    <w:rsid w:val="009D0637"/>
    <w:rsid w:val="009D12BF"/>
    <w:rsid w:val="009D1B8B"/>
    <w:rsid w:val="009D4B47"/>
    <w:rsid w:val="009D4F26"/>
    <w:rsid w:val="009D569C"/>
    <w:rsid w:val="009E0B8D"/>
    <w:rsid w:val="009E47A3"/>
    <w:rsid w:val="00A03045"/>
    <w:rsid w:val="00A0754C"/>
    <w:rsid w:val="00A078AA"/>
    <w:rsid w:val="00A117AE"/>
    <w:rsid w:val="00A12A11"/>
    <w:rsid w:val="00A1609F"/>
    <w:rsid w:val="00A1681E"/>
    <w:rsid w:val="00A20228"/>
    <w:rsid w:val="00A274FA"/>
    <w:rsid w:val="00A326B1"/>
    <w:rsid w:val="00A34AD7"/>
    <w:rsid w:val="00A51D47"/>
    <w:rsid w:val="00A5487F"/>
    <w:rsid w:val="00A5636D"/>
    <w:rsid w:val="00A56431"/>
    <w:rsid w:val="00A6535F"/>
    <w:rsid w:val="00A670D4"/>
    <w:rsid w:val="00A67F06"/>
    <w:rsid w:val="00A71BA9"/>
    <w:rsid w:val="00A726AE"/>
    <w:rsid w:val="00A76564"/>
    <w:rsid w:val="00A7754F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19D7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768B"/>
    <w:rsid w:val="00BE7753"/>
    <w:rsid w:val="00BF0C9A"/>
    <w:rsid w:val="00BF5895"/>
    <w:rsid w:val="00BF77D5"/>
    <w:rsid w:val="00C032E7"/>
    <w:rsid w:val="00C04241"/>
    <w:rsid w:val="00C1351F"/>
    <w:rsid w:val="00C159D8"/>
    <w:rsid w:val="00C17B62"/>
    <w:rsid w:val="00C32F94"/>
    <w:rsid w:val="00C33429"/>
    <w:rsid w:val="00C35726"/>
    <w:rsid w:val="00C36065"/>
    <w:rsid w:val="00C402A0"/>
    <w:rsid w:val="00C46D30"/>
    <w:rsid w:val="00C6296D"/>
    <w:rsid w:val="00C63EB2"/>
    <w:rsid w:val="00C646FF"/>
    <w:rsid w:val="00C704CF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3979"/>
    <w:rsid w:val="00D74C97"/>
    <w:rsid w:val="00D764FD"/>
    <w:rsid w:val="00D8035B"/>
    <w:rsid w:val="00D808CD"/>
    <w:rsid w:val="00D81F09"/>
    <w:rsid w:val="00D85B69"/>
    <w:rsid w:val="00D90612"/>
    <w:rsid w:val="00D910B4"/>
    <w:rsid w:val="00D91DED"/>
    <w:rsid w:val="00DA3FCF"/>
    <w:rsid w:val="00DB2296"/>
    <w:rsid w:val="00DC4047"/>
    <w:rsid w:val="00DC56E4"/>
    <w:rsid w:val="00DC56FC"/>
    <w:rsid w:val="00DC7591"/>
    <w:rsid w:val="00DD5346"/>
    <w:rsid w:val="00DD5DE0"/>
    <w:rsid w:val="00DD7533"/>
    <w:rsid w:val="00DE32EE"/>
    <w:rsid w:val="00DE4EBF"/>
    <w:rsid w:val="00DE5F56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69F3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5126E"/>
    <w:rsid w:val="00F525B5"/>
    <w:rsid w:val="00F63776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4BD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seekosh.github.io/" TargetMode="External"/><Relationship Id="rId13" Type="http://schemas.openxmlformats.org/officeDocument/2006/relationships/hyperlink" Target="https://psyarxiv.com/9vzs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yarxiv.com/26uyb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dy6v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syarxiv.com/ek7z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gseekosh" TargetMode="External"/><Relationship Id="rId14" Type="http://schemas.openxmlformats.org/officeDocument/2006/relationships/hyperlink" Target="https://psyarxiv.com/vwh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2977</Words>
  <Characters>16974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2020-11-27T18:29:00Z</cp:lastPrinted>
  <dcterms:created xsi:type="dcterms:W3CDTF">2021-02-19T15:06:00Z</dcterms:created>
  <dcterms:modified xsi:type="dcterms:W3CDTF">2021-02-19T15:06:00Z</dcterms:modified>
</cp:coreProperties>
</file>