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EUROSETU</w:t>
      </w:r>
    </w:p>
    <w:p>
      <w:pPr>
        <w:jc w:val="center"/>
      </w:pPr>
      <w:r>
        <w:rPr>
          <w:rFonts w:ascii="Aptos Display" w:hAnsi="Aptos Display"/>
          <w:b/>
          <w:sz w:val="48"/>
        </w:rPr>
        <w:t>Competitive Validation &amp; Benchmark</w:t>
        <w:br/>
        <w:t>Implementation Specification</w:t>
      </w:r>
    </w:p>
    <w:p>
      <w:pPr>
        <w:jc w:val="center"/>
      </w:pPr>
      <w:r>
        <w:rPr>
          <w:sz w:val="22"/>
        </w:rPr>
        <w:t>Engineering specification for regulatory correctness, trade decisioning,</w:t>
        <w:br/>
        <w:t>evidence provenance, competitive workflows, and scale validation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Document field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Implementation-ready v1.0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 October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vertical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Industrial exports to the European Union; steel-first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corridor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India → EU initially; architecture must remain corridor-neutral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Normative sources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Official EU regulatory/reference datasets where available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Non-goal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Claiming legal certification or feature parity with SAP/competitors</w:t>
            </w:r>
          </w:p>
        </w:tc>
      </w:tr>
    </w:tbl>
    <w:p/>
    <w:p>
      <w:r>
        <w:rPr>
          <w:b/>
        </w:rPr>
        <w:t xml:space="preserve">Core principle. </w:t>
      </w:r>
      <w:r>
        <w:t>Every externally visible PASS, BLOCKED, CONDITIONAL, cost, applicability result, and benchmark number must be reproducible from versioned input data, versioned rules, and immutable evidence references.</w:t>
      </w:r>
    </w:p>
    <w:p>
      <w:r>
        <w:br w:type="page"/>
      </w:r>
    </w:p>
    <w:p>
      <w:pPr>
        <w:pStyle w:val="Heading1"/>
      </w:pPr>
      <w:r>
        <w:t>1. Purpose and success definition</w:t>
      </w:r>
    </w:p>
    <w:p>
      <w:r>
        <w:t>This specification converts the proposed EuroSetu competitive acceptance suite into implementable product, data, API, test, CI, and public-benchmark requirements. The suite is intended to prove bounded capabilities using official reference data where possible and competitor-inspired workflows where useful.</w:t>
      </w:r>
    </w:p>
    <w:p>
      <w:pPr>
        <w:pStyle w:val="Heading2"/>
      </w:pPr>
      <w:r>
        <w:t>1.1 Success criteria</w:t>
      </w:r>
    </w:p>
    <w:p>
      <w:pPr>
        <w:pStyle w:val="ListBullet"/>
      </w:pPr>
      <w:r>
        <w:t>One canonical trade/evidence data model is used by all benchmark suites.</w:t>
      </w:r>
    </w:p>
    <w:p>
      <w:pPr>
        <w:pStyle w:val="ListBullet"/>
      </w:pPr>
      <w:r>
        <w:t>Official EU reference cases are ingested as immutable golden fixtures; expected outputs are not hand-authored where the source provides them.</w:t>
      </w:r>
    </w:p>
    <w:p>
      <w:pPr>
        <w:pStyle w:val="ListBullet"/>
      </w:pPr>
      <w:r>
        <w:t>Every decision is reproducible for an as-of date and records the exact rule/data snapshot used.</w:t>
      </w:r>
    </w:p>
    <w:p>
      <w:pPr>
        <w:pStyle w:val="ListBullet"/>
      </w:pPr>
      <w:r>
        <w:t>A failed or stale evidence object propagates to all dependent claims and affected transactions.</w:t>
      </w:r>
    </w:p>
    <w:p>
      <w:pPr>
        <w:pStyle w:val="ListBullet"/>
      </w:pPr>
      <w:r>
        <w:t>Transaction status is one of READY, CONDITIONAL, BLOCKED, NOT_APPLICABLE, or ERROR, with machine-readable reasons.</w:t>
      </w:r>
    </w:p>
    <w:p>
      <w:pPr>
        <w:pStyle w:val="ListBullet"/>
      </w:pPr>
      <w:r>
        <w:t>Benchmark runs emit signed/hashed machine-readable results and a human-readable report.</w:t>
      </w:r>
    </w:p>
    <w:p>
      <w:pPr>
        <w:pStyle w:val="ListBullet"/>
      </w:pPr>
      <w:r>
        <w:t>The public benchmark page reads only released CI artifacts; it contains no manually asserted pass rates.</w:t>
      </w:r>
    </w:p>
    <w:p>
      <w:pPr>
        <w:pStyle w:val="Heading2"/>
      </w:pPr>
      <w:r>
        <w:t>1.2 Evidence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Class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Allowed claim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NORMATIVE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Official EU reference example, legally authoritative dataset, or official guidance-derived oracle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Validated against named official reference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EXTERNAL-ORACLE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Independent official tool/output used as comparison, e.g. ROSA where reproducible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Matches external oracle for defined scenario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COMPETITIVE-SCENARIO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reconstructed from a public competitor/customer case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EuroSetu completes equivalent bounded workflow; not feature parity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SYNTHETIC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Generated load, fault, or commercial scenario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Engineering/performance result only</w:t>
            </w:r>
          </w:p>
        </w:tc>
      </w:tr>
    </w:tbl>
    <w:p/>
    <w:p>
      <w:pPr>
        <w:pStyle w:val="Heading1"/>
      </w:pPr>
      <w:r>
        <w:t>2. System under test</w:t>
      </w:r>
    </w:p>
    <w:p>
      <w:pPr>
        <w:pStyle w:val="CodeBlock"/>
      </w:pPr>
      <w:r>
        <w:t>Source adapters</w:t>
        <w:br/>
        <w:t xml:space="preserve">  → Normalization / identity resolution</w:t>
        <w:br/>
        <w:t xml:space="preserve">  → Trade graph</w:t>
        <w:br/>
        <w:t xml:space="preserve">  → Regulation applicability compiler</w:t>
        <w:br/>
        <w:t xml:space="preserve">  → Obligation graph</w:t>
        <w:br/>
        <w:t xml:space="preserve">  → Evidence graph</w:t>
        <w:br/>
        <w:t xml:space="preserve">  → Calculation engines (CBAM / origin / trade measures)</w:t>
        <w:br/>
        <w:t xml:space="preserve">  → Decision engine</w:t>
        <w:br/>
        <w:t xml:space="preserve">  → Commercial impact graph</w:t>
        <w:br/>
        <w:t xml:space="preserve">  → Remediation engine</w:t>
        <w:br/>
        <w:t xml:space="preserve">  → Audit ledger / API / benchmark report</w:t>
      </w:r>
    </w:p>
    <w:p>
      <w:pPr>
        <w:pStyle w:val="Heading2"/>
      </w:pPr>
      <w:r>
        <w:t>2.1 Required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Required responsibility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Must not silently do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source-registry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Version, hash, effective dates, retrieval metadata for regulatory sources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Overwrite a historical snapshot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trade-ingest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Validate/normalize orders, shipments, products, parties, facilities, BOMs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Guess missing regulatory facts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rule-compiler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Resolve rules applicable at transaction date/context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today's rule for historical transaction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evidence-service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Store evidence metadata, provenance, validity, relationships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Treat document presence as sufficiency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cbam-engine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Applicability, emissions inputs, defaults/benchmarks, exposure outputs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Hide fallback/default usage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taric-engine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Resolve dated CN/origin/destination measures from imported snapshots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Claim live quota balance unless supported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Evaluate configured product-specific origin rules/BOM inputs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Infer preferential origin without rule/evidence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Aggregate obligation results into deterministic status/reasons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Return READY with unresolved blocking checks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impact-engine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Map failures to orders/customers/revenue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Double-count order value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remediation-engine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Rank concrete actions by unlock value/criticality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Represent recommendation as legal advice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audit-ledger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Persist input/rule/evidence/decision lineage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Mutate prior decision records</w:t>
            </w:r>
          </w:p>
        </w:tc>
      </w:tr>
    </w:tbl>
    <w:p/>
    <w:p>
      <w:pPr>
        <w:pStyle w:val="Heading1"/>
      </w:pPr>
      <w:r>
        <w:t>3. Canonical data contracts</w:t>
      </w:r>
    </w:p>
    <w:p>
      <w:r>
        <w:t>Implement as versioned JSON Schema / Pydantic models (or equivalent) and persist schema_version on every top-level object.</w:t>
      </w:r>
    </w:p>
    <w:p>
      <w:pPr>
        <w:pStyle w:val="Heading2"/>
      </w:pPr>
      <w:r>
        <w:t>3.1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Entity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Minimum fields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TradeTransaction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order_id, shipment_id, line_id, seller, buyer, importer, origin_country, destination_country, shipment_date, currency, line_value, quantity, unit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product_id, sku, description, cn_code, cn_version, material_family, bom_id?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facility_id, operator_id, country, address/ref, installation_id?, production_route?, validity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Supplier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supplier_id, legal_name, country, identifiers, parent/ownership refs?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BOM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bom_id, product_id, version, valid_from/to, components[{product/material, qty, value, origin, supplier}]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EvidenceObject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evidence_id, type, subject_ref, issuer, source_uri/ref, content_hash, collected_at, valid_from/to, verification_status, supersedes, confidentiality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RegulatorySourceSnapshot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source_id, authority, title, legal_basis, version, retrieved_at, effective_from/to, content_hash, parser_version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rule_id, family, jurisdiction, product_scope, geography_scope, effective_from/to, source_refs, severity, required_evidence, logic_version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ObligationResult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obligation_id, applicable, status, reasons[], evidence_refs[], rule_refs[], calculation_refs[]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decision_id, transaction_ref, as_of, status, obligation_results[], blocking_reasons[], source_snapshot_refs[], evidence_snapshot_refs[], decision_hash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RemediationAction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action_id, issue_ref, owner_role, requested_evidence/action, priority, affected_transactions[], unlock_value, prerequisites</w:t>
            </w:r>
          </w:p>
        </w:tc>
      </w:tr>
    </w:tbl>
    <w:p/>
    <w:p>
      <w:pPr>
        <w:pStyle w:val="Heading2"/>
      </w:pPr>
      <w:r>
        <w:t>3.2 Status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READY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 configured blocking obligations pass with sufficient, current evidence.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CONDITIONAL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known hard prohibition, but one or more configured checks require action/confirmation before reliance.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BLOCKED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At least one configured blocking obligation fails or required evidence is missing/stale beyond policy.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NOT_APPLICABLE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family evaluated and found out of scope.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ERROR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Evaluation could not complete due to system/data/parser failure; ERROR must never degrade to READY.</w:t>
            </w:r>
          </w:p>
        </w:tc>
      </w:tr>
    </w:tbl>
    <w:p/>
    <w:p>
      <w:pPr>
        <w:pStyle w:val="Heading2"/>
      </w:pPr>
      <w:r>
        <w:t>3.3 Evidence-state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State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Within validity window, not superseded, verification meets policy.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STALE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Age/freshness threshold exceeded although nominal validity may remain.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EXPIRED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as_of &gt; valid_to.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SUPERSEDED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 newer authoritative evidence object replaces it.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CONFLICTING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Two relevant active objects assert incompatible values.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UNVERIFIED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exists but verification level is below obligation policy.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evidence object satisfies the requirement.</w:t>
            </w:r>
          </w:p>
        </w:tc>
      </w:tr>
    </w:tbl>
    <w:p/>
    <w:p>
      <w:pPr>
        <w:pStyle w:val="Heading1"/>
      </w:pPr>
      <w:r>
        <w:t>4. Shared benchmark harness</w:t>
      </w:r>
    </w:p>
    <w:p>
      <w:pPr>
        <w:pStyle w:val="ListNumber"/>
      </w:pPr>
      <w:r>
        <w:t>Load a fixture manifest describing source class, fixture hashes, scenario date, expected oracle, and permitted tolerances.</w:t>
      </w:r>
    </w:p>
    <w:p>
      <w:pPr>
        <w:pStyle w:val="ListNumber"/>
      </w:pPr>
      <w:r>
        <w:t>Create an isolated benchmark tenant/database namespace.</w:t>
      </w:r>
    </w:p>
    <w:p>
      <w:pPr>
        <w:pStyle w:val="ListNumber"/>
      </w:pPr>
      <w:r>
        <w:t>Import regulatory source snapshots and record content hashes.</w:t>
      </w:r>
    </w:p>
    <w:p>
      <w:pPr>
        <w:pStyle w:val="ListNumber"/>
      </w:pPr>
      <w:r>
        <w:t>Import master/transaction/evidence data through production ingestion paths, not test-only database inserts.</w:t>
      </w:r>
    </w:p>
    <w:p>
      <w:pPr>
        <w:pStyle w:val="ListNumber"/>
      </w:pPr>
      <w:r>
        <w:t>Compile applicability and obligations using the scenario as-of date.</w:t>
      </w:r>
    </w:p>
    <w:p>
      <w:pPr>
        <w:pStyle w:val="ListNumber"/>
      </w:pPr>
      <w:r>
        <w:t>Run calculations and decision aggregation.</w:t>
      </w:r>
    </w:p>
    <w:p>
      <w:pPr>
        <w:pStyle w:val="ListNumber"/>
      </w:pPr>
      <w:r>
        <w:t>Compare actual output to expected output/oracle using explicit tolerances.</w:t>
      </w:r>
    </w:p>
    <w:p>
      <w:pPr>
        <w:pStyle w:val="ListNumber"/>
      </w:pPr>
      <w:r>
        <w:t>Emit benchmark-result.json, decision/audit artifacts, timing metrics, and failure diagnostics.</w:t>
      </w:r>
    </w:p>
    <w:p>
      <w:pPr>
        <w:pStyle w:val="ListNumber"/>
      </w:pPr>
      <w:r>
        <w:t>Fail CI on correctness regressions; performance regressions use configurable thresholds and baselines.</w:t>
      </w:r>
    </w:p>
    <w:p>
      <w:pPr>
        <w:pStyle w:val="CodeBlock"/>
      </w:pPr>
      <w:r>
        <w:t>benchmark-result.json</w:t>
        <w:br/>
        <w:t>{</w:t>
        <w:br/>
        <w:t xml:space="preserve">  "suite_id": "EU-CBAM-GOLDEN",</w:t>
        <w:br/>
        <w:t xml:space="preserve">  "case_id": "steel_eaf_001",</w:t>
        <w:br/>
        <w:t xml:space="preserve">  "run_id": "...",</w:t>
        <w:br/>
        <w:t xml:space="preserve">  "code_commit": "...",</w:t>
        <w:br/>
        <w:t xml:space="preserve">  "schema_version": "...",</w:t>
        <w:br/>
        <w:t xml:space="preserve">  "source_snapshots": [{"id":"...", "sha256":"..."}],</w:t>
        <w:br/>
        <w:t xml:space="preserve">  "result": "PASS|FAIL|ERROR",</w:t>
        <w:br/>
        <w:t xml:space="preserve">  "assertions": [{"name":"...", "expected":"...", "actual":"...", "tolerance":"..."}],</w:t>
        <w:br/>
        <w:t xml:space="preserve">  "decision_id": "...",</w:t>
        <w:br/>
        <w:t xml:space="preserve">  "duration_ms": 0,</w:t>
        <w:br/>
        <w:t xml:space="preserve">  "generated_at": "..."</w:t>
        <w:br/>
        <w:t>}</w:t>
      </w:r>
    </w:p>
    <w:p>
      <w:pPr>
        <w:pStyle w:val="Heading1"/>
      </w:pPr>
      <w:r>
        <w:t>5. Benchmark suite specifications</w:t>
      </w:r>
    </w:p>
    <w:p>
      <w:pPr>
        <w:pStyle w:val="Heading2"/>
      </w:pPr>
      <w:r>
        <w:t>5.1 EU-CBAM-GOLDEN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NORMATIVE</w:t>
      </w:r>
    </w:p>
    <w:p>
      <w:r>
        <w:rPr>
          <w:b/>
        </w:rPr>
        <w:t xml:space="preserve">Objective. </w:t>
      </w:r>
      <w:r>
        <w:t>Validate CBAM calculation and parsing against European Commission filled communication examples for steel blast furnace, steel EAF, screws/nuts, aluminium, cement, fertilisers, and hydrogen.</w:t>
      </w:r>
    </w:p>
    <w:p>
      <w:r>
        <w:rPr>
          <w:b/>
        </w:rPr>
        <w:t>Implementation requirements</w:t>
      </w:r>
    </w:p>
    <w:p>
      <w:pPr>
        <w:pStyle w:val="ListBullet"/>
      </w:pPr>
      <w:r>
        <w:t>Store original official files unchanged under tests/fixtures/eu_cbam/&lt;case&gt;/source/ with SHA-256 manifest.</w:t>
      </w:r>
    </w:p>
    <w:p>
      <w:pPr>
        <w:pStyle w:val="ListBullet"/>
      </w:pPr>
      <w:r>
        <w:t>Create deterministic parsers/adapters that transform source workbooks into canonical Facility/Product/Evidence/Calculation inputs.</w:t>
      </w:r>
    </w:p>
    <w:p>
      <w:pPr>
        <w:pStyle w:val="ListBullet"/>
      </w:pPr>
      <w:r>
        <w:t>Persist expected outputs extracted from the official example separately from EuroSetu-calculated outputs.</w:t>
      </w:r>
    </w:p>
    <w:p>
      <w:pPr>
        <w:pStyle w:val="ListBullet"/>
      </w:pPr>
      <w:r>
        <w:t>Support per-field numerical tolerances; default exact match for categorical/applicability outputs.</w:t>
      </w:r>
    </w:p>
    <w:p>
      <w:r>
        <w:rPr>
          <w:b/>
        </w:rPr>
        <w:t>Acceptance criteria</w:t>
      </w:r>
    </w:p>
    <w:p>
      <w:pPr>
        <w:pStyle w:val="ListBullet"/>
      </w:pPr>
      <w:r>
        <w:t>All supported official examples parse without manual edits.</w:t>
      </w:r>
    </w:p>
    <w:p>
      <w:pPr>
        <w:pStyle w:val="ListBullet"/>
      </w:pPr>
      <w:r>
        <w:t>All required calculated fields match the reference within documented tolerance.</w:t>
      </w:r>
    </w:p>
    <w:p>
      <w:pPr>
        <w:pStyle w:val="ListBullet"/>
      </w:pPr>
      <w:r>
        <w:t>Missing/unparseable source cells produce ERROR, never guessed values.</w:t>
      </w:r>
    </w:p>
    <w:p>
      <w:pPr>
        <w:pStyle w:val="ListBullet"/>
      </w:pPr>
      <w:r>
        <w:t>CI prints a field-level diff on failure.</w:t>
      </w:r>
    </w:p>
    <w:p>
      <w:r>
        <w:rPr>
          <w:b/>
        </w:rPr>
        <w:t xml:space="preserve">Suggested path: </w:t>
      </w:r>
      <w:r>
        <w:t>tests/benchmarks/eu_cbam_golden/</w:t>
      </w:r>
    </w:p>
    <w:p>
      <w:pPr>
        <w:pStyle w:val="Heading2"/>
      </w:pPr>
      <w:r>
        <w:t>5.2 CBAM-2026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NORMATIVE</w:t>
      </w:r>
    </w:p>
    <w:p>
      <w:r>
        <w:rPr>
          <w:b/>
        </w:rPr>
        <w:t xml:space="preserve">Objective. </w:t>
      </w:r>
      <w:r>
        <w:t>Validate definitive-period defaults, benchmarks, fallback selection, and dated rule behavior using official 2026 datasets.</w:t>
      </w:r>
    </w:p>
    <w:p>
      <w:r>
        <w:rPr>
          <w:b/>
        </w:rPr>
        <w:t>Implementation requirements</w:t>
      </w:r>
    </w:p>
    <w:p>
      <w:pPr>
        <w:pStyle w:val="ListBullet"/>
      </w:pPr>
      <w:r>
        <w:t>Version datasets by legal/source identifier and effective dates.</w:t>
      </w:r>
    </w:p>
    <w:p>
      <w:pPr>
        <w:pStyle w:val="ListBullet"/>
      </w:pPr>
      <w:r>
        <w:t>Implement cases: actual installation data; fallback/default path; above-benchmark; below-benchmark; source-version change.</w:t>
      </w:r>
    </w:p>
    <w:p>
      <w:pPr>
        <w:pStyle w:val="ListBullet"/>
      </w:pPr>
      <w:r>
        <w:t>Record which path—actual/default/other configured method—was used in each calculation.</w:t>
      </w:r>
    </w:p>
    <w:p>
      <w:r>
        <w:rPr>
          <w:b/>
        </w:rPr>
        <w:t>Acceptance criteria</w:t>
      </w:r>
    </w:p>
    <w:p>
      <w:pPr>
        <w:pStyle w:val="ListBullet"/>
      </w:pPr>
      <w:r>
        <w:t>Historical case recomputed with same as-of date is byte-for-byte decision-equivalent except non-semantic run metadata.</w:t>
      </w:r>
    </w:p>
    <w:p>
      <w:pPr>
        <w:pStyle w:val="ListBullet"/>
      </w:pPr>
      <w:r>
        <w:t>Changing to a later source snapshot changes only outputs causally affected by the changed source.</w:t>
      </w:r>
    </w:p>
    <w:p>
      <w:pPr>
        <w:pStyle w:val="ListBullet"/>
      </w:pPr>
      <w:r>
        <w:t>Decision exposes default-value usage and source citation metadata.</w:t>
      </w:r>
    </w:p>
    <w:p>
      <w:r>
        <w:rPr>
          <w:b/>
        </w:rPr>
        <w:t xml:space="preserve">Suggested path: </w:t>
      </w:r>
      <w:r>
        <w:t>tests/benchmarks/cbam_2026/</w:t>
      </w:r>
    </w:p>
    <w:p>
      <w:pPr>
        <w:pStyle w:val="Heading2"/>
      </w:pPr>
      <w:r>
        <w:t>5.3 STEELFORCE-STYLE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Prove high-volume steel CBAM ingestion, validation, supplier-installation linkage, error detection, and declaration-ready normalized output using 500 synthetic import lines inspired by the public Steelforce workflow.</w:t>
      </w:r>
    </w:p>
    <w:p>
      <w:r>
        <w:rPr>
          <w:b/>
        </w:rPr>
        <w:t>Implementation requirements</w:t>
      </w:r>
    </w:p>
    <w:p>
      <w:pPr>
        <w:pStyle w:val="ListBullet"/>
      </w:pPr>
      <w:r>
        <w:t>Generate 500 deterministic lines across multiple steel CN families, origins, suppliers, installations and customers.</w:t>
      </w:r>
    </w:p>
    <w:p>
      <w:pPr>
        <w:pStyle w:val="ListBullet"/>
      </w:pPr>
      <w:r>
        <w:t>Inject labeled faults: missing installation, precursor, invalid reporting period, default use, invalid/mismatched CN, stale evidence, duplicate installation, missing direct emissions, inconsistent route, missing verification.</w:t>
      </w:r>
    </w:p>
    <w:p>
      <w:pPr>
        <w:pStyle w:val="ListBullet"/>
      </w:pPr>
      <w:r>
        <w:t>Maintain a truth file containing injected fault IDs.</w:t>
      </w:r>
    </w:p>
    <w:p>
      <w:r>
        <w:rPr>
          <w:b/>
        </w:rPr>
        <w:t>Acceptance criteria</w:t>
      </w:r>
    </w:p>
    <w:p>
      <w:pPr>
        <w:pStyle w:val="ListBullet"/>
      </w:pPr>
      <w:r>
        <w:t>100% of injected hard faults are surfaced at the correct entity/transaction level unless explicitly classified non-blocking.</w:t>
      </w:r>
    </w:p>
    <w:p>
      <w:pPr>
        <w:pStyle w:val="ListBullet"/>
      </w:pPr>
      <w:r>
        <w:t>No clean record is falsely BLOCKED by a fixture-injection defect.</w:t>
      </w:r>
    </w:p>
    <w:p>
      <w:pPr>
        <w:pStyle w:val="ListBullet"/>
      </w:pPr>
      <w:r>
        <w:t>Aggregate counts reconcile to line-level results.</w:t>
      </w:r>
    </w:p>
    <w:p>
      <w:pPr>
        <w:pStyle w:val="ListBullet"/>
      </w:pPr>
      <w:r>
        <w:t>Export is deterministic and traceable to supplier/installations.</w:t>
      </w:r>
    </w:p>
    <w:p>
      <w:r>
        <w:rPr>
          <w:b/>
        </w:rPr>
        <w:t xml:space="preserve">Suggested path: </w:t>
      </w:r>
      <w:r>
        <w:t>tests/benchmarks/steelforce_style/</w:t>
      </w:r>
    </w:p>
    <w:p>
      <w:pPr>
        <w:pStyle w:val="Heading2"/>
      </w:pPr>
      <w:r>
        <w:t>5.4 SPAETER-STYLE</w:t>
      </w:r>
    </w:p>
    <w:p>
      <w:r>
        <w:rPr>
          <w:b/>
        </w:rPr>
        <w:t xml:space="preserve">Priority: </w:t>
      </w:r>
      <w:r>
        <w:t xml:space="preserve">P2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Demonstrate scenario comparison across sourcing options using material cost, CBAM/carbon inputs, trade measures, evidence quality and buyer carbon constraints.</w:t>
      </w:r>
    </w:p>
    <w:p>
      <w:r>
        <w:rPr>
          <w:b/>
        </w:rPr>
        <w:t>Implementation requirements</w:t>
      </w:r>
    </w:p>
    <w:p>
      <w:pPr>
        <w:pStyle w:val="ListBullet"/>
      </w:pPr>
      <w:r>
        <w:t>Represent each sourcing option as an immutable scenario branch from the same RFQ.</w:t>
      </w:r>
    </w:p>
    <w:p>
      <w:pPr>
        <w:pStyle w:val="ListBullet"/>
      </w:pPr>
      <w:r>
        <w:t>Do not emit a procurement recommendation unless a configured objective/constraint explicitly defines selection logic.</w:t>
      </w:r>
    </w:p>
    <w:p>
      <w:pPr>
        <w:pStyle w:val="ListBullet"/>
      </w:pPr>
      <w:r>
        <w:t>Separate measured/regulatory values from synthetic commercial assumptions.</w:t>
      </w:r>
    </w:p>
    <w:p>
      <w:r>
        <w:rPr>
          <w:b/>
        </w:rPr>
        <w:t>Acceptance criteria</w:t>
      </w:r>
    </w:p>
    <w:p>
      <w:pPr>
        <w:pStyle w:val="ListBullet"/>
      </w:pPr>
      <w:r>
        <w:t>Correctly classify buyer threshold pass/fail.</w:t>
      </w:r>
    </w:p>
    <w:p>
      <w:pPr>
        <w:pStyle w:val="ListBullet"/>
      </w:pPr>
      <w:r>
        <w:t>Compute comparable landed/compliance outputs with transparent assumptions.</w:t>
      </w:r>
    </w:p>
    <w:p>
      <w:pPr>
        <w:pStyle w:val="ListBullet"/>
      </w:pPr>
      <w:r>
        <w:t>Every option shows evidence completeness and unresolved trade/regulatory checks.</w:t>
      </w:r>
    </w:p>
    <w:p>
      <w:pPr>
        <w:pStyle w:val="ListBullet"/>
      </w:pPr>
      <w:r>
        <w:t>No scenario mutates source/master data.</w:t>
      </w:r>
    </w:p>
    <w:p>
      <w:r>
        <w:rPr>
          <w:b/>
        </w:rPr>
        <w:t xml:space="preserve">Suggested path: </w:t>
      </w:r>
      <w:r>
        <w:t>tests/benchmarks/spaeter_style/</w:t>
      </w:r>
    </w:p>
    <w:p>
      <w:pPr>
        <w:pStyle w:val="Heading2"/>
      </w:pPr>
      <w:r>
        <w:t>5.5 SAP-BLOCK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Prove deterministic transaction gating and recompile behavior for an SAP-GTS-like order compliance workflow.</w:t>
      </w:r>
    </w:p>
    <w:p>
      <w:r>
        <w:rPr>
          <w:b/>
        </w:rPr>
        <w:t>Implementation requirements</w:t>
      </w:r>
    </w:p>
    <w:p>
      <w:pPr>
        <w:pStyle w:val="ListBullet"/>
      </w:pPr>
      <w:r>
        <w:t>Fixture PO EU-000342 or equivalent with buyer, SKU, CN, origin, destination, value.</w:t>
      </w:r>
    </w:p>
    <w:p>
      <w:pPr>
        <w:pStyle w:val="ListBullet"/>
      </w:pPr>
      <w:r>
        <w:t>Initial state: sanctions/CBAM/origin/TARIC pass; quota/trade-measure freshness fails.</w:t>
      </w:r>
    </w:p>
    <w:p>
      <w:pPr>
        <w:pStyle w:val="ListBullet"/>
      </w:pPr>
      <w:r>
        <w:t>Create remediation action; ingest refreshed source snapshot; recompile.</w:t>
      </w:r>
    </w:p>
    <w:p>
      <w:r>
        <w:rPr>
          <w:b/>
        </w:rPr>
        <w:t>Acceptance criteria</w:t>
      </w:r>
    </w:p>
    <w:p>
      <w:pPr>
        <w:pStyle w:val="ListBullet"/>
      </w:pPr>
      <w:r>
        <w:t>Initial decision is CONDITIONAL or BLOCKED according to configured severity policy, never READY.</w:t>
      </w:r>
    </w:p>
    <w:p>
      <w:pPr>
        <w:pStyle w:val="ListBullet"/>
      </w:pPr>
      <w:r>
        <w:t>Reason identifies stale source/evidence, affected value and owner role.</w:t>
      </w:r>
    </w:p>
    <w:p>
      <w:pPr>
        <w:pStyle w:val="ListBullet"/>
      </w:pPr>
      <w:r>
        <w:t>Second decision becomes READY only after the relevant check passes.</w:t>
      </w:r>
    </w:p>
    <w:p>
      <w:pPr>
        <w:pStyle w:val="ListBullet"/>
      </w:pPr>
      <w:r>
        <w:t>First decision remains immutable and linked as predecessor.</w:t>
      </w:r>
    </w:p>
    <w:p>
      <w:r>
        <w:rPr>
          <w:b/>
        </w:rPr>
        <w:t xml:space="preserve">Suggested path: </w:t>
      </w:r>
      <w:r>
        <w:t>tests/benchmarks/sap_block/</w:t>
      </w:r>
    </w:p>
    <w:p>
      <w:pPr>
        <w:pStyle w:val="Heading2"/>
      </w:pPr>
      <w:r>
        <w:t>5.6 TARIC-LIVE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NORMATIVE</w:t>
      </w:r>
    </w:p>
    <w:p>
      <w:r>
        <w:rPr>
          <w:b/>
        </w:rPr>
        <w:t xml:space="preserve">Objective. </w:t>
      </w:r>
      <w:r>
        <w:t>Validate dated TARIC ingestion and applicability for duties/preferences/quotas/trade-defence/restrictions/supporting-document codes using official snapshots.</w:t>
      </w:r>
    </w:p>
    <w:p>
      <w:r>
        <w:rPr>
          <w:b/>
        </w:rPr>
        <w:t>Implementation requirements</w:t>
      </w:r>
    </w:p>
    <w:p>
      <w:pPr>
        <w:pStyle w:val="ListBullet"/>
      </w:pPr>
      <w:r>
        <w:t>Build source adapter with raw snapshot retention, parser version and normalized measure IDs.</w:t>
      </w:r>
    </w:p>
    <w:p>
      <w:pPr>
        <w:pStyle w:val="ListBullet"/>
      </w:pPr>
      <w:r>
        <w:t>Queries must include CN code, origin, destination/import context and as-of date.</w:t>
      </w:r>
    </w:p>
    <w:p>
      <w:pPr>
        <w:pStyle w:val="ListBullet"/>
      </w:pPr>
      <w:r>
        <w:t>Do not label quota balance as known unless the ingested source actually contains the required current balance state.</w:t>
      </w:r>
    </w:p>
    <w:p>
      <w:r>
        <w:rPr>
          <w:b/>
        </w:rPr>
        <w:t>Acceptance criteria</w:t>
      </w:r>
    </w:p>
    <w:p>
      <w:pPr>
        <w:pStyle w:val="ListBullet"/>
      </w:pPr>
      <w:r>
        <w:t>Known fixture measures resolve exactly to expected normalized measures.</w:t>
      </w:r>
    </w:p>
    <w:p>
      <w:pPr>
        <w:pStyle w:val="ListBullet"/>
      </w:pPr>
      <w:r>
        <w:t>Historical query uses historical snapshot/rules.</w:t>
      </w:r>
    </w:p>
    <w:p>
      <w:pPr>
        <w:pStyle w:val="ListBullet"/>
      </w:pPr>
      <w:r>
        <w:t>Parser detects schema/source changes and fails closed.</w:t>
      </w:r>
    </w:p>
    <w:p>
      <w:pPr>
        <w:pStyle w:val="ListBullet"/>
      </w:pPr>
      <w:r>
        <w:t>Every measure result exposes source snapshot, validity interval and legal/reference metadata.</w:t>
      </w:r>
    </w:p>
    <w:p>
      <w:r>
        <w:rPr>
          <w:b/>
        </w:rPr>
        <w:t xml:space="preserve">Suggested path: </w:t>
      </w:r>
      <w:r>
        <w:t>tests/benchmarks/taric/</w:t>
      </w:r>
    </w:p>
    <w:p>
      <w:pPr>
        <w:pStyle w:val="Heading2"/>
      </w:pPr>
      <w:r>
        <w:t>5.7 SAP-ORIGIN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Prove BOM-based origin/preference evaluation on a manufactured product with originating and non-originating components.</w:t>
      </w:r>
    </w:p>
    <w:p>
      <w:r>
        <w:rPr>
          <w:b/>
        </w:rPr>
        <w:t>Implementation requirements</w:t>
      </w:r>
    </w:p>
    <w:p>
      <w:pPr>
        <w:pStyle w:val="ListBullet"/>
      </w:pPr>
      <w:r>
        <w:t>Canonical BOM supports component CN/HS, origin, supplier, quantity/value and BOM version.</w:t>
      </w:r>
    </w:p>
    <w:p>
      <w:pPr>
        <w:pStyle w:val="ListBullet"/>
      </w:pPr>
      <w:r>
        <w:t>Origin rule is a versioned rule object; do not hard-code a generic value threshold as universal.</w:t>
      </w:r>
    </w:p>
    <w:p>
      <w:pPr>
        <w:pStyle w:val="ListBullet"/>
      </w:pPr>
      <w:r>
        <w:t>Output must show component contribution and exact rule evaluation.</w:t>
      </w:r>
    </w:p>
    <w:p>
      <w:r>
        <w:rPr>
          <w:b/>
        </w:rPr>
        <w:t>Acceptance criteria</w:t>
      </w:r>
    </w:p>
    <w:p>
      <w:pPr>
        <w:pStyle w:val="ListBullet"/>
      </w:pPr>
      <w:r>
        <w:t>Qualifies/non-qualifies result is reproducible from BOM + rule + evidence.</w:t>
      </w:r>
    </w:p>
    <w:p>
      <w:pPr>
        <w:pStyle w:val="ListBullet"/>
      </w:pPr>
      <w:r>
        <w:t>Changing one component origin/value triggers only dependent recalculation.</w:t>
      </w:r>
    </w:p>
    <w:p>
      <w:pPr>
        <w:pStyle w:val="ListBullet"/>
      </w:pPr>
      <w:r>
        <w:t>Missing supplier/origin evidence cannot silently count as originating.</w:t>
      </w:r>
    </w:p>
    <w:p>
      <w:pPr>
        <w:pStyle w:val="ListBullet"/>
      </w:pPr>
      <w:r>
        <w:t>Audit output explains the calculation.</w:t>
      </w:r>
    </w:p>
    <w:p>
      <w:r>
        <w:rPr>
          <w:b/>
        </w:rPr>
        <w:t xml:space="preserve">Suggested path: </w:t>
      </w:r>
      <w:r>
        <w:t>tests/benchmarks/sap_origin/</w:t>
      </w:r>
    </w:p>
    <w:p>
      <w:pPr>
        <w:pStyle w:val="Heading2"/>
      </w:pPr>
      <w:r>
        <w:t>5.8 ROSA-ORIGIN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EXTERNAL-ORACLE</w:t>
      </w:r>
    </w:p>
    <w:p>
      <w:r>
        <w:rPr>
          <w:b/>
        </w:rPr>
        <w:t xml:space="preserve">Objective. </w:t>
      </w:r>
      <w:r>
        <w:t>Validate selected product-specific origin scenarios against reproducible Access2Markets/ROSA outcomes where an external result can be captured and versioned.</w:t>
      </w:r>
    </w:p>
    <w:p>
      <w:r>
        <w:rPr>
          <w:b/>
        </w:rPr>
        <w:t>Implementation requirements</w:t>
      </w:r>
    </w:p>
    <w:p>
      <w:pPr>
        <w:pStyle w:val="ListBullet"/>
      </w:pPr>
      <w:r>
        <w:t>Store scenario inputs and captured oracle output/date; do not automate scraping if terms/access do not permit it.</w:t>
      </w:r>
    </w:p>
    <w:p>
      <w:pPr>
        <w:pStyle w:val="ListBullet"/>
      </w:pPr>
      <w:r>
        <w:t>Treat ROSA as an external comparison oracle, not legal certification.</w:t>
      </w:r>
    </w:p>
    <w:p>
      <w:pPr>
        <w:pStyle w:val="ListBullet"/>
      </w:pPr>
      <w:r>
        <w:t>Use cases spanning qualifying, non-qualifying and insufficient-information states.</w:t>
      </w:r>
    </w:p>
    <w:p>
      <w:r>
        <w:rPr>
          <w:b/>
        </w:rPr>
        <w:t>Acceptance criteria</w:t>
      </w:r>
    </w:p>
    <w:p>
      <w:pPr>
        <w:pStyle w:val="ListBullet"/>
      </w:pPr>
      <w:r>
        <w:t>EuroSetu result matches captured oracle for each released scenario.</w:t>
      </w:r>
    </w:p>
    <w:p>
      <w:pPr>
        <w:pStyle w:val="ListBullet"/>
      </w:pPr>
      <w:r>
        <w:t>Differences produce a diagnostic mapping rule/input divergence.</w:t>
      </w:r>
    </w:p>
    <w:p>
      <w:pPr>
        <w:pStyle w:val="ListBullet"/>
      </w:pPr>
      <w:r>
        <w:t>Oracle provenance and capture date are visible.</w:t>
      </w:r>
    </w:p>
    <w:p>
      <w:r>
        <w:rPr>
          <w:b/>
        </w:rPr>
        <w:t xml:space="preserve">Suggested path: </w:t>
      </w:r>
      <w:r>
        <w:t>tests/benchmarks/rosa_origin/</w:t>
      </w:r>
    </w:p>
    <w:p>
      <w:pPr>
        <w:pStyle w:val="Heading2"/>
      </w:pPr>
      <w:r>
        <w:t>5.9 OSAPIENS-CROSSREG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Prove that one evidence object can satisfy multiple obligations and that changing it invalidates all dependent claims.</w:t>
      </w:r>
    </w:p>
    <w:p>
      <w:r>
        <w:rPr>
          <w:b/>
        </w:rPr>
        <w:t>Implementation requirements</w:t>
      </w:r>
    </w:p>
    <w:p>
      <w:pPr>
        <w:pStyle w:val="ListBullet"/>
      </w:pPr>
      <w:r>
        <w:t>Create supplier/facility/material/emissions/origin/certification evidence graph.</w:t>
      </w:r>
    </w:p>
    <w:p>
      <w:pPr>
        <w:pStyle w:val="ListBullet"/>
      </w:pPr>
      <w:r>
        <w:t>Attach at least three rule-family claims to one shared evidence node; use only rule families actually implemented.</w:t>
      </w:r>
    </w:p>
    <w:p>
      <w:pPr>
        <w:pStyle w:val="ListBullet"/>
      </w:pPr>
      <w:r>
        <w:t>Mutate/expire/supersede the shared evidence object.</w:t>
      </w:r>
    </w:p>
    <w:p>
      <w:r>
        <w:rPr>
          <w:b/>
        </w:rPr>
        <w:t>Acceptance criteria</w:t>
      </w:r>
    </w:p>
    <w:p>
      <w:pPr>
        <w:pStyle w:val="ListBullet"/>
      </w:pPr>
      <w:r>
        <w:t>Dependency traversal identifies every affected obligation and transaction.</w:t>
      </w:r>
    </w:p>
    <w:p>
      <w:pPr>
        <w:pStyle w:val="ListBullet"/>
      </w:pPr>
      <w:r>
        <w:t>Unrelated obligations remain unchanged.</w:t>
      </w:r>
    </w:p>
    <w:p>
      <w:pPr>
        <w:pStyle w:val="ListBullet"/>
      </w:pPr>
      <w:r>
        <w:t>Revalidation restores only claims whose requirements are satisfied.</w:t>
      </w:r>
    </w:p>
    <w:p>
      <w:pPr>
        <w:pStyle w:val="ListBullet"/>
      </w:pPr>
      <w:r>
        <w:t>Audit graph shows why each status changed.</w:t>
      </w:r>
    </w:p>
    <w:p>
      <w:r>
        <w:rPr>
          <w:b/>
        </w:rPr>
        <w:t xml:space="preserve">Suggested path: </w:t>
      </w:r>
      <w:r>
        <w:t>tests/benchmarks/crossreg/</w:t>
      </w:r>
    </w:p>
    <w:p>
      <w:pPr>
        <w:pStyle w:val="Heading2"/>
      </w:pPr>
      <w:r>
        <w:t>5.10 CARBMEE-SUPPLIER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COMPETITIVE-SCENARIO</w:t>
      </w:r>
    </w:p>
    <w:p>
      <w:r>
        <w:rPr>
          <w:b/>
        </w:rPr>
        <w:t xml:space="preserve">Objective. </w:t>
      </w:r>
      <w:r>
        <w:t>Prove ERP purchase + supplier + product/BOM + installation data can be reconciled into supplier evidence completeness, CBAM completeness, affected orders and revenue.</w:t>
      </w:r>
    </w:p>
    <w:p>
      <w:r>
        <w:rPr>
          <w:b/>
        </w:rPr>
        <w:t>Implementation requirements</w:t>
      </w:r>
    </w:p>
    <w:p>
      <w:pPr>
        <w:pStyle w:val="ListBullet"/>
      </w:pPr>
      <w:r>
        <w:t>Provide CSV/API-shaped ERP fixtures plus supplier/installations with deliberate identifier inconsistencies.</w:t>
      </w:r>
    </w:p>
    <w:p>
      <w:pPr>
        <w:pStyle w:val="ListBullet"/>
      </w:pPr>
      <w:r>
        <w:t>Implement deterministic identity-resolution rules and an unresolved-match queue.</w:t>
      </w:r>
    </w:p>
    <w:p>
      <w:pPr>
        <w:pStyle w:val="ListBullet"/>
      </w:pPr>
      <w:r>
        <w:t>Link compliance gaps to actual synthetic orders.</w:t>
      </w:r>
    </w:p>
    <w:p>
      <w:r>
        <w:rPr>
          <w:b/>
        </w:rPr>
        <w:t>Acceptance criteria</w:t>
      </w:r>
    </w:p>
    <w:p>
      <w:pPr>
        <w:pStyle w:val="ListBullet"/>
      </w:pPr>
      <w:r>
        <w:t>No unresolved supplier match is silently merged.</w:t>
      </w:r>
    </w:p>
    <w:p>
      <w:pPr>
        <w:pStyle w:val="ListBullet"/>
      </w:pPr>
      <w:r>
        <w:t>Evidence completeness reconciles to underlying evidence requirements.</w:t>
      </w:r>
    </w:p>
    <w:p>
      <w:pPr>
        <w:pStyle w:val="ListBullet"/>
      </w:pPr>
      <w:r>
        <w:t>Affected order count/value exactly reconciles to line-level linkage.</w:t>
      </w:r>
    </w:p>
    <w:p>
      <w:pPr>
        <w:pStyle w:val="ListBullet"/>
      </w:pPr>
      <w:r>
        <w:t>Supplier gap → obligation → order → customer lineage is queryable.</w:t>
      </w:r>
    </w:p>
    <w:p>
      <w:r>
        <w:rPr>
          <w:b/>
        </w:rPr>
        <w:t xml:space="preserve">Suggested path: </w:t>
      </w:r>
      <w:r>
        <w:t>tests/benchmarks/carbmee_supplier/</w:t>
      </w:r>
    </w:p>
    <w:p>
      <w:pPr>
        <w:pStyle w:val="Heading2"/>
      </w:pPr>
      <w:r>
        <w:t>5.11 EVIDENCE-DECAY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SYNTHETIC</w:t>
      </w:r>
    </w:p>
    <w:p>
      <w:r>
        <w:rPr>
          <w:b/>
        </w:rPr>
        <w:t xml:space="preserve">Objective. </w:t>
      </w:r>
      <w:r>
        <w:t>Validate evidence lifecycle: VALID, STALE, EXPIRED, SUPERSEDED, CONFLICTING, UNVERIFIED and MISSING, including downstream invalidation.</w:t>
      </w:r>
    </w:p>
    <w:p>
      <w:r>
        <w:rPr>
          <w:b/>
        </w:rPr>
        <w:t>Implementation requirements</w:t>
      </w:r>
    </w:p>
    <w:p>
      <w:pPr>
        <w:pStyle w:val="ListBullet"/>
      </w:pPr>
      <w:r>
        <w:t>Use deterministic clock/as-of time; never depend on wall-clock time in CI.</w:t>
      </w:r>
    </w:p>
    <w:p>
      <w:pPr>
        <w:pStyle w:val="ListBullet"/>
      </w:pPr>
      <w:r>
        <w:t>Define freshness policy separately from legal validity.</w:t>
      </w:r>
    </w:p>
    <w:p>
      <w:pPr>
        <w:pStyle w:val="ListBullet"/>
      </w:pPr>
      <w:r>
        <w:t>Create dependency graph fixtures with shared evidence.</w:t>
      </w:r>
    </w:p>
    <w:p>
      <w:r>
        <w:rPr>
          <w:b/>
        </w:rPr>
        <w:t>Acceptance criteria</w:t>
      </w:r>
    </w:p>
    <w:p>
      <w:pPr>
        <w:pStyle w:val="ListBullet"/>
      </w:pPr>
      <w:r>
        <w:t>Each state transition produces expected obligation/decision transition.</w:t>
      </w:r>
    </w:p>
    <w:p>
      <w:pPr>
        <w:pStyle w:val="ListBullet"/>
      </w:pPr>
      <w:r>
        <w:t>Conflicts are surfaced, not resolved by last-write-wins.</w:t>
      </w:r>
    </w:p>
    <w:p>
      <w:pPr>
        <w:pStyle w:val="ListBullet"/>
      </w:pPr>
      <w:r>
        <w:t>Superseded evidence remains available historically.</w:t>
      </w:r>
    </w:p>
    <w:p>
      <w:pPr>
        <w:pStyle w:val="ListBullet"/>
      </w:pPr>
      <w:r>
        <w:t>Affected-order recomputation is incremental.</w:t>
      </w:r>
    </w:p>
    <w:p>
      <w:r>
        <w:rPr>
          <w:b/>
        </w:rPr>
        <w:t xml:space="preserve">Suggested path: </w:t>
      </w:r>
      <w:r>
        <w:t>tests/benchmarks/evidence_decay/</w:t>
      </w:r>
    </w:p>
    <w:p>
      <w:pPr>
        <w:pStyle w:val="Heading2"/>
      </w:pPr>
      <w:r>
        <w:t>5.12 REGULATION-TIME-TRAVEL</w:t>
      </w:r>
    </w:p>
    <w:p>
      <w:r>
        <w:rPr>
          <w:b/>
        </w:rPr>
        <w:t xml:space="preserve">Priority: </w:t>
      </w:r>
      <w:r>
        <w:t xml:space="preserve">P0   </w:t>
      </w:r>
      <w:r>
        <w:rPr>
          <w:b/>
        </w:rPr>
        <w:t xml:space="preserve">Evidence class: </w:t>
      </w:r>
      <w:r>
        <w:t>SYNTHETIC + NORMATIVE SOURCES</w:t>
      </w:r>
    </w:p>
    <w:p>
      <w:r>
        <w:rPr>
          <w:b/>
        </w:rPr>
        <w:t xml:space="preserve">Objective. </w:t>
      </w:r>
      <w:r>
        <w:t>Prove point-in-time reproducibility across regulatory/source versions.</w:t>
      </w:r>
    </w:p>
    <w:p>
      <w:r>
        <w:rPr>
          <w:b/>
        </w:rPr>
        <w:t>Implementation requirements</w:t>
      </w:r>
    </w:p>
    <w:p>
      <w:pPr>
        <w:pStyle w:val="ListBullet"/>
      </w:pPr>
      <w:r>
        <w:t>Run same transaction at T1 and T2 using effective-dated source snapshots.</w:t>
      </w:r>
    </w:p>
    <w:p>
      <w:pPr>
        <w:pStyle w:val="ListBullet"/>
      </w:pPr>
      <w:r>
        <w:t>Persist rule compiler version and source hashes.</w:t>
      </w:r>
    </w:p>
    <w:p>
      <w:pPr>
        <w:pStyle w:val="ListBullet"/>
      </w:pPr>
      <w:r>
        <w:t>Support replay of historical decision.</w:t>
      </w:r>
    </w:p>
    <w:p>
      <w:r>
        <w:rPr>
          <w:b/>
        </w:rPr>
        <w:t>Acceptance criteria</w:t>
      </w:r>
    </w:p>
    <w:p>
      <w:pPr>
        <w:pStyle w:val="ListBullet"/>
      </w:pPr>
      <w:r>
        <w:t>T1 replay remains stable after T2 data/rules are installed.</w:t>
      </w:r>
    </w:p>
    <w:p>
      <w:pPr>
        <w:pStyle w:val="ListBullet"/>
      </w:pPr>
      <w:r>
        <w:t>T2 uses only sources effective at T2.</w:t>
      </w:r>
    </w:p>
    <w:p>
      <w:pPr>
        <w:pStyle w:val="ListBullet"/>
      </w:pPr>
      <w:r>
        <w:t>Diff identifies causal rule/source changes.</w:t>
      </w:r>
    </w:p>
    <w:p>
      <w:pPr>
        <w:pStyle w:val="ListBullet"/>
      </w:pPr>
      <w:r>
        <w:t>Historical audit bundle can be exported without querying mutable current state.</w:t>
      </w:r>
    </w:p>
    <w:p>
      <w:r>
        <w:rPr>
          <w:b/>
        </w:rPr>
        <w:t xml:space="preserve">Suggested path: </w:t>
      </w:r>
      <w:r>
        <w:t>tests/benchmarks/time_travel/</w:t>
      </w:r>
    </w:p>
    <w:p>
      <w:pPr>
        <w:pStyle w:val="Heading2"/>
      </w:pPr>
      <w:r>
        <w:t>5.13 REVENUE-IMPACT</w:t>
      </w:r>
    </w:p>
    <w:p>
      <w:r>
        <w:rPr>
          <w:b/>
        </w:rPr>
        <w:t xml:space="preserve">Priority: </w:t>
      </w:r>
      <w:r>
        <w:t xml:space="preserve">P1   </w:t>
      </w:r>
      <w:r>
        <w:rPr>
          <w:b/>
        </w:rPr>
        <w:t xml:space="preserve">Evidence class: </w:t>
      </w:r>
      <w:r>
        <w:t>SYNTHETIC</w:t>
      </w:r>
    </w:p>
    <w:p>
      <w:r>
        <w:rPr>
          <w:b/>
        </w:rPr>
        <w:t xml:space="preserve">Objective. </w:t>
      </w:r>
      <w:r>
        <w:t>Prove compliance failures map to affected SKUs/orders/customers and produce non-double-counted revenue exposure plus prioritized remediation.</w:t>
      </w:r>
    </w:p>
    <w:p>
      <w:r>
        <w:rPr>
          <w:b/>
        </w:rPr>
        <w:t>Implementation requirements</w:t>
      </w:r>
    </w:p>
    <w:p>
      <w:pPr>
        <w:pStyle w:val="ListBullet"/>
      </w:pPr>
      <w:r>
        <w:t>Create overlapping failures where one order is blocked by multiple issues.</w:t>
      </w:r>
    </w:p>
    <w:p>
      <w:pPr>
        <w:pStyle w:val="ListBullet"/>
      </w:pPr>
      <w:r>
        <w:t>Define gross affected value and unique blocked-order value separately.</w:t>
      </w:r>
    </w:p>
    <w:p>
      <w:pPr>
        <w:pStyle w:val="ListBullet"/>
      </w:pPr>
      <w:r>
        <w:t>Rank actions using explicit configurable objective such as unlock_value / effort_weight.</w:t>
      </w:r>
    </w:p>
    <w:p>
      <w:r>
        <w:rPr>
          <w:b/>
        </w:rPr>
        <w:t>Acceptance criteria</w:t>
      </w:r>
    </w:p>
    <w:p>
      <w:pPr>
        <w:pStyle w:val="ListBullet"/>
      </w:pPr>
      <w:r>
        <w:t>Unique blocked revenue is not double counted.</w:t>
      </w:r>
    </w:p>
    <w:p>
      <w:pPr>
        <w:pStyle w:val="ListBullet"/>
      </w:pPr>
      <w:r>
        <w:t>Removing one issue recomputes residual blocked value correctly.</w:t>
      </w:r>
    </w:p>
    <w:p>
      <w:pPr>
        <w:pStyle w:val="ListBullet"/>
      </w:pPr>
      <w:r>
        <w:t>Action ranking is reproducible and exposes formula/inputs.</w:t>
      </w:r>
    </w:p>
    <w:p>
      <w:pPr>
        <w:pStyle w:val="ListBullet"/>
      </w:pPr>
      <w:r>
        <w:t>No 'recommended' action is presented without the configured objective.</w:t>
      </w:r>
    </w:p>
    <w:p>
      <w:r>
        <w:rPr>
          <w:b/>
        </w:rPr>
        <w:t xml:space="preserve">Suggested path: </w:t>
      </w:r>
      <w:r>
        <w:t>tests/benchmarks/revenue_impact/</w:t>
      </w:r>
    </w:p>
    <w:p>
      <w:pPr>
        <w:pStyle w:val="Heading2"/>
      </w:pPr>
      <w:r>
        <w:t>5.14 100K-SHIPMENT</w:t>
      </w:r>
    </w:p>
    <w:p>
      <w:r>
        <w:rPr>
          <w:b/>
        </w:rPr>
        <w:t xml:space="preserve">Priority: </w:t>
      </w:r>
      <w:r>
        <w:t xml:space="preserve">P2   </w:t>
      </w:r>
      <w:r>
        <w:rPr>
          <w:b/>
        </w:rPr>
        <w:t xml:space="preserve">Evidence class: </w:t>
      </w:r>
      <w:r>
        <w:t>SYNTHETIC</w:t>
      </w:r>
    </w:p>
    <w:p>
      <w:r>
        <w:rPr>
          <w:b/>
        </w:rPr>
        <w:t xml:space="preserve">Objective. </w:t>
      </w:r>
      <w:r>
        <w:t>Validate scale on 1,000 suppliers, 10,000 products, 50,000 evidence objects and 100,000 shipments using real/versioned regulatory datasets where applicable.</w:t>
      </w:r>
    </w:p>
    <w:p>
      <w:r>
        <w:rPr>
          <w:b/>
        </w:rPr>
        <w:t>Implementation requirements</w:t>
      </w:r>
    </w:p>
    <w:p>
      <w:pPr>
        <w:pStyle w:val="ListBullet"/>
      </w:pPr>
      <w:r>
        <w:t>Generator uses fixed seed and emits manifest/count checksums.</w:t>
      </w:r>
    </w:p>
    <w:p>
      <w:pPr>
        <w:pStyle w:val="ListBullet"/>
      </w:pPr>
      <w:r>
        <w:t>Measure ingestion, single compile, 100-line batch, evidence lookup, 10k affected-order lookup, regulation-update impact analysis.</w:t>
      </w:r>
    </w:p>
    <w:p>
      <w:pPr>
        <w:pStyle w:val="ListBullet"/>
      </w:pPr>
      <w:r>
        <w:t>Capture CPU/memory/database metrics and environment metadata.</w:t>
      </w:r>
    </w:p>
    <w:p>
      <w:r>
        <w:rPr>
          <w:b/>
        </w:rPr>
        <w:t>Acceptance criteria</w:t>
      </w:r>
    </w:p>
    <w:p>
      <w:pPr>
        <w:pStyle w:val="ListBullet"/>
      </w:pPr>
      <w:r>
        <w:t>Initial engineering targets: single check &lt;1s; 100 shipment batch &lt;10s; 10k affected-order lookup &lt;5s; regulation update impact &lt;60s, measured in the defined reference environment.</w:t>
      </w:r>
    </w:p>
    <w:p>
      <w:pPr>
        <w:pStyle w:val="ListBullet"/>
      </w:pPr>
      <w:r>
        <w:t>No correctness assertions may be relaxed to meet performance.</w:t>
      </w:r>
    </w:p>
    <w:p>
      <w:pPr>
        <w:pStyle w:val="ListBullet"/>
      </w:pPr>
      <w:r>
        <w:t>Performance failure does not overwrite prior released benchmark result.</w:t>
      </w:r>
    </w:p>
    <w:p>
      <w:r>
        <w:rPr>
          <w:b/>
        </w:rPr>
        <w:t xml:space="preserve">Suggested path: </w:t>
      </w:r>
      <w:r>
        <w:t>tests/benchmarks/scale_100k/</w:t>
      </w:r>
    </w:p>
    <w:p>
      <w:pPr>
        <w:pStyle w:val="Heading1"/>
      </w:pPr>
      <w:r>
        <w:t>6. Decision and policy specification</w:t>
      </w:r>
    </w:p>
    <w:p>
      <w:pPr>
        <w:pStyle w:val="Heading2"/>
      </w:pPr>
      <w:r>
        <w:t>6.1 Aggregation</w:t>
      </w:r>
    </w:p>
    <w:p>
      <w:pPr>
        <w:pStyle w:val="CodeBlock"/>
      </w:pPr>
      <w:r>
        <w:t>if any(obligation.status == ERROR and obligation.required_for_release):</w:t>
        <w:br/>
        <w:t xml:space="preserve">    decision = ERROR</w:t>
        <w:br/>
        <w:t>elif any(obligation.status == FAIL and obligation.severity == BLOCKING):</w:t>
        <w:br/>
        <w:t xml:space="preserve">    decision = BLOCKED</w:t>
        <w:br/>
        <w:t>elif any(obligation.status in {MISSING, STALE, UNVERIFIED, CONFLICTING}</w:t>
        <w:br/>
        <w:t xml:space="preserve">         and obligation.severity in {BLOCKING, CONDITIONAL}):</w:t>
        <w:br/>
        <w:t xml:space="preserve">    decision = CONDITIONAL or BLOCKED according to versioned policy</w:t>
        <w:br/>
        <w:t>elif all(required obligations PASS or NOT_APPLICABLE):</w:t>
        <w:br/>
        <w:t xml:space="preserve">    decision = READY</w:t>
        <w:br/>
        <w:t>else:</w:t>
        <w:br/>
        <w:t xml:space="preserve">    decision = CONDITIONAL</w:t>
      </w:r>
    </w:p>
    <w:p>
      <w:r>
        <w:t>The exact mapping must be stored as a versioned DecisionPolicy object. A benchmark must specify the policy version; changing policy must not rewrite historical decisions.</w:t>
      </w:r>
    </w:p>
    <w:p>
      <w:pPr>
        <w:pStyle w:val="Heading2"/>
      </w:pPr>
      <w:r>
        <w:t>6.2 Remediation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issue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Exact failed obligation/evidence/source freshness issue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Concrete requested change; e.g. upload installation evidence, refresh TARIC snapshot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owner_role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Role, not fabricated individual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unlock_value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Unique transaction value expected to become releasable if this is the last blocker; otherwise marginal unlock value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confidence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Optional; must describe how derived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source/evidence refs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Traceable references to reason for action</w:t>
            </w:r>
          </w:p>
        </w:tc>
      </w:tr>
    </w:tbl>
    <w:p/>
    <w:p>
      <w:pPr>
        <w:pStyle w:val="Heading1"/>
      </w:pPr>
      <w:r>
        <w:t>7. APIs required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Minimum 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/v1/transactions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 transaction/order/shipment lines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Idempotency key; validation errors; source refs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/v1/evidence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 evidence metadata/content reference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Hash; subject; validity; verification; confidentiality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/v1/sources/snapshots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Register regulatory source snapshot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hash/version/effective dates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/v1/market-access/check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Compile one/batch transactions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as_of required/defaulted explicitly; returns decision IDs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/v1/decisions/{id}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Retrieve decision/audit lineage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Includes rule/source/evidence refs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/v1/decisions/{id}/replay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Historical replay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Uses pinned historical versions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/v1/impact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Affected orders/revenue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Filters by issue/rule/evidence/supplier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/v1/remediation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Prioritized actions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Exposes ranking inputs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 /internal/benchmarks/run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CI/admin benchmark trigger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Never public unauthenticated production endpoint</w:t>
            </w:r>
          </w:p>
        </w:tc>
      </w:tr>
    </w:tbl>
    <w:p/>
    <w:p>
      <w:pPr>
        <w:pStyle w:val="Heading1"/>
      </w:pPr>
      <w:r>
        <w:t>8. Repository layout</w:t>
      </w:r>
    </w:p>
    <w:p>
      <w:pPr>
        <w:pStyle w:val="CodeBlock"/>
      </w:pPr>
      <w:r>
        <w:t>specs/</w:t>
        <w:br/>
        <w:t xml:space="preserve">  benchmark-suite.md</w:t>
        <w:br/>
        <w:t xml:space="preserve">  schemas/</w:t>
        <w:br/>
        <w:t xml:space="preserve">  decisions/</w:t>
        <w:br/>
        <w:t>sources/</w:t>
        <w:br/>
        <w:t xml:space="preserve">  manifests/</w:t>
        <w:br/>
        <w:t>tests/</w:t>
        <w:br/>
        <w:t xml:space="preserve">  fixtures/</w:t>
        <w:br/>
        <w:t xml:space="preserve">    eu_cbam/</w:t>
        <w:br/>
        <w:t xml:space="preserve">    cbam_2026/</w:t>
        <w:br/>
        <w:t xml:space="preserve">    taric/</w:t>
        <w:br/>
        <w:t xml:space="preserve">    origin/</w:t>
        <w:br/>
        <w:t xml:space="preserve">  benchmarks/</w:t>
        <w:br/>
        <w:t xml:space="preserve">    eu_cbam_golden/</w:t>
        <w:br/>
        <w:t xml:space="preserve">    cbam_2026/</w:t>
        <w:br/>
        <w:t xml:space="preserve">    steelforce_style/</w:t>
        <w:br/>
        <w:t xml:space="preserve">    spaeter_style/</w:t>
        <w:br/>
        <w:t xml:space="preserve">    sap_block/</w:t>
        <w:br/>
        <w:t xml:space="preserve">    taric/</w:t>
        <w:br/>
        <w:t xml:space="preserve">    sap_origin/</w:t>
        <w:br/>
        <w:t xml:space="preserve">    rosa_origin/</w:t>
        <w:br/>
        <w:t xml:space="preserve">    crossreg/</w:t>
        <w:br/>
        <w:t xml:space="preserve">    carbmee_supplier/</w:t>
        <w:br/>
        <w:t xml:space="preserve">    evidence_decay/</w:t>
        <w:br/>
        <w:t xml:space="preserve">    time_travel/</w:t>
        <w:br/>
        <w:t xml:space="preserve">    revenue_impact/</w:t>
        <w:br/>
        <w:t xml:space="preserve">    scale_100k/</w:t>
        <w:br/>
        <w:t>benchmark_artifacts/</w:t>
        <w:br/>
        <w:t xml:space="preserve">  &lt;suite&gt;/&lt;run_id&gt;/</w:t>
        <w:br/>
        <w:t xml:space="preserve">    benchmark-result.json</w:t>
        <w:br/>
        <w:t xml:space="preserve">    report.md</w:t>
        <w:br/>
        <w:t xml:space="preserve">    metrics.json</w:t>
        <w:br/>
        <w:t xml:space="preserve">    decisions/</w:t>
        <w:br/>
        <w:t>web/</w:t>
        <w:br/>
        <w:t xml:space="preserve">  benchmarks/</w:t>
      </w:r>
    </w:p>
    <w:p>
      <w:pPr>
        <w:pStyle w:val="Heading1"/>
      </w:pPr>
      <w:r>
        <w:t>9. CI/CD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Main/nightly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Release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Schema/unit tests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 correctness suites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 competitive suites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Selected smoke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Official source hash/parser checks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if touched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100K scale suite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Nightly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on benchmark release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Public benchmark artifact generation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On tagged benchmark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Legal/claim lint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for benchmark copy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</w:tr>
    </w:tbl>
    <w:p/>
    <w:p>
      <w:pPr>
        <w:pStyle w:val="Heading2"/>
      </w:pPr>
      <w:r>
        <w:t>9.1 Fail-closed rules</w:t>
      </w:r>
    </w:p>
    <w:p>
      <w:pPr>
        <w:pStyle w:val="ListBullet"/>
      </w:pPr>
      <w:r>
        <w:t>Unknown regulatory source schema → ERROR and quarantine; never reuse prior parsed values without an explicit fallback policy.</w:t>
      </w:r>
    </w:p>
    <w:p>
      <w:pPr>
        <w:pStyle w:val="ListBullet"/>
      </w:pPr>
      <w:r>
        <w:t>Missing blocking evidence → not READY.</w:t>
      </w:r>
    </w:p>
    <w:p>
      <w:pPr>
        <w:pStyle w:val="ListBullet"/>
      </w:pPr>
      <w:r>
        <w:t>Stale source required by a freshness policy → not READY.</w:t>
      </w:r>
    </w:p>
    <w:p>
      <w:pPr>
        <w:pStyle w:val="ListBullet"/>
      </w:pPr>
      <w:r>
        <w:t>Unresolved identity match affecting applicability/calculation → not READY unless rule explicitly tolerates it.</w:t>
      </w:r>
    </w:p>
    <w:p>
      <w:pPr>
        <w:pStyle w:val="ListBullet"/>
      </w:pPr>
      <w:r>
        <w:t>Benchmark oracle unavailable → SKIPPED/ERROR, never PASS.</w:t>
      </w:r>
    </w:p>
    <w:p>
      <w:pPr>
        <w:pStyle w:val="Heading1"/>
      </w:pPr>
      <w:r>
        <w:t>10. Public /benchmarks specification</w:t>
      </w:r>
    </w:p>
    <w:p>
      <w:r>
        <w:t>The page must be generated from released benchmark-result artifacts. The source proposal explicitly calls for public validation results but warns that numbers should only be published after automated tests establish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Section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Display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Regulatory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Official reference suites, source/version, pass count, last run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Trade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TARIC/source applicability tests and historical snapshot tests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Released BOM/origin and external-oracle cases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Lifecycle/invalidation tests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Commercial engine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Impact/revenue/remediation tests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 size, reference environment, p50/p95 timings, run date</w:t>
            </w:r>
          </w:p>
        </w:tc>
      </w:tr>
    </w:tbl>
    <w:p/>
    <w:p>
      <w:pPr>
        <w:pStyle w:val="ListBullet"/>
      </w:pPr>
      <w:r>
        <w:t>Every metric links to a machine-readable run artifact or audit summary.</w:t>
      </w:r>
    </w:p>
    <w:p>
      <w:pPr>
        <w:pStyle w:val="ListBullet"/>
      </w:pPr>
      <w:r>
        <w:t>Label NORMATIVE, EXTERNAL-ORACLE, COMPETITIVE-SCENARIO and SYNTHETIC prominently.</w:t>
      </w:r>
    </w:p>
    <w:p>
      <w:pPr>
        <w:pStyle w:val="ListBullet"/>
      </w:pPr>
      <w:r>
        <w:t>Do not use competitor logos or imply certification/endorsement.</w:t>
      </w:r>
    </w:p>
    <w:p>
      <w:pPr>
        <w:pStyle w:val="ListBullet"/>
      </w:pPr>
      <w:r>
        <w:t>Do not publish aspirational targets as achieved metrics.</w:t>
      </w:r>
    </w:p>
    <w:p>
      <w:pPr>
        <w:pStyle w:val="ListBullet"/>
      </w:pPr>
      <w:r>
        <w:t>Include 'engineering assurance / benchmark validation, not legal certification' adjacent to results.</w:t>
      </w:r>
    </w:p>
    <w:p>
      <w:pPr>
        <w:pStyle w:val="Heading1"/>
      </w:pPr>
      <w:r>
        <w:t>11. Interactive case-study implementation</w:t>
      </w:r>
    </w:p>
    <w:p>
      <w:r>
        <w:t>Replace the current single-output synthetic narrative with five linked views: Order → Rules → Evidence → Decision → Audit. The source proposal requires drill-through from a failed CBAM requirement to applicability facts, missing evidence, legal/regulatory source, rule version and final decision, followed by a BLOCKED → READY transition while preserving the prior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Tab</w:t>
            </w:r>
          </w:p>
        </w:tc>
        <w:tc>
          <w:tcPr>
            <w:tcW w:type="dxa" w:w="86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Required contents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Order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Order/PO, line value, product/CN, origin, destination, facility, buyer/importer, shipment date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Applicable rule families; why applicable; effective dates; source snapshot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Required vs supplied evidence; state; issuer; validity; verification; provenance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READY/CONDITIONAL/BLOCKED; reasons; affected value; remediation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Audit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Decision lineage; hashes; rule/source/evidence versions; predecessor/successor decisions</w:t>
            </w:r>
          </w:p>
        </w:tc>
      </w:tr>
    </w:tbl>
    <w:p/>
    <w:p>
      <w:pPr>
        <w:pStyle w:val="ListBullet"/>
      </w:pPr>
      <w:r>
        <w:t>The 'Add missing evidence' demo action creates a new evidence object; it must not edit the old decision.</w:t>
      </w:r>
    </w:p>
    <w:p>
      <w:pPr>
        <w:pStyle w:val="ListBullet"/>
      </w:pPr>
      <w:r>
        <w:t>Recompile creates a new Decision linked to its predecessor.</w:t>
      </w:r>
    </w:p>
    <w:p>
      <w:pPr>
        <w:pStyle w:val="ListBullet"/>
      </w:pPr>
      <w:r>
        <w:t>UI displays the exact causal change that moved status.</w:t>
      </w:r>
    </w:p>
    <w:p>
      <w:pPr>
        <w:pStyle w:val="ListBullet"/>
      </w:pPr>
      <w:r>
        <w:t>Synthetic demo data is visibly labeled synthetic; regulatory sources remain real/versioned where used.</w:t>
      </w:r>
    </w:p>
    <w:p>
      <w:pPr>
        <w:pStyle w:val="Heading1"/>
      </w:pPr>
      <w:r>
        <w:t>12. Implementation backlog and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Phase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Exit criterion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P0-A Foundations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schemas, source registry, evidence states, immutable decision/audit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 replay a simple decision with pinned versions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P0-B Regulatory correctness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EU-CBAM-GOLDEN, CBAM-2026, TARIC-LIVE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Official fixtures run in CI with traceable diffs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P0-C Decision integrity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SAP-BLOCK, EVIDENCE-DECAY, TIME-TRAVEL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BLOCKED→READY and historical replay proven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P1-A Origin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SAP-ORIGIN + selected ROSA oracle cases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BOM/origin calculation explainable and reproducible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P1-B Enterprise data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STEELFORCE-STYLE + CARBMEE-SUPPLIER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500-line workflow, identity/evidence/order lineage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P1-C Cross-reg/commercial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CROSSREG + REVENUE-IMPACT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Shared evidence invalidation and non-double-counted revenue impact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P2 Commercial scenarios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SPAETER-STYLE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Scenario comparison with explicit assumptions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P2 Scale/public proof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100K suite + /benchmarks + interactive case study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Released CI artifacts drive public evidence page</w:t>
            </w:r>
          </w:p>
        </w:tc>
      </w:tr>
    </w:tbl>
    <w:p/>
    <w:p>
      <w:pPr>
        <w:pStyle w:val="Heading1"/>
      </w:pPr>
      <w:r>
        <w:t>13. Definition of done for every benchmark</w:t>
      </w:r>
    </w:p>
    <w:p>
      <w:pPr>
        <w:pStyle w:val="ListBullet"/>
      </w:pPr>
      <w:r>
        <w:t>Fixture manifest identifies provenance class and contains hashes.</w:t>
      </w:r>
    </w:p>
    <w:p>
      <w:pPr>
        <w:pStyle w:val="ListBullet"/>
      </w:pPr>
      <w:r>
        <w:t>Scenario is deterministic and can run offline once fixtures are acquired.</w:t>
      </w:r>
    </w:p>
    <w:p>
      <w:pPr>
        <w:pStyle w:val="ListBullet"/>
      </w:pPr>
      <w:r>
        <w:t>Production ingestion/compile paths are used.</w:t>
      </w:r>
    </w:p>
    <w:p>
      <w:pPr>
        <w:pStyle w:val="ListBullet"/>
      </w:pPr>
      <w:r>
        <w:t>Expected outputs/oracle and tolerances are explicit.</w:t>
      </w:r>
    </w:p>
    <w:p>
      <w:pPr>
        <w:pStyle w:val="ListBullet"/>
      </w:pPr>
      <w:r>
        <w:t>Positive, negative and malformed-data paths exist.</w:t>
      </w:r>
    </w:p>
    <w:p>
      <w:pPr>
        <w:pStyle w:val="ListBullet"/>
      </w:pPr>
      <w:r>
        <w:t>Audit lineage contains code version, schema version, rule version, source snapshot and evidence refs.</w:t>
      </w:r>
    </w:p>
    <w:p>
      <w:pPr>
        <w:pStyle w:val="ListBullet"/>
      </w:pPr>
      <w:r>
        <w:t>Test emits machine-readable and human-readable artifacts.</w:t>
      </w:r>
    </w:p>
    <w:p>
      <w:pPr>
        <w:pStyle w:val="ListBullet"/>
      </w:pPr>
      <w:r>
        <w:t>Failure output identifies the smallest divergent field/rule/evidence edge.</w:t>
      </w:r>
    </w:p>
    <w:p>
      <w:pPr>
        <w:pStyle w:val="ListBullet"/>
      </w:pPr>
      <w:r>
        <w:t>Documentation states what the benchmark proves and explicitly what it does not prove.</w:t>
      </w:r>
    </w:p>
    <w:p>
      <w:pPr>
        <w:pStyle w:val="ListBullet"/>
      </w:pPr>
      <w:r>
        <w:t>No public metric is released unless generated by the exact released code commit.</w:t>
      </w:r>
    </w:p>
    <w:p>
      <w:pPr>
        <w:pStyle w:val="Heading1"/>
      </w:pPr>
      <w:r>
        <w:t>14. Security, confidentiality, and data governance</w:t>
      </w:r>
    </w:p>
    <w:p>
      <w:pPr>
        <w:pStyle w:val="ListBullet"/>
      </w:pPr>
      <w:r>
        <w:t>Supplier/customer evidence must support tenant isolation and field/document-level access control.</w:t>
      </w:r>
    </w:p>
    <w:p>
      <w:pPr>
        <w:pStyle w:val="ListBullet"/>
      </w:pPr>
      <w:r>
        <w:t>Store content hashes and metadata separately from raw confidential documents where architecture permits.</w:t>
      </w:r>
    </w:p>
    <w:p>
      <w:pPr>
        <w:pStyle w:val="ListBullet"/>
      </w:pPr>
      <w:r>
        <w:t>Benchmark fixtures must contain no real confidential customer data unless expressly licensed and sanitized.</w:t>
      </w:r>
    </w:p>
    <w:p>
      <w:pPr>
        <w:pStyle w:val="ListBullet"/>
      </w:pPr>
      <w:r>
        <w:t>Public benchmark artifacts must redact party identifiers, credentials, internal paths and confidential source payloads.</w:t>
      </w:r>
    </w:p>
    <w:p>
      <w:pPr>
        <w:pStyle w:val="ListBullet"/>
      </w:pPr>
      <w:r>
        <w:t>Evidence-passport/export design must support permissioned disclosure rather than making all evidence globally reusable.</w:t>
      </w:r>
    </w:p>
    <w:p>
      <w:pPr>
        <w:pStyle w:val="Heading1"/>
      </w:pPr>
      <w:r>
        <w:t>15. Claims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Allowed after passing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Not allowed without further evidence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Validated against named European Commission reference examples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EU-certified / legally certified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Matches captured ROSA outcome for listed cases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Equivalent to SAP GTS preference management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Completes a Steelforce-inspired 500-line workflow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Feature parity with CarbonChain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Reproduces SAP-style blocking scenario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Replaces SAP GTS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Processes 100k synthetic shipments in stated reference environment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Production-proven at enterprise scale</w:t>
            </w:r>
          </w:p>
        </w:tc>
      </w:tr>
    </w:tbl>
    <w:p/>
    <w:p>
      <w:pPr>
        <w:pStyle w:val="Heading1"/>
      </w:pPr>
      <w:r>
        <w:t>Appendix A — Minimum fixture manifest</w:t>
      </w:r>
    </w:p>
    <w:p>
      <w:pPr>
        <w:pStyle w:val="CodeBlock"/>
      </w:pPr>
      <w:r>
        <w:t>suite_id: EU-CBAM-GOLDEN</w:t>
        <w:br/>
        <w:t>case_id: steel_eaf_001</w:t>
        <w:br/>
        <w:t>evidence_class: NORMATIVE</w:t>
        <w:br/>
        <w:t>source:</w:t>
        <w:br/>
        <w:t xml:space="preserve">  authority: European Commission</w:t>
        <w:br/>
        <w:t xml:space="preserve">  title: ...</w:t>
        <w:br/>
        <w:t xml:space="preserve">  retrieved_at: ...</w:t>
        <w:br/>
        <w:t xml:space="preserve">  effective_from: ...</w:t>
        <w:br/>
        <w:t xml:space="preserve">  sha256: ...</w:t>
        <w:br/>
        <w:t>fixture_files:</w:t>
        <w:br/>
        <w:t xml:space="preserve">  - path: source/example.xlsx</w:t>
        <w:br/>
        <w:t xml:space="preserve">    sha256: ...</w:t>
        <w:br/>
        <w:t>expected:</w:t>
        <w:br/>
        <w:t xml:space="preserve">  oracle_file: expected/reference.json</w:t>
        <w:br/>
        <w:t xml:space="preserve">  tolerance_profile: cbam_decimal_v1</w:t>
        <w:br/>
        <w:t>scenario:</w:t>
        <w:br/>
        <w:t xml:space="preserve">  as_of: 2026-...</w:t>
        <w:br/>
        <w:t xml:space="preserve">  jurisdiction: EU</w:t>
        <w:br/>
        <w:t>notes:</w:t>
        <w:br/>
        <w:t xml:space="preserve">  proves: calculation against named reference</w:t>
        <w:br/>
        <w:t xml:space="preserve">  does_not_prove: legal certification</w:t>
      </w:r>
    </w:p>
    <w:p>
      <w:pPr>
        <w:pStyle w:val="Heading1"/>
      </w:pPr>
      <w:r>
        <w:t>Appendix B — Key source-derived benchmark intent</w:t>
      </w:r>
    </w:p>
    <w:p>
      <w:r>
        <w:t>The source material proposes a 500-line Steelforce-style CBAM scenario with deliberately injected supplier, installation, precursor, classification, freshness and verification defects; official European Commission filled CBAM examples as golden fixtures; 2026 default/benchmark cases; SAP-style blocking and BOM-origin cases; TARIC snapshots; cross-regulation evidence invalidation; supplier-to-order/revenue lineage; evidence decay/time travel; and a 100,000-shipment scale test. This specification preserves those intentions while making the assertions deterministic and implementable.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EuroSetu — Competitive Validation &amp; Benchmark Implementation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