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83FF" w14:textId="77777777" w:rsidR="00D27A8E" w:rsidRPr="00A64099" w:rsidRDefault="00D27A8E" w:rsidP="00663396"/>
    <w:p w14:paraId="375342E0" w14:textId="77777777" w:rsidR="00433C63" w:rsidRPr="00A64099" w:rsidRDefault="00433C63" w:rsidP="00492BDD">
      <w:pPr>
        <w:pStyle w:val="Title"/>
        <w:rPr>
          <w:rFonts w:eastAsia="Antonio"/>
        </w:rPr>
      </w:pPr>
    </w:p>
    <w:p w14:paraId="01CDA49C" w14:textId="4340342F" w:rsidR="00433C63" w:rsidRPr="00A64099" w:rsidRDefault="00000000" w:rsidP="00492BDD">
      <w:pPr>
        <w:pStyle w:val="Title"/>
        <w:rPr>
          <w:rFonts w:eastAsia="Antonio"/>
        </w:rPr>
      </w:pPr>
      <w:r>
        <w:rPr>
          <w:rFonts w:eastAsia="Antonio"/>
        </w:rPr>
        <w:pict w14:anchorId="111EC878">
          <v:rect id="_x0000_i1025" style="width:0;height:1.5pt" o:hralign="center" o:hrstd="t" o:hr="t" fillcolor="#a0a0a0" stroked="f"/>
        </w:pict>
      </w:r>
    </w:p>
    <w:p w14:paraId="6F44A29A" w14:textId="222A9E0C" w:rsidR="00D27A8E" w:rsidRPr="00492BDD" w:rsidRDefault="00433C63" w:rsidP="00492BDD">
      <w:pPr>
        <w:pStyle w:val="Title"/>
        <w:spacing w:before="240" w:after="240"/>
        <w:rPr>
          <w:rStyle w:val="BookTitle"/>
        </w:rPr>
      </w:pPr>
      <w:r w:rsidRPr="00492BDD">
        <w:rPr>
          <w:rStyle w:val="BookTitle"/>
        </w:rPr>
        <w:t>“FOR ALL MANKIND”</w:t>
      </w:r>
    </w:p>
    <w:p w14:paraId="457D90D9" w14:textId="57C76F86" w:rsidR="00433C63" w:rsidRPr="00A64099" w:rsidRDefault="00000000" w:rsidP="00663396">
      <w:r>
        <w:rPr>
          <w:rFonts w:eastAsia="Antonio"/>
        </w:rPr>
        <w:pict w14:anchorId="35D216F4">
          <v:rect id="_x0000_i1026" style="width:0;height:1.5pt" o:hralign="center" o:hrstd="t" o:hr="t" fillcolor="#a0a0a0" stroked="f"/>
        </w:pict>
      </w:r>
    </w:p>
    <w:p w14:paraId="187CEA8C" w14:textId="77777777" w:rsidR="00433C63" w:rsidRPr="00A64099" w:rsidRDefault="00433C63" w:rsidP="00663396"/>
    <w:p w14:paraId="01E8236C" w14:textId="77777777" w:rsidR="00433C63" w:rsidRPr="00A64099" w:rsidRDefault="00433C63" w:rsidP="00663396"/>
    <w:p w14:paraId="434085B0" w14:textId="77777777" w:rsidR="00433C63" w:rsidRPr="00A64099" w:rsidRDefault="00433C63" w:rsidP="00663396"/>
    <w:p w14:paraId="74DF66CB" w14:textId="77777777" w:rsidR="00433C63" w:rsidRPr="00A64099" w:rsidRDefault="00433C63" w:rsidP="00663396"/>
    <w:p w14:paraId="3D4101CD" w14:textId="77777777" w:rsidR="00433C63" w:rsidRPr="00A64099" w:rsidRDefault="00433C63" w:rsidP="00663396"/>
    <w:p w14:paraId="371EED66" w14:textId="301D5B27" w:rsidR="00D27A8E" w:rsidRPr="00492BDD" w:rsidRDefault="00C21905" w:rsidP="00492BDD">
      <w:pPr>
        <w:pStyle w:val="Title"/>
      </w:pPr>
      <w:r>
        <w:t>SYSTEM ARCHITECTURE, DESIGN AND TESTING</w:t>
      </w:r>
    </w:p>
    <w:p w14:paraId="38863AD8" w14:textId="77777777" w:rsidR="00D27A8E" w:rsidRPr="00A64099" w:rsidRDefault="00D27A8E" w:rsidP="00663396"/>
    <w:p w14:paraId="681F9432" w14:textId="77777777" w:rsidR="00433C63" w:rsidRPr="00A64099" w:rsidRDefault="00433C63" w:rsidP="00663396"/>
    <w:p w14:paraId="0D8B515C" w14:textId="77777777" w:rsidR="00433C63" w:rsidRPr="00A64099" w:rsidRDefault="00433C63" w:rsidP="00663396"/>
    <w:p w14:paraId="4F998063" w14:textId="77777777" w:rsidR="00433C63" w:rsidRPr="00A64099" w:rsidRDefault="00433C63" w:rsidP="00663396"/>
    <w:p w14:paraId="16F96570" w14:textId="77777777" w:rsidR="00433C63" w:rsidRPr="00A64099" w:rsidRDefault="00433C63" w:rsidP="00663396"/>
    <w:p w14:paraId="5D0AADF7" w14:textId="77777777" w:rsidR="00433C63" w:rsidRPr="00A64099" w:rsidRDefault="00433C63" w:rsidP="00663396"/>
    <w:p w14:paraId="69BD9BF2" w14:textId="77777777" w:rsidR="00433C63" w:rsidRPr="00A64099" w:rsidRDefault="00433C63" w:rsidP="00663396"/>
    <w:p w14:paraId="6D8E6EEB" w14:textId="77777777" w:rsidR="00433C63" w:rsidRPr="00A64099" w:rsidRDefault="00433C63" w:rsidP="00663396"/>
    <w:tbl>
      <w:tblPr>
        <w:tblW w:w="0" w:type="auto"/>
        <w:jc w:val="righ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838"/>
        <w:gridCol w:w="2962"/>
      </w:tblGrid>
      <w:tr w:rsidR="00D27A8E" w:rsidRPr="00A64099" w14:paraId="3B29EC3C" w14:textId="77777777" w:rsidTr="00433C63">
        <w:trPr>
          <w:jc w:val="right"/>
        </w:trPr>
        <w:tc>
          <w:tcPr>
            <w:tcW w:w="1838" w:type="dxa"/>
            <w:shd w:val="clear" w:color="auto" w:fill="1B1B1B"/>
            <w:tcMar>
              <w:top w:w="60" w:type="dxa"/>
              <w:left w:w="120" w:type="dxa"/>
              <w:bottom w:w="60" w:type="dxa"/>
              <w:right w:w="120" w:type="dxa"/>
            </w:tcMar>
            <w:vAlign w:val="center"/>
          </w:tcPr>
          <w:p w14:paraId="108C53AD" w14:textId="77777777" w:rsidR="00D27A8E" w:rsidRPr="00A64099" w:rsidRDefault="00000000" w:rsidP="00663396">
            <w:r w:rsidRPr="00A64099">
              <w:rPr>
                <w:rFonts w:eastAsia="Courier New"/>
              </w:rPr>
              <w:t>AUTHORS</w:t>
            </w:r>
          </w:p>
        </w:tc>
        <w:tc>
          <w:tcPr>
            <w:tcW w:w="2962" w:type="dxa"/>
            <w:tcMar>
              <w:top w:w="60" w:type="dxa"/>
              <w:left w:w="120" w:type="dxa"/>
              <w:bottom w:w="60" w:type="dxa"/>
              <w:right w:w="120" w:type="dxa"/>
            </w:tcMar>
            <w:vAlign w:val="center"/>
          </w:tcPr>
          <w:p w14:paraId="403445BA" w14:textId="77BD859F" w:rsidR="00433C63" w:rsidRPr="00A64099" w:rsidRDefault="00433C63" w:rsidP="00663396">
            <w:pPr>
              <w:rPr>
                <w:rFonts w:eastAsia="Courier New"/>
              </w:rPr>
            </w:pPr>
            <w:r w:rsidRPr="00A64099">
              <w:rPr>
                <w:rFonts w:eastAsia="Courier New"/>
              </w:rPr>
              <w:t>Dr Al Gill</w:t>
            </w:r>
          </w:p>
          <w:p w14:paraId="7272DA34" w14:textId="3CBC0A5D" w:rsidR="00D27A8E" w:rsidRPr="00A64099" w:rsidRDefault="00000000" w:rsidP="00663396">
            <w:r w:rsidRPr="00A64099">
              <w:rPr>
                <w:rFonts w:eastAsia="Courier New"/>
              </w:rPr>
              <w:t xml:space="preserve">Claude Sonnet 5 </w:t>
            </w:r>
          </w:p>
        </w:tc>
      </w:tr>
      <w:tr w:rsidR="00D27A8E" w:rsidRPr="00A64099" w14:paraId="7CFC4339" w14:textId="77777777" w:rsidTr="00433C63">
        <w:trPr>
          <w:jc w:val="right"/>
        </w:trPr>
        <w:tc>
          <w:tcPr>
            <w:tcW w:w="1838" w:type="dxa"/>
            <w:shd w:val="clear" w:color="auto" w:fill="1B1B1B"/>
            <w:tcMar>
              <w:top w:w="60" w:type="dxa"/>
              <w:left w:w="120" w:type="dxa"/>
              <w:bottom w:w="60" w:type="dxa"/>
              <w:right w:w="120" w:type="dxa"/>
            </w:tcMar>
            <w:vAlign w:val="center"/>
          </w:tcPr>
          <w:p w14:paraId="525890A3" w14:textId="77777777" w:rsidR="00D27A8E" w:rsidRPr="00A64099" w:rsidRDefault="00000000" w:rsidP="00663396">
            <w:r w:rsidRPr="00A64099">
              <w:rPr>
                <w:rFonts w:eastAsia="Courier New"/>
              </w:rPr>
              <w:t>VERSION</w:t>
            </w:r>
          </w:p>
        </w:tc>
        <w:tc>
          <w:tcPr>
            <w:tcW w:w="2962" w:type="dxa"/>
            <w:tcMar>
              <w:top w:w="60" w:type="dxa"/>
              <w:left w:w="120" w:type="dxa"/>
              <w:bottom w:w="60" w:type="dxa"/>
              <w:right w:w="120" w:type="dxa"/>
            </w:tcMar>
            <w:vAlign w:val="center"/>
          </w:tcPr>
          <w:p w14:paraId="2AB1AB10" w14:textId="77777777" w:rsidR="00D27A8E" w:rsidRPr="00A64099" w:rsidRDefault="00000000" w:rsidP="00663396">
            <w:r w:rsidRPr="00A64099">
              <w:rPr>
                <w:rFonts w:eastAsia="Courier New"/>
              </w:rPr>
              <w:t>0.2</w:t>
            </w:r>
          </w:p>
        </w:tc>
      </w:tr>
      <w:tr w:rsidR="00D27A8E" w:rsidRPr="00A64099" w14:paraId="1197E2BA" w14:textId="77777777" w:rsidTr="00433C63">
        <w:trPr>
          <w:jc w:val="right"/>
        </w:trPr>
        <w:tc>
          <w:tcPr>
            <w:tcW w:w="1838" w:type="dxa"/>
            <w:shd w:val="clear" w:color="auto" w:fill="1B1B1B"/>
            <w:tcMar>
              <w:top w:w="60" w:type="dxa"/>
              <w:left w:w="120" w:type="dxa"/>
              <w:bottom w:w="60" w:type="dxa"/>
              <w:right w:w="120" w:type="dxa"/>
            </w:tcMar>
            <w:vAlign w:val="center"/>
          </w:tcPr>
          <w:p w14:paraId="74ABEDAC" w14:textId="77777777" w:rsidR="00D27A8E" w:rsidRPr="00A64099" w:rsidRDefault="00000000" w:rsidP="00663396">
            <w:r w:rsidRPr="00A64099">
              <w:rPr>
                <w:rFonts w:eastAsia="Courier New"/>
              </w:rPr>
              <w:t>DATE</w:t>
            </w:r>
          </w:p>
        </w:tc>
        <w:tc>
          <w:tcPr>
            <w:tcW w:w="2962" w:type="dxa"/>
            <w:tcMar>
              <w:top w:w="60" w:type="dxa"/>
              <w:left w:w="120" w:type="dxa"/>
              <w:bottom w:w="60" w:type="dxa"/>
              <w:right w:w="120" w:type="dxa"/>
            </w:tcMar>
            <w:vAlign w:val="center"/>
          </w:tcPr>
          <w:p w14:paraId="02C9C504" w14:textId="77777777" w:rsidR="00D27A8E" w:rsidRPr="00A64099" w:rsidRDefault="00000000" w:rsidP="00663396">
            <w:r w:rsidRPr="00A64099">
              <w:rPr>
                <w:rFonts w:eastAsia="Courier New"/>
              </w:rPr>
              <w:t>2026-07-28</w:t>
            </w:r>
          </w:p>
        </w:tc>
      </w:tr>
    </w:tbl>
    <w:p w14:paraId="44EEF5BE" w14:textId="77777777" w:rsidR="00336690" w:rsidRPr="00F339AD" w:rsidRDefault="00000000" w:rsidP="00336690">
      <w:pPr>
        <w:pStyle w:val="Heading1"/>
      </w:pPr>
      <w:r w:rsidRPr="00A64099">
        <w:br w:type="page"/>
      </w:r>
      <w:r w:rsidR="00336690" w:rsidRPr="00F339AD">
        <w:lastRenderedPageBreak/>
        <w:t>TECH STACK</w:t>
      </w:r>
    </w:p>
    <w:p w14:paraId="1E565956" w14:textId="77777777" w:rsidR="00336690" w:rsidRPr="00F339AD" w:rsidRDefault="00336690" w:rsidP="00336690">
      <w:pPr>
        <w:pStyle w:val="Heading2"/>
      </w:pPr>
      <w:r w:rsidRPr="00F339AD">
        <w:t>Core Technologies</w:t>
      </w:r>
    </w:p>
    <w:p w14:paraId="71ADED83" w14:textId="77777777" w:rsidR="00336690" w:rsidRPr="00715536" w:rsidRDefault="00336690" w:rsidP="00336690">
      <w:r w:rsidRPr="00715536">
        <w:rPr>
          <w:b/>
          <w:bCs/>
        </w:rPr>
        <w:t>HTML5</w:t>
      </w:r>
      <w:r w:rsidRPr="00715536">
        <w:t> — Semantic, universally supported markup that needs nothing more than a standard web browser to view, directly satisfying the requirement that the product be accessible to anyone without plugins or extra runtimes.</w:t>
      </w:r>
    </w:p>
    <w:p w14:paraId="387DC06A" w14:textId="77777777" w:rsidR="00336690" w:rsidRPr="00715536" w:rsidRDefault="00336690" w:rsidP="00336690">
      <w:r w:rsidRPr="00715536">
        <w:rPr>
          <w:b/>
          <w:bCs/>
        </w:rPr>
        <w:t>CSS3</w:t>
      </w:r>
      <w:r w:rsidRPr="00715536">
        <w:t> — Modern layout features (flexbox, grid, media queries) deliver the verified responsive behaviour across phone, small tablet and desktop widths with no JavaScript overhead, keeping the client lightweight.</w:t>
      </w:r>
    </w:p>
    <w:p w14:paraId="4B4B65DE" w14:textId="77777777" w:rsidR="00336690" w:rsidRPr="00715536" w:rsidRDefault="00336690" w:rsidP="00336690">
      <w:r w:rsidRPr="00715536">
        <w:t xml:space="preserve">Vanilla </w:t>
      </w:r>
      <w:r w:rsidRPr="00715536">
        <w:rPr>
          <w:b/>
          <w:bCs/>
        </w:rPr>
        <w:t>JavaScript</w:t>
      </w:r>
      <w:r w:rsidRPr="00715536">
        <w:t xml:space="preserve"> (client-side, no framework, no jQuery) — Keeps the client payload minimal to meet the requirement of remaining usable over constrained, high-latency links (20Mbps, including via NASA's O2O to the ISS/Moon); avoids build tooling entirely; modern native DOM APIs (fetch, </w:t>
      </w:r>
      <w:proofErr w:type="spellStart"/>
      <w:r w:rsidRPr="00715536">
        <w:t>querySelector</w:t>
      </w:r>
      <w:proofErr w:type="spellEnd"/>
      <w:r w:rsidRPr="00715536">
        <w:t xml:space="preserve">, </w:t>
      </w:r>
      <w:proofErr w:type="spellStart"/>
      <w:r w:rsidRPr="00715536">
        <w:t>classList</w:t>
      </w:r>
      <w:proofErr w:type="spellEnd"/>
      <w:r w:rsidRPr="00715536">
        <w:t>) already cover what jQuery used to be needed for, so it adds weight with no real benefit today.</w:t>
      </w:r>
    </w:p>
    <w:p w14:paraId="268FDACE" w14:textId="77777777" w:rsidR="00336690" w:rsidRPr="00715536" w:rsidRDefault="00336690" w:rsidP="00336690">
      <w:r w:rsidRPr="00715536">
        <w:rPr>
          <w:b/>
          <w:bCs/>
        </w:rPr>
        <w:t>TheLCARS.com</w:t>
      </w:r>
      <w:r w:rsidRPr="00715536">
        <w:t xml:space="preserve"> HTML/CSS template (Jim Robertus) — Pure HTML5/CSS3 with no images, verified genuinely responsive across phone, small tablet and desktop widths (63 tuned media-query breakpoints), already integrated into the current codebase, and delivers the required LCARS aesthetic out of the box; its non-commercial EULA will be handled via on-site attribution and a written-consent request given the project's business-park outreach angle.</w:t>
      </w:r>
    </w:p>
    <w:p w14:paraId="77C9CC8D" w14:textId="77777777" w:rsidR="00336690" w:rsidRDefault="00336690" w:rsidP="00336690">
      <w:r w:rsidRPr="00715536">
        <w:rPr>
          <w:b/>
          <w:bCs/>
        </w:rPr>
        <w:t>Node.js</w:t>
      </w:r>
      <w:r w:rsidRPr="00715536">
        <w:t xml:space="preserve"> (server-side) — Already the runtime in use across server.js and readNews.js; native fetch and the built-in </w:t>
      </w:r>
      <w:proofErr w:type="spellStart"/>
      <w:r w:rsidRPr="00715536">
        <w:t>node:sqlite</w:t>
      </w:r>
      <w:proofErr w:type="spellEnd"/>
      <w:r w:rsidRPr="00715536">
        <w:t xml:space="preserve"> module </w:t>
      </w:r>
      <w:proofErr w:type="gramStart"/>
      <w:r w:rsidRPr="00715536">
        <w:t>keep</w:t>
      </w:r>
      <w:proofErr w:type="gramEnd"/>
      <w:r w:rsidRPr="00715536">
        <w:t xml:space="preserve"> the stack to a single language end-to-end, which reduces context-switching for a small team.</w:t>
      </w:r>
    </w:p>
    <w:p w14:paraId="13B93483" w14:textId="77777777" w:rsidR="00336690" w:rsidRPr="00715536" w:rsidRDefault="00336690" w:rsidP="00336690">
      <w:r w:rsidRPr="00715536">
        <w:t xml:space="preserve">In-process scheduling via Node's </w:t>
      </w:r>
      <w:proofErr w:type="spellStart"/>
      <w:r w:rsidRPr="00715536">
        <w:rPr>
          <w:b/>
          <w:bCs/>
        </w:rPr>
        <w:t>setInterval</w:t>
      </w:r>
      <w:proofErr w:type="spellEnd"/>
      <w:r w:rsidRPr="00715536">
        <w:t xml:space="preserve">, rather than OS-level </w:t>
      </w:r>
      <w:proofErr w:type="spellStart"/>
      <w:r w:rsidRPr="00715536">
        <w:t>cron</w:t>
      </w:r>
      <w:proofErr w:type="spellEnd"/>
      <w:r w:rsidRPr="00715536">
        <w:t xml:space="preserve"> — Matches the polling pattern already implemented in readNews.js and requires no authority to schedule jobs on the hosting service, since the timer runs entirely inside the same long-running Node process; if the chosen host cannot guarantee a continuously running process (e.g. it sleeps or restarts on serverless-style hosting), the fallback is an external scheduled HTTP trigger — either a free </w:t>
      </w:r>
      <w:proofErr w:type="spellStart"/>
      <w:r w:rsidRPr="00715536">
        <w:t>cron</w:t>
      </w:r>
      <w:proofErr w:type="spellEnd"/>
      <w:r w:rsidRPr="00715536">
        <w:t xml:space="preserve">-as-a-service such as cron-job.org or the hosting platform's own managed scheduler — calling a refresh endpoint on a timer instead of relying on shell-level </w:t>
      </w:r>
      <w:proofErr w:type="spellStart"/>
      <w:r w:rsidRPr="00715536">
        <w:t>cron</w:t>
      </w:r>
      <w:proofErr w:type="spellEnd"/>
      <w:r w:rsidRPr="00715536">
        <w:t xml:space="preserve"> access.</w:t>
      </w:r>
    </w:p>
    <w:p w14:paraId="43203FA9" w14:textId="77777777" w:rsidR="00336690" w:rsidRPr="00715536" w:rsidRDefault="00336690" w:rsidP="00336690">
      <w:r w:rsidRPr="00715536">
        <w:rPr>
          <w:b/>
          <w:bCs/>
        </w:rPr>
        <w:t>SQLite</w:t>
      </w:r>
      <w:r w:rsidRPr="00715536">
        <w:t xml:space="preserve"> (via </w:t>
      </w:r>
      <w:proofErr w:type="spellStart"/>
      <w:r w:rsidRPr="00715536">
        <w:t>node:sqlite</w:t>
      </w:r>
      <w:proofErr w:type="spellEnd"/>
      <w:r w:rsidRPr="00715536">
        <w:t xml:space="preserve">) — Zero-ops embedded database already in use for </w:t>
      </w:r>
      <w:proofErr w:type="spellStart"/>
      <w:r w:rsidRPr="00715536">
        <w:t>space_news.db</w:t>
      </w:r>
      <w:proofErr w:type="spellEnd"/>
      <w:r w:rsidRPr="00715536">
        <w:t>; comfortably handles current and expected ingestion volumes (TLEs, news, weather snapshots) without the operational overhead of running a separate database server.</w:t>
      </w:r>
    </w:p>
    <w:p w14:paraId="47370778" w14:textId="77777777" w:rsidR="00336690" w:rsidRPr="00205636" w:rsidRDefault="00336690" w:rsidP="00336690">
      <w:pPr>
        <w:spacing w:line="264" w:lineRule="auto"/>
      </w:pPr>
      <w:r w:rsidRPr="00F339AD">
        <w:rPr>
          <w:b/>
          <w:bCs/>
        </w:rPr>
        <w:t>Static hosting for the frontend</w:t>
      </w:r>
      <w:r w:rsidRPr="00205636">
        <w:t xml:space="preserve"> — either a CDN/edge platform (e.g. Cloudflare Pages, Netlify) or a standard host (e.g. GoDaddy) — A CDN/edge platform gives free global distribution and git-based deploys, but that's a convenience rather than a requirement, </w:t>
      </w:r>
      <w:r w:rsidRPr="00205636">
        <w:lastRenderedPageBreak/>
        <w:t>since the project already has to tolerate multi-second latency for its most remote users; a standard shared host serving the same static files is equally valid.</w:t>
      </w:r>
    </w:p>
    <w:p w14:paraId="25264E9A" w14:textId="77777777" w:rsidR="00336690" w:rsidRPr="00205636" w:rsidRDefault="00336690" w:rsidP="00336690">
      <w:pPr>
        <w:spacing w:line="264" w:lineRule="auto"/>
      </w:pPr>
      <w:r w:rsidRPr="00205636">
        <w:rPr>
          <w:b/>
          <w:bCs/>
        </w:rPr>
        <w:t>VPS, PaaS</w:t>
      </w:r>
      <w:r w:rsidRPr="00205636">
        <w:t xml:space="preserve">, or a Node-capable shared host for the backend — Whichever is chosen just needs to run a persistent Node.js process for the API and ingestion; a VPS or PaaS guarantees this by design, and a shared host (e.g. a GoDaddy cPanel plan) can too, provided its plan supports a Node.js app and </w:t>
      </w:r>
      <w:proofErr w:type="spellStart"/>
      <w:r w:rsidRPr="00205636">
        <w:t>cron</w:t>
      </w:r>
      <w:proofErr w:type="spellEnd"/>
      <w:r w:rsidRPr="00205636">
        <w:t xml:space="preserve"> jobs.</w:t>
      </w:r>
    </w:p>
    <w:p w14:paraId="49A232C6" w14:textId="77777777" w:rsidR="00336690" w:rsidRPr="00715536" w:rsidRDefault="00336690" w:rsidP="00336690">
      <w:proofErr w:type="spellStart"/>
      <w:r w:rsidRPr="00715536">
        <w:rPr>
          <w:b/>
          <w:bCs/>
        </w:rPr>
        <w:t>CesiumJS</w:t>
      </w:r>
      <w:proofErr w:type="spellEnd"/>
      <w:r w:rsidRPr="00715536">
        <w:t> — Industry-standard open-source WebGL library for 3D geospatial and orbital visualisation, needed for the LEO globe, satellite ground tracks, sensor cones and related orbital views.</w:t>
      </w:r>
    </w:p>
    <w:p w14:paraId="6E82C50C" w14:textId="77777777" w:rsidR="00336690" w:rsidRPr="00715536" w:rsidRDefault="00336690" w:rsidP="00336690">
      <w:r w:rsidRPr="00715536">
        <w:rPr>
          <w:b/>
          <w:bCs/>
        </w:rPr>
        <w:t>Plotly.js</w:t>
      </w:r>
      <w:r w:rsidRPr="00715536">
        <w:t xml:space="preserve"> — Handles most of the rendering work out of the box for 2D charts and the star catalogue visualisation, reducing custom charting code for things like </w:t>
      </w:r>
      <w:proofErr w:type="spellStart"/>
      <w:r w:rsidRPr="00715536">
        <w:t>Kp</w:t>
      </w:r>
      <w:proofErr w:type="spellEnd"/>
      <w:r w:rsidRPr="00715536">
        <w:t>-index history and launch time series.</w:t>
      </w:r>
    </w:p>
    <w:p w14:paraId="29CE4583" w14:textId="77777777" w:rsidR="00336690" w:rsidRDefault="00336690" w:rsidP="00336690">
      <w:pPr>
        <w:pStyle w:val="Heading2"/>
      </w:pPr>
      <w:r>
        <w:t>Third Party Libraries and Technologies</w:t>
      </w:r>
    </w:p>
    <w:p w14:paraId="694D78A5" w14:textId="77777777" w:rsidR="00336690" w:rsidRDefault="00336690" w:rsidP="00336690">
      <w:r w:rsidRPr="00F339AD">
        <w:rPr>
          <w:b/>
          <w:bCs/>
        </w:rPr>
        <w:t>satellite.js</w:t>
      </w:r>
      <w:r>
        <w:t xml:space="preserve"> — The standard JavaScript port of the SGP4/SDP4 orbit propagator; runs entirely client-side against the TLE data already pulled from </w:t>
      </w:r>
      <w:proofErr w:type="spellStart"/>
      <w:r>
        <w:t>CelesTrak</w:t>
      </w:r>
      <w:proofErr w:type="spellEnd"/>
      <w:r>
        <w:t>, and covers ground tracks, the overhead-now predictor, GEO-belt density and sensor cones without any server round-trip.</w:t>
      </w:r>
    </w:p>
    <w:p w14:paraId="5C1A4BC6" w14:textId="77777777" w:rsidR="00336690" w:rsidRDefault="00336690" w:rsidP="00336690">
      <w:r w:rsidRPr="00F339AD">
        <w:rPr>
          <w:b/>
          <w:bCs/>
        </w:rPr>
        <w:t>Numerical Integrators for Orbital Mechanics -</w:t>
      </w:r>
      <w:r>
        <w:t xml:space="preserve"> A hand-rolled numerical integrator (RK4) for the Orbital Mechanics Demonstrator, rather than a full HPOP library — A genuine HPOP (J2–Jn harmonics, drag, solar radiation pressure, third-body perturbations, GR) is heavy, and the closest mature open-source option, </w:t>
      </w:r>
      <w:proofErr w:type="spellStart"/>
      <w:r>
        <w:t>Orekit</w:t>
      </w:r>
      <w:proofErr w:type="spellEnd"/>
      <w:r>
        <w:t>, is a JVM library that would require standing up a separate Java microservice for one feature; since the demonstrator is an educational sandbox rather than an operational SSA tool, a simple selectable-perturbation integrator in JS keeps the scope bounded and the stack client-side.</w:t>
      </w:r>
    </w:p>
    <w:p w14:paraId="77D9D21A" w14:textId="77777777" w:rsidR="00336690" w:rsidRDefault="00336690" w:rsidP="00336690">
      <w:r w:rsidRPr="00F339AD">
        <w:rPr>
          <w:b/>
          <w:bCs/>
        </w:rPr>
        <w:t>suncalc.js</w:t>
      </w:r>
      <w:r>
        <w:t xml:space="preserve"> — A small, dependency-free library for sun/moon position and twilight calculations, needed for the day-night-terminator ground-track overlay and the aurora viewing-location layer.</w:t>
      </w:r>
    </w:p>
    <w:p w14:paraId="7A5E3437" w14:textId="77777777" w:rsidR="00336690" w:rsidRDefault="00336690" w:rsidP="00336690">
      <w:r w:rsidRPr="00F339AD">
        <w:rPr>
          <w:b/>
          <w:bCs/>
        </w:rPr>
        <w:t xml:space="preserve">OpenStreetMap </w:t>
      </w:r>
      <w:proofErr w:type="spellStart"/>
      <w:r w:rsidRPr="00F339AD">
        <w:rPr>
          <w:b/>
          <w:bCs/>
        </w:rPr>
        <w:t>Nominatim</w:t>
      </w:r>
      <w:proofErr w:type="spellEnd"/>
      <w:r>
        <w:t xml:space="preserve"> — Free geocoding service to turn a user-typed place name into coordinates for the overhead-now predictor, rather than building geocoding in-house.</w:t>
      </w:r>
    </w:p>
    <w:p w14:paraId="6F6F1D47" w14:textId="77777777" w:rsidR="00632686" w:rsidRDefault="00632686">
      <w:pPr>
        <w:spacing w:after="0" w:line="240" w:lineRule="auto"/>
        <w:rPr>
          <w:b/>
          <w:caps/>
          <w:color w:val="0A2F41" w:themeColor="accent1" w:themeShade="80"/>
          <w:sz w:val="36"/>
          <w:szCs w:val="36"/>
        </w:rPr>
      </w:pPr>
      <w:r>
        <w:br w:type="page"/>
      </w:r>
    </w:p>
    <w:p w14:paraId="0B061D17" w14:textId="53D3624E" w:rsidR="00336690" w:rsidRDefault="00336690" w:rsidP="00336690">
      <w:pPr>
        <w:pStyle w:val="Heading1"/>
      </w:pPr>
      <w:r>
        <w:lastRenderedPageBreak/>
        <w:t>ARCHITECTURE</w:t>
      </w:r>
    </w:p>
    <w:p w14:paraId="6E8A4C58" w14:textId="00E9FA3E" w:rsidR="00632686" w:rsidRPr="00632686" w:rsidRDefault="00632686" w:rsidP="00632686">
      <w:r w:rsidRPr="00632686">
        <w:t xml:space="preserve">This </w:t>
      </w:r>
      <w:r w:rsidR="00FA023D">
        <w:t>describes a system architecture that delivers the system and functional requirements.</w:t>
      </w:r>
    </w:p>
    <w:p w14:paraId="4A9FD0AB" w14:textId="77777777" w:rsidR="00632686" w:rsidRPr="00632686" w:rsidRDefault="00632686" w:rsidP="00632686">
      <w:pPr>
        <w:pStyle w:val="Heading2"/>
      </w:pPr>
      <w:r w:rsidRPr="00632686">
        <w:t>Client-Side Files (HTML5 / CSS3 / JS)</w:t>
      </w:r>
    </w:p>
    <w:p w14:paraId="7014FDF8" w14:textId="77777777" w:rsidR="00632686" w:rsidRPr="00632686" w:rsidRDefault="00632686" w:rsidP="00632686">
      <w:pPr>
        <w:numPr>
          <w:ilvl w:val="0"/>
          <w:numId w:val="10"/>
        </w:numPr>
      </w:pPr>
      <w:r w:rsidRPr="00632686">
        <w:t>index.html — The single-page entry point and "mission control" landing view that all visualisation panels are navigated from.</w:t>
      </w:r>
    </w:p>
    <w:p w14:paraId="706008BB" w14:textId="77777777" w:rsidR="00632686" w:rsidRPr="00632686" w:rsidRDefault="00632686" w:rsidP="00632686">
      <w:pPr>
        <w:numPr>
          <w:ilvl w:val="0"/>
          <w:numId w:val="10"/>
        </w:numPr>
      </w:pPr>
      <w:r w:rsidRPr="00632686">
        <w:t>assets/classic.css — The TheLCARS.com-derived stylesheet providing the responsive LCARS layout, colour scheme and breakpoints, verified fluid from phone through desktop widths.</w:t>
      </w:r>
    </w:p>
    <w:p w14:paraId="2F3BCEAB" w14:textId="77777777" w:rsidR="00632686" w:rsidRPr="00632686" w:rsidRDefault="00632686" w:rsidP="00632686">
      <w:pPr>
        <w:numPr>
          <w:ilvl w:val="0"/>
          <w:numId w:val="10"/>
        </w:numPr>
      </w:pPr>
      <w:r w:rsidRPr="00632686">
        <w:t xml:space="preserve">assets/lcars.js — Core client-side interaction logic: navigation between panels and the space-news display already implemented against </w:t>
      </w:r>
      <w:proofErr w:type="spellStart"/>
      <w:r w:rsidRPr="00632686">
        <w:t>space_news.db</w:t>
      </w:r>
      <w:proofErr w:type="spellEnd"/>
      <w:r w:rsidRPr="00632686">
        <w:t>.</w:t>
      </w:r>
    </w:p>
    <w:p w14:paraId="24743CC8" w14:textId="77777777" w:rsidR="00632686" w:rsidRPr="00632686" w:rsidRDefault="00632686" w:rsidP="00632686">
      <w:pPr>
        <w:numPr>
          <w:ilvl w:val="0"/>
          <w:numId w:val="10"/>
        </w:numPr>
      </w:pPr>
      <w:r w:rsidRPr="00632686">
        <w:t>assets/Antonio-*.</w:t>
      </w:r>
      <w:proofErr w:type="spellStart"/>
      <w:r w:rsidRPr="00632686">
        <w:t>woff</w:t>
      </w:r>
      <w:proofErr w:type="spellEnd"/>
      <w:proofErr w:type="gramStart"/>
      <w:r w:rsidRPr="00632686">
        <w:t>/.woff</w:t>
      </w:r>
      <w:proofErr w:type="gramEnd"/>
      <w:r w:rsidRPr="00632686">
        <w:t>2 — The self-hosted Antonio typeface used for LCARS-style headings, avoiding a dependency on an external font CDN.</w:t>
      </w:r>
    </w:p>
    <w:p w14:paraId="1A4C8326" w14:textId="77777777" w:rsidR="00632686" w:rsidRPr="00632686" w:rsidRDefault="00632686" w:rsidP="00632686">
      <w:pPr>
        <w:numPr>
          <w:ilvl w:val="0"/>
          <w:numId w:val="10"/>
        </w:numPr>
      </w:pPr>
      <w:r w:rsidRPr="00632686">
        <w:t>One JS module per visualisation panel (satellite tracking, orbital demonstrator, star chart, space weather/aurora, launches, Earth observation, organisations, news) — Loaded on demand as the user navigates to each panel rather than bundled into one monolithic script, keeping the initial payload small for the low-bandwidth requirement.</w:t>
      </w:r>
    </w:p>
    <w:p w14:paraId="04500F04" w14:textId="77777777" w:rsidR="00632686" w:rsidRPr="00632686" w:rsidRDefault="00632686" w:rsidP="00632686">
      <w:pPr>
        <w:numPr>
          <w:ilvl w:val="0"/>
          <w:numId w:val="10"/>
        </w:numPr>
      </w:pPr>
      <w:r w:rsidRPr="00632686">
        <w:t>Self-hosted copies of third-party front-end libraries (</w:t>
      </w:r>
      <w:proofErr w:type="spellStart"/>
      <w:r w:rsidRPr="00632686">
        <w:t>CesiumJS</w:t>
      </w:r>
      <w:proofErr w:type="spellEnd"/>
      <w:r w:rsidRPr="00632686">
        <w:t xml:space="preserve">, Plotly.js, satellite.js, suncalc.js) — Served from the project's own assets rather than linked from a CDN, so the client isn't dependent on a third party's </w:t>
      </w:r>
      <w:proofErr w:type="gramStart"/>
      <w:r w:rsidRPr="00632686">
        <w:t>uptime</w:t>
      </w:r>
      <w:proofErr w:type="gramEnd"/>
      <w:r w:rsidRPr="00632686">
        <w:t xml:space="preserve"> and nothing is </w:t>
      </w:r>
      <w:proofErr w:type="spellStart"/>
      <w:r w:rsidRPr="00632686">
        <w:t>hotlinked</w:t>
      </w:r>
      <w:proofErr w:type="spellEnd"/>
      <w:r w:rsidRPr="00632686">
        <w:t>.</w:t>
      </w:r>
    </w:p>
    <w:p w14:paraId="0E5CC780" w14:textId="77777777" w:rsidR="00632686" w:rsidRPr="00632686" w:rsidRDefault="00632686" w:rsidP="00632686">
      <w:pPr>
        <w:pStyle w:val="Heading2"/>
      </w:pPr>
      <w:r w:rsidRPr="00632686">
        <w:t>Server-Side Hosting</w:t>
      </w:r>
    </w:p>
    <w:p w14:paraId="185E3213" w14:textId="77777777" w:rsidR="00632686" w:rsidRPr="00632686" w:rsidRDefault="00632686" w:rsidP="00632686">
      <w:pPr>
        <w:numPr>
          <w:ilvl w:val="0"/>
          <w:numId w:val="11"/>
        </w:numPr>
      </w:pPr>
      <w:r w:rsidRPr="00632686">
        <w:t>One Node.js process per data domain, rather than a single shared process — An API server process (server.js) serves the endpoints the client calls, and each data-ingestion job (news, TLE, space weather, launches, Earth observation imagery) runs as its own separate Node.js process; this keeps each process's code and responsibilities simple, lets ingestion jobs run concurrently without competing for the same event loop, and means a crash or slow run in one ingestion process can't stall the API server or any other job.</w:t>
      </w:r>
    </w:p>
    <w:p w14:paraId="70B3BBB2" w14:textId="77777777" w:rsidR="00632686" w:rsidRPr="00632686" w:rsidRDefault="00632686" w:rsidP="00632686">
      <w:pPr>
        <w:numPr>
          <w:ilvl w:val="0"/>
          <w:numId w:val="11"/>
        </w:numPr>
      </w:pPr>
      <w:r w:rsidRPr="00632686">
        <w:t>All processes hosted on the same machine, under whichever of a VPS, PaaS, or Node-capable shared host is chosen — Per techStack.md; the processes communicate with each other only indirectly, via the separate database files described below, not via direct inter-process calls.</w:t>
      </w:r>
    </w:p>
    <w:p w14:paraId="3A348FBB" w14:textId="77777777" w:rsidR="00632686" w:rsidRPr="00632686" w:rsidRDefault="00632686" w:rsidP="00632686">
      <w:pPr>
        <w:numPr>
          <w:ilvl w:val="0"/>
          <w:numId w:val="11"/>
        </w:numPr>
      </w:pPr>
      <w:r w:rsidRPr="00632686">
        <w:t>Static frontend files, optionally hosted separately from the backend — Since the frontend is just static HTML/CSS/JS, it can be served from a CDN/edge platform or a standard host independently of where the Node processes run; the two only need to be able to reach each other over ordinary HTTPS.</w:t>
      </w:r>
    </w:p>
    <w:p w14:paraId="0D7ABA59" w14:textId="77777777" w:rsidR="00632686" w:rsidRPr="00632686" w:rsidRDefault="00632686" w:rsidP="00632686">
      <w:pPr>
        <w:pStyle w:val="Heading2"/>
      </w:pPr>
      <w:r w:rsidRPr="00632686">
        <w:lastRenderedPageBreak/>
        <w:t>Process Supervision</w:t>
      </w:r>
    </w:p>
    <w:p w14:paraId="384BB1C3" w14:textId="77777777" w:rsidR="00632686" w:rsidRPr="00632686" w:rsidRDefault="00632686" w:rsidP="00632686">
      <w:pPr>
        <w:numPr>
          <w:ilvl w:val="0"/>
          <w:numId w:val="12"/>
        </w:numPr>
      </w:pPr>
      <w:r w:rsidRPr="00632686">
        <w:t xml:space="preserve">Each Node.js process is independently supervised and auto-restarted on crash — Now that ingestion runs as several separate processes rather than one, each needs its own restart-on-failure policy; use whatever the hosting layer already provides rather than building custom supervisor logic — a PaaS's own process manager, or </w:t>
      </w:r>
      <w:proofErr w:type="spellStart"/>
      <w:r w:rsidRPr="00632686">
        <w:t>systemd</w:t>
      </w:r>
      <w:proofErr w:type="spellEnd"/>
      <w:r w:rsidRPr="00632686">
        <w:t>/PM2 on a VPS, each configured with one service entry per process.</w:t>
      </w:r>
    </w:p>
    <w:p w14:paraId="4AEF5FFA" w14:textId="77777777" w:rsidR="00632686" w:rsidRPr="00632686" w:rsidRDefault="00632686" w:rsidP="00632686">
      <w:pPr>
        <w:numPr>
          <w:ilvl w:val="0"/>
          <w:numId w:val="12"/>
        </w:numPr>
      </w:pPr>
      <w:r w:rsidRPr="00632686">
        <w:t>Per-process failure isolation — Because each ingestion process owns exactly one database file and has no direct dependency on the others, one process crashing and restarting has no effect on the API server or the other ingestion jobs, beyond that one dataset being briefly stale until it restarts.</w:t>
      </w:r>
    </w:p>
    <w:p w14:paraId="5C41E75D" w14:textId="77777777" w:rsidR="00632686" w:rsidRPr="00632686" w:rsidRDefault="00632686" w:rsidP="00632686">
      <w:pPr>
        <w:pStyle w:val="Heading2"/>
      </w:pPr>
      <w:r w:rsidRPr="00632686">
        <w:t>Minimum Link Specification</w:t>
      </w:r>
    </w:p>
    <w:p w14:paraId="6755CA0D" w14:textId="77777777" w:rsidR="00632686" w:rsidRPr="00632686" w:rsidRDefault="00632686" w:rsidP="00632686">
      <w:pPr>
        <w:numPr>
          <w:ilvl w:val="0"/>
          <w:numId w:val="13"/>
        </w:numPr>
      </w:pPr>
      <w:r w:rsidRPr="00632686">
        <w:t xml:space="preserve">Client–server link — Minimum 20Mbps, with a design that tolerates multi-second round-trip latency (covering access as far as the ISS or the Moon via O2O); the client must not depend on fast </w:t>
      </w:r>
      <w:proofErr w:type="gramStart"/>
      <w:r w:rsidRPr="00632686">
        <w:t>round-trips</w:t>
      </w:r>
      <w:proofErr w:type="gramEnd"/>
      <w:r w:rsidRPr="00632686">
        <w:t xml:space="preserve">, so it uses polling with long timeouts rather than </w:t>
      </w:r>
      <w:proofErr w:type="spellStart"/>
      <w:r w:rsidRPr="00632686">
        <w:t>websockets</w:t>
      </w:r>
      <w:proofErr w:type="spellEnd"/>
      <w:r w:rsidRPr="00632686">
        <w:t xml:space="preserve"> or assumptions of near-instant responses.</w:t>
      </w:r>
    </w:p>
    <w:p w14:paraId="61354ACF" w14:textId="77777777" w:rsidR="00632686" w:rsidRPr="00632686" w:rsidRDefault="00632686" w:rsidP="00632686">
      <w:pPr>
        <w:numPr>
          <w:ilvl w:val="0"/>
          <w:numId w:val="13"/>
        </w:numPr>
      </w:pPr>
      <w:r w:rsidRPr="00632686">
        <w:t>Server–third-party API link — Standard broadband is sufficient; ingestion runs on a schedule rather than per user request, so it is not latency-sensitive.</w:t>
      </w:r>
    </w:p>
    <w:p w14:paraId="5483CB3A" w14:textId="77777777" w:rsidR="00632686" w:rsidRPr="00632686" w:rsidRDefault="00632686" w:rsidP="00632686">
      <w:pPr>
        <w:pStyle w:val="Heading2"/>
      </w:pPr>
      <w:r w:rsidRPr="00632686">
        <w:t>Minimum User Device Specification</w:t>
      </w:r>
    </w:p>
    <w:p w14:paraId="5F185CB7" w14:textId="77777777" w:rsidR="00632686" w:rsidRPr="00632686" w:rsidRDefault="00632686" w:rsidP="00632686">
      <w:pPr>
        <w:numPr>
          <w:ilvl w:val="0"/>
          <w:numId w:val="14"/>
        </w:numPr>
      </w:pPr>
      <w:r w:rsidRPr="00632686">
        <w:t>Screen size — Tablet-sized or larger (roughly 768px+) for the intended full visualisation experience, per the software requirements; the underlying layout also renders correctly down to phone widths, so basic navigation and reading remain usable on a phone even though the 3D globe panels aren't designed to shine there.</w:t>
      </w:r>
    </w:p>
    <w:p w14:paraId="44A9C0DB" w14:textId="77777777" w:rsidR="00632686" w:rsidRPr="00632686" w:rsidRDefault="00632686" w:rsidP="00632686">
      <w:pPr>
        <w:numPr>
          <w:ilvl w:val="0"/>
          <w:numId w:val="14"/>
        </w:numPr>
      </w:pPr>
      <w:r w:rsidRPr="00632686">
        <w:t xml:space="preserve">Browser — Any modern evergreen browser with WebGL support (required by </w:t>
      </w:r>
      <w:proofErr w:type="spellStart"/>
      <w:r w:rsidRPr="00632686">
        <w:t>CesiumJS</w:t>
      </w:r>
      <w:proofErr w:type="spellEnd"/>
      <w:r w:rsidRPr="00632686">
        <w:t>) and ES2020-level JavaScript; no plugins and no installed app required, satisfying the "nothing more than a web browser" requirement.</w:t>
      </w:r>
    </w:p>
    <w:p w14:paraId="3F586C5F" w14:textId="77777777" w:rsidR="00632686" w:rsidRPr="00632686" w:rsidRDefault="00632686" w:rsidP="00632686">
      <w:pPr>
        <w:numPr>
          <w:ilvl w:val="0"/>
          <w:numId w:val="14"/>
        </w:numPr>
      </w:pPr>
      <w:r w:rsidRPr="00632686">
        <w:t>Network — As low as 20Mbps at high latency, matching the link specification above.</w:t>
      </w:r>
    </w:p>
    <w:p w14:paraId="3E42580C" w14:textId="77777777" w:rsidR="00632686" w:rsidRPr="00632686" w:rsidRDefault="00632686" w:rsidP="00632686">
      <w:pPr>
        <w:pStyle w:val="Heading2"/>
      </w:pPr>
      <w:r w:rsidRPr="00632686">
        <w:t>Server-Side Databases</w:t>
      </w:r>
    </w:p>
    <w:p w14:paraId="12388E8B" w14:textId="77777777" w:rsidR="00632686" w:rsidRPr="00632686" w:rsidRDefault="00632686" w:rsidP="00632686">
      <w:pPr>
        <w:numPr>
          <w:ilvl w:val="0"/>
          <w:numId w:val="15"/>
        </w:numPr>
      </w:pPr>
      <w:r w:rsidRPr="00632686">
        <w:t>One SQLite database per data domain, each owned by exactly one ingestion process — Splitting by domain keeps each schema simple, lets a new prototype dataset be added as its own file without touching any live database, and means only one process ever writes to a given file, avoiding the write-lock contention that would occur if multiple ingestion processes shared one file; the API server process connects to all of them, but only ever reads.</w:t>
      </w:r>
    </w:p>
    <w:p w14:paraId="1EC1173B" w14:textId="77777777" w:rsidR="00632686" w:rsidRPr="00632686" w:rsidRDefault="00632686" w:rsidP="00632686">
      <w:pPr>
        <w:numPr>
          <w:ilvl w:val="0"/>
          <w:numId w:val="15"/>
        </w:numPr>
      </w:pPr>
      <w:proofErr w:type="spellStart"/>
      <w:r w:rsidRPr="00632686">
        <w:t>space_news.db</w:t>
      </w:r>
      <w:proofErr w:type="spellEnd"/>
      <w:r w:rsidRPr="00632686">
        <w:t xml:space="preserve"> (SQLite) — Already implemented; written by the news ingestion process, storing deduplicated news articles from the RSS feed list.</w:t>
      </w:r>
    </w:p>
    <w:p w14:paraId="70A4F6C4" w14:textId="77777777" w:rsidR="00632686" w:rsidRPr="00632686" w:rsidRDefault="00632686" w:rsidP="00632686">
      <w:pPr>
        <w:numPr>
          <w:ilvl w:val="0"/>
          <w:numId w:val="15"/>
        </w:numPr>
      </w:pPr>
      <w:r w:rsidRPr="00632686">
        <w:lastRenderedPageBreak/>
        <w:t xml:space="preserve">merged_100pc.sqlite (SQLite) — Already built via </w:t>
      </w:r>
      <w:proofErr w:type="spellStart"/>
      <w:r w:rsidRPr="00632686">
        <w:t>buildStarDB</w:t>
      </w:r>
      <w:proofErr w:type="spellEnd"/>
      <w:r w:rsidRPr="00632686">
        <w:t>/merge.py; the merged Hipparcos/Gaia star catalogue for stars within 100pc, static rather than continuously ingested, served to the client for star-chart rendering.</w:t>
      </w:r>
    </w:p>
    <w:p w14:paraId="039BB039" w14:textId="77777777" w:rsidR="00632686" w:rsidRPr="00632686" w:rsidRDefault="00632686" w:rsidP="00632686">
      <w:pPr>
        <w:numPr>
          <w:ilvl w:val="0"/>
          <w:numId w:val="15"/>
        </w:numPr>
      </w:pPr>
      <w:r w:rsidRPr="00632686">
        <w:t xml:space="preserve">An orbital-data cache (SQLite) — New; written by the TLE ingestion process, storing the latest TLE sets pulled from </w:t>
      </w:r>
      <w:proofErr w:type="spellStart"/>
      <w:r w:rsidRPr="00632686">
        <w:t>CelesTrak</w:t>
      </w:r>
      <w:proofErr w:type="spellEnd"/>
      <w:r w:rsidRPr="00632686">
        <w:t>/Space-Track with a per-record last-refreshed timestamp, so the client isn't re-fetching from the third-party source on every request.</w:t>
      </w:r>
    </w:p>
    <w:p w14:paraId="06C4274B" w14:textId="77777777" w:rsidR="00632686" w:rsidRPr="00632686" w:rsidRDefault="00632686" w:rsidP="00632686">
      <w:pPr>
        <w:numPr>
          <w:ilvl w:val="0"/>
          <w:numId w:val="15"/>
        </w:numPr>
      </w:pPr>
      <w:r w:rsidRPr="00632686">
        <w:t xml:space="preserve">A space-weather time-series store (SQLite) — New; written by the space-weather ingestion process, retaining </w:t>
      </w:r>
      <w:proofErr w:type="spellStart"/>
      <w:r w:rsidRPr="00632686">
        <w:t>Kp</w:t>
      </w:r>
      <w:proofErr w:type="spellEnd"/>
      <w:r w:rsidRPr="00632686">
        <w:t>-index, solar wind and CME/flare event history over time rather than just the latest value, needed for the historical dashboards in the software requirements.</w:t>
      </w:r>
    </w:p>
    <w:p w14:paraId="2E241EA5" w14:textId="77777777" w:rsidR="00632686" w:rsidRPr="00632686" w:rsidRDefault="00632686" w:rsidP="00632686">
      <w:pPr>
        <w:numPr>
          <w:ilvl w:val="0"/>
          <w:numId w:val="15"/>
        </w:numPr>
      </w:pPr>
      <w:r w:rsidRPr="00632686">
        <w:t>A launches database (SQLite) — New; written by the launches ingestion process, storing launch records pulled from Launch Library 2, supporting the heat-map, time-series, by-organisation and by-vehicle views.</w:t>
      </w:r>
    </w:p>
    <w:p w14:paraId="3AB874D6" w14:textId="77777777" w:rsidR="00632686" w:rsidRPr="00632686" w:rsidRDefault="00632686" w:rsidP="00632686">
      <w:pPr>
        <w:numPr>
          <w:ilvl w:val="0"/>
          <w:numId w:val="15"/>
        </w:numPr>
      </w:pPr>
      <w:r w:rsidRPr="00632686">
        <w:t xml:space="preserve">An organisations/reference-data store (SQLite or a simple config file) — New; hand-maintained rather than written by an ingestion process, holding content with no API source, such as the </w:t>
      </w:r>
      <w:proofErr w:type="gramStart"/>
      <w:r w:rsidRPr="00632686">
        <w:t>organisations</w:t>
      </w:r>
      <w:proofErr w:type="gramEnd"/>
      <w:r w:rsidRPr="00632686">
        <w:t xml:space="preserve"> directory, glossary entries and CubeSat spotlights.</w:t>
      </w:r>
    </w:p>
    <w:p w14:paraId="516707DD" w14:textId="77777777" w:rsidR="00632686" w:rsidRPr="00632686" w:rsidRDefault="00632686" w:rsidP="00632686">
      <w:pPr>
        <w:numPr>
          <w:ilvl w:val="0"/>
          <w:numId w:val="15"/>
        </w:numPr>
      </w:pPr>
      <w:r w:rsidRPr="00632686">
        <w:t xml:space="preserve">WAL (Write-Ahead Logging) mode enabled once per database file — Each process sets PRAGMA </w:t>
      </w:r>
      <w:proofErr w:type="spellStart"/>
      <w:r w:rsidRPr="00632686">
        <w:t>journal_mode</w:t>
      </w:r>
      <w:proofErr w:type="spellEnd"/>
      <w:r w:rsidRPr="00632686">
        <w:t xml:space="preserve"> = WAL; the first time it opens its own database file; because the setting is stored permanently in the file itself, and each file has exactly one writer, this needs no ongoing management.</w:t>
      </w:r>
    </w:p>
    <w:p w14:paraId="78A5861E" w14:textId="77777777" w:rsidR="00632686" w:rsidRPr="00632686" w:rsidRDefault="00632686" w:rsidP="00632686">
      <w:pPr>
        <w:pStyle w:val="Heading2"/>
      </w:pPr>
      <w:r w:rsidRPr="00632686">
        <w:t>Scheduled Jobs</w:t>
      </w:r>
    </w:p>
    <w:p w14:paraId="01172F21" w14:textId="77777777" w:rsidR="00632686" w:rsidRPr="00632686" w:rsidRDefault="00632686" w:rsidP="00632686">
      <w:pPr>
        <w:numPr>
          <w:ilvl w:val="0"/>
          <w:numId w:val="16"/>
        </w:numPr>
      </w:pPr>
      <w:r w:rsidRPr="00632686">
        <w:t xml:space="preserve">News ingestion process — Already implemented in readNews.js; polls the RSS feed list every 30 minutes and writes new articles to </w:t>
      </w:r>
      <w:proofErr w:type="spellStart"/>
      <w:r w:rsidRPr="00632686">
        <w:t>space_news.db</w:t>
      </w:r>
      <w:proofErr w:type="spellEnd"/>
      <w:r w:rsidRPr="00632686">
        <w:t>.</w:t>
      </w:r>
    </w:p>
    <w:p w14:paraId="7177ACC6" w14:textId="77777777" w:rsidR="00632686" w:rsidRPr="00632686" w:rsidRDefault="00632686" w:rsidP="00632686">
      <w:pPr>
        <w:numPr>
          <w:ilvl w:val="0"/>
          <w:numId w:val="16"/>
        </w:numPr>
      </w:pPr>
      <w:r w:rsidRPr="00632686">
        <w:t xml:space="preserve">TLE ingestion process — New; pulls updated orbital elements from </w:t>
      </w:r>
      <w:proofErr w:type="spellStart"/>
      <w:r w:rsidRPr="00632686">
        <w:t>CelesTrak</w:t>
      </w:r>
      <w:proofErr w:type="spellEnd"/>
      <w:r w:rsidRPr="00632686">
        <w:t xml:space="preserve"> (and Space-Track where registered) roughly hourly, since TLEs go stale quickly.</w:t>
      </w:r>
    </w:p>
    <w:p w14:paraId="172C1315" w14:textId="77777777" w:rsidR="00632686" w:rsidRPr="00632686" w:rsidRDefault="00632686" w:rsidP="00632686">
      <w:pPr>
        <w:numPr>
          <w:ilvl w:val="0"/>
          <w:numId w:val="16"/>
        </w:numPr>
      </w:pPr>
      <w:r w:rsidRPr="00632686">
        <w:t xml:space="preserve">Space weather ingestion process — New; polls NOAA SWPC and NASA DONKI every few minutes, given how fast </w:t>
      </w:r>
      <w:proofErr w:type="spellStart"/>
      <w:r w:rsidRPr="00632686">
        <w:t>Kp</w:t>
      </w:r>
      <w:proofErr w:type="spellEnd"/>
      <w:r w:rsidRPr="00632686">
        <w:t>-index and solar wind data change.</w:t>
      </w:r>
    </w:p>
    <w:p w14:paraId="10E4C1E8" w14:textId="77777777" w:rsidR="00632686" w:rsidRPr="00632686" w:rsidRDefault="00632686" w:rsidP="00632686">
      <w:pPr>
        <w:numPr>
          <w:ilvl w:val="0"/>
          <w:numId w:val="16"/>
        </w:numPr>
      </w:pPr>
      <w:r w:rsidRPr="00632686">
        <w:t>Launches ingestion process — New; polls Launch Library 2 every few hours, since launch schedules change comparatively rarely.</w:t>
      </w:r>
    </w:p>
    <w:p w14:paraId="32EF9A61" w14:textId="77777777" w:rsidR="00632686" w:rsidRPr="00632686" w:rsidRDefault="00632686" w:rsidP="00632686">
      <w:pPr>
        <w:numPr>
          <w:ilvl w:val="0"/>
          <w:numId w:val="16"/>
        </w:numPr>
      </w:pPr>
      <w:r w:rsidRPr="00632686">
        <w:t>Earth observation imagery ingestion process — New; checks for new Sentinel/Landsat/GIBS imagery daily, matching typical satellite revisit cadence.</w:t>
      </w:r>
    </w:p>
    <w:p w14:paraId="245B11B1" w14:textId="1EB3A5EB" w:rsidR="00FA023D" w:rsidRPr="00FA023D" w:rsidRDefault="00632686" w:rsidP="00FA023D">
      <w:pPr>
        <w:numPr>
          <w:ilvl w:val="0"/>
          <w:numId w:val="16"/>
        </w:numPr>
        <w:spacing w:after="0" w:line="240" w:lineRule="auto"/>
        <w:rPr>
          <w:b/>
          <w:caps/>
          <w:color w:val="0A2F41" w:themeColor="accent1" w:themeShade="80"/>
          <w:sz w:val="36"/>
          <w:szCs w:val="36"/>
        </w:rPr>
      </w:pPr>
      <w:r w:rsidRPr="00632686">
        <w:t xml:space="preserve">Scheduling mechanism — Each ingestion process runs its own internal </w:t>
      </w:r>
      <w:proofErr w:type="spellStart"/>
      <w:r w:rsidRPr="00632686">
        <w:t>setInterval</w:t>
      </w:r>
      <w:proofErr w:type="spellEnd"/>
      <w:r w:rsidRPr="00632686">
        <w:t>-based timer at its own cadence, per techStack.md, with the external-HTTP-trigger fallback documented there for hosts that cannot guarantee continuous uptime for every process.</w:t>
      </w:r>
      <w:r w:rsidR="00FA023D">
        <w:br w:type="page"/>
      </w:r>
    </w:p>
    <w:p w14:paraId="084E2E49" w14:textId="574A3E90" w:rsidR="00FA023D" w:rsidRPr="00FA023D" w:rsidRDefault="00FA023D" w:rsidP="00FA023D">
      <w:pPr>
        <w:spacing w:after="0" w:line="240" w:lineRule="auto"/>
        <w:rPr>
          <w:b/>
          <w:caps/>
          <w:color w:val="0A2F41" w:themeColor="accent1" w:themeShade="80"/>
          <w:sz w:val="36"/>
          <w:szCs w:val="36"/>
        </w:rPr>
      </w:pPr>
      <w:r w:rsidRPr="00FA023D">
        <w:rPr>
          <w:noProof/>
        </w:rPr>
        <w:lastRenderedPageBreak/>
        <w:drawing>
          <wp:inline distT="0" distB="0" distL="0" distR="0" wp14:anchorId="6CEAA496" wp14:editId="6D23CC07">
            <wp:extent cx="9074006" cy="5391524"/>
            <wp:effectExtent l="0" t="6667" r="6667" b="6668"/>
            <wp:docPr id="17329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0680" name=""/>
                    <pic:cNvPicPr/>
                  </pic:nvPicPr>
                  <pic:blipFill>
                    <a:blip r:embed="rId5"/>
                    <a:stretch>
                      <a:fillRect/>
                    </a:stretch>
                  </pic:blipFill>
                  <pic:spPr>
                    <a:xfrm rot="5400000">
                      <a:off x="0" y="0"/>
                      <a:ext cx="9087668" cy="5399642"/>
                    </a:xfrm>
                    <a:prstGeom prst="rect">
                      <a:avLst/>
                    </a:prstGeom>
                  </pic:spPr>
                </pic:pic>
              </a:graphicData>
            </a:graphic>
          </wp:inline>
        </w:drawing>
      </w:r>
    </w:p>
    <w:p w14:paraId="7C52FCCE" w14:textId="1FCC7377" w:rsidR="00D12BAA" w:rsidRDefault="002F215F" w:rsidP="00C21905">
      <w:pPr>
        <w:pStyle w:val="Heading1"/>
      </w:pPr>
      <w:r>
        <w:lastRenderedPageBreak/>
        <w:t>GUI</w:t>
      </w:r>
    </w:p>
    <w:p w14:paraId="7FDB9F7A" w14:textId="77777777" w:rsidR="002F215F" w:rsidRDefault="002F215F" w:rsidP="002F215F">
      <w:pPr>
        <w:pStyle w:val="ListParagraph"/>
      </w:pPr>
      <w:r>
        <w:t>LCARS-FAM (top-left corner, panel-1) — the structural elbow anchor for the whole frame; holds the product's own identity and doubles as a home link back to index.html.</w:t>
      </w:r>
    </w:p>
    <w:p w14:paraId="27820C59" w14:textId="78A948F2" w:rsidR="002F215F" w:rsidRDefault="002F215F" w:rsidP="002F215F">
      <w:pPr>
        <w:pStyle w:val="ListParagraph"/>
      </w:pPr>
      <w:r>
        <w:t>Location Banner (banner, top-right) — the current-section indicator; currently static text reading "FAM • MAIN", intended to update dynamically (e.g. "FAM • EARTH OBSERVATION") once section-switching logic is wired up.</w:t>
      </w:r>
    </w:p>
    <w:p w14:paraId="43208414" w14:textId="597A7CD2" w:rsidR="002F215F" w:rsidRDefault="002F215F" w:rsidP="002F215F">
      <w:pPr>
        <w:pStyle w:val="ListParagraph"/>
      </w:pPr>
      <w:r>
        <w:t>Inputs Panel (data-cascade-button-group / nav) — used for detailed inputs: typed fields, pill-cap action buttons, and selecting sub-sections within whichever main section is active. Not yet wired up to anything.</w:t>
      </w:r>
    </w:p>
    <w:p w14:paraId="5177D39F" w14:textId="01D87289" w:rsidR="002F215F" w:rsidRDefault="002F215F" w:rsidP="002F215F">
      <w:pPr>
        <w:pStyle w:val="ListParagraph"/>
      </w:pPr>
      <w:r>
        <w:t>Top bar (</w:t>
      </w:r>
      <w:proofErr w:type="gramStart"/>
      <w:r>
        <w:t>first-bar</w:t>
      </w:r>
      <w:proofErr w:type="gramEnd"/>
      <w:r>
        <w:t>-panel, bar-1 to bar-5) — used for status indicators showing, e.g. the status of the data ingestion.</w:t>
      </w:r>
    </w:p>
    <w:p w14:paraId="7CFE6B3A" w14:textId="71326B30" w:rsidR="002F215F" w:rsidRDefault="002F215F" w:rsidP="002F215F">
      <w:pPr>
        <w:pStyle w:val="ListParagraph"/>
      </w:pPr>
      <w:r>
        <w:t xml:space="preserve">Left Menu Sidebar (left-frame, panel-3 to panel-10) — the main section navigation menu. Currently placeholder labels (SW-DRIVERS, SW-FCST, SAT-ON ORBIT, SAT-GROUND, EO-IMAGERY, etc.); two of them (panel-3, panel-4) already toggle content via </w:t>
      </w:r>
      <w:proofErr w:type="gramStart"/>
      <w:r>
        <w:t>showSection(</w:t>
      </w:r>
      <w:proofErr w:type="gramEnd"/>
      <w:r>
        <w:t>).</w:t>
      </w:r>
    </w:p>
    <w:p w14:paraId="47648290" w14:textId="77777777" w:rsidR="002F215F" w:rsidRDefault="002F215F" w:rsidP="002F215F">
      <w:pPr>
        <w:pStyle w:val="ListParagraph"/>
      </w:pPr>
      <w:r>
        <w:t>Bottom bar (bar-panel, bar-6 to bar-10) — reserved for scrubbers and +/- size controls acting on whatever's currently shown in the payload area. Not yet wired up.</w:t>
      </w:r>
    </w:p>
    <w:p w14:paraId="75F196C4" w14:textId="77777777" w:rsidR="002F215F" w:rsidRDefault="002F215F" w:rsidP="002F215F">
      <w:pPr>
        <w:pStyle w:val="ListParagraph"/>
      </w:pPr>
      <w:r>
        <w:t>Main / payload area (&lt;main&gt;) — the actual visualisation viewport; its content swaps based on the selected section. Currently holds the default welcome text plus placeholder content for SW-DRIVERS, SW-FCST, and news.</w:t>
      </w:r>
    </w:p>
    <w:p w14:paraId="5031CFD8" w14:textId="77777777" w:rsidR="002F215F" w:rsidRDefault="002F215F" w:rsidP="002F215F">
      <w:pPr>
        <w:pStyle w:val="ListParagraph"/>
      </w:pPr>
      <w:r>
        <w:t>Footer — required attribution link to TheLCARS.com, per the template's licence terms.</w:t>
      </w:r>
    </w:p>
    <w:p w14:paraId="789A6955" w14:textId="21FF6803" w:rsidR="00D12BAA" w:rsidRDefault="002F215F" w:rsidP="002F215F">
      <w:pPr>
        <w:pStyle w:val="ListParagraph"/>
      </w:pPr>
      <w:r>
        <w:t>Headtrim / baseboard — thin decorative bars at the very top and bottom of the page, inherited from the LCARS template; no functional role.</w:t>
      </w:r>
    </w:p>
    <w:p w14:paraId="35F040FE" w14:textId="77777777" w:rsidR="002F215F" w:rsidRDefault="002F215F" w:rsidP="00C21905">
      <w:pPr>
        <w:pStyle w:val="Heading1"/>
      </w:pPr>
    </w:p>
    <w:p w14:paraId="019F1529" w14:textId="77777777" w:rsidR="002F215F" w:rsidRDefault="002F215F" w:rsidP="00C21905">
      <w:pPr>
        <w:pStyle w:val="Heading1"/>
      </w:pPr>
    </w:p>
    <w:p w14:paraId="21FB9136" w14:textId="77777777" w:rsidR="002F215F" w:rsidRDefault="002F215F" w:rsidP="00C21905">
      <w:pPr>
        <w:pStyle w:val="Heading1"/>
      </w:pPr>
    </w:p>
    <w:p w14:paraId="5B4F2BDE" w14:textId="54EF5314" w:rsidR="00C21905" w:rsidRDefault="00C21905" w:rsidP="00C21905">
      <w:pPr>
        <w:pStyle w:val="Heading1"/>
      </w:pPr>
      <w:r>
        <w:t>DATA SOURCES</w:t>
      </w:r>
    </w:p>
    <w:p w14:paraId="0752CECD" w14:textId="09CE1677" w:rsidR="00C21905" w:rsidRDefault="00A4050B" w:rsidP="00C21905">
      <w:r>
        <w:t xml:space="preserve">To provide the functionality described, data will need to be ingested from a variety of public domain sources. This will be in a variety of formats and accessible via a variety of different means – RSS, API, scraping </w:t>
      </w:r>
      <w:proofErr w:type="gramStart"/>
      <w:r>
        <w:t>etc..</w:t>
      </w:r>
      <w:proofErr w:type="gramEnd"/>
    </w:p>
    <w:p w14:paraId="403D6245" w14:textId="616B1AAC" w:rsidR="00A4050B" w:rsidRDefault="00A4050B" w:rsidP="00C21905">
      <w:r>
        <w:t>A provisional list of data sources likely to be useful is shown in the Table.</w:t>
      </w:r>
    </w:p>
    <w:p w14:paraId="4837492A" w14:textId="77777777" w:rsidR="00C01EFB" w:rsidRDefault="00C01EFB" w:rsidP="00C21905"/>
    <w:p w14:paraId="4479EB20" w14:textId="143DF70E" w:rsidR="00C01EFB" w:rsidRDefault="00C01EFB">
      <w:pPr>
        <w:spacing w:after="0" w:line="240" w:lineRule="auto"/>
      </w:pPr>
      <w:r>
        <w:br w:type="page"/>
      </w:r>
    </w:p>
    <w:p w14:paraId="6DD806EF" w14:textId="77777777" w:rsidR="00D12BAA" w:rsidRDefault="00C01EFB" w:rsidP="00D12BAA">
      <w:pPr>
        <w:pStyle w:val="PlainText"/>
        <w:rPr>
          <w:rFonts w:ascii="Courier New" w:hAnsi="Courier New" w:cs="Courier New"/>
        </w:rPr>
      </w:pPr>
      <w:r w:rsidRPr="00C01EFB">
        <w:rPr>
          <w:noProof/>
        </w:rPr>
        <w:lastRenderedPageBreak/>
        <w:drawing>
          <wp:inline distT="0" distB="0" distL="0" distR="0" wp14:anchorId="669B8801" wp14:editId="1C63F33E">
            <wp:extent cx="8563835" cy="5417626"/>
            <wp:effectExtent l="0" t="7938" r="953" b="952"/>
            <wp:docPr id="12555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8580842" cy="5428385"/>
                    </a:xfrm>
                    <a:prstGeom prst="rect">
                      <a:avLst/>
                    </a:prstGeom>
                    <a:noFill/>
                    <a:ln>
                      <a:noFill/>
                    </a:ln>
                  </pic:spPr>
                </pic:pic>
              </a:graphicData>
            </a:graphic>
          </wp:inline>
        </w:drawing>
      </w:r>
      <w:r w:rsidR="00D12BAA" w:rsidRPr="00D12BAA">
        <w:rPr>
          <w:rFonts w:ascii="Courier New" w:hAnsi="Courier New" w:cs="Courier New"/>
        </w:rPr>
        <w:t xml:space="preserve"> </w:t>
      </w:r>
    </w:p>
    <w:p w14:paraId="6DB859DC" w14:textId="77777777" w:rsidR="00D12BAA" w:rsidRDefault="00D12BAA">
      <w:pPr>
        <w:spacing w:after="0" w:line="240" w:lineRule="auto"/>
        <w:rPr>
          <w:rFonts w:ascii="Courier New" w:eastAsiaTheme="minorHAnsi" w:hAnsi="Courier New" w:cs="Courier New"/>
          <w:kern w:val="2"/>
          <w:sz w:val="21"/>
          <w:szCs w:val="21"/>
          <w:lang w:eastAsia="en-US"/>
          <w14:ligatures w14:val="standardContextual"/>
        </w:rPr>
      </w:pPr>
      <w:r>
        <w:rPr>
          <w:rFonts w:ascii="Courier New" w:hAnsi="Courier New" w:cs="Courier New"/>
        </w:rPr>
        <w:br w:type="page"/>
      </w:r>
    </w:p>
    <w:p w14:paraId="7D4B70AE" w14:textId="77777777" w:rsidR="00D12BAA" w:rsidRDefault="00D12BAA" w:rsidP="00D12BAA">
      <w:pPr>
        <w:pStyle w:val="Heading1"/>
      </w:pPr>
      <w:r w:rsidRPr="00467752">
        <w:lastRenderedPageBreak/>
        <w:t>Ancillary Architecture</w:t>
      </w:r>
    </w:p>
    <w:p w14:paraId="62E0D672" w14:textId="5BE07E08" w:rsidR="00D12BAA" w:rsidRPr="00467752" w:rsidRDefault="00D12BAA" w:rsidP="00D12BAA">
      <w:pPr>
        <w:pStyle w:val="Heading2"/>
      </w:pPr>
      <w:r w:rsidRPr="00467752">
        <w:t>Static Database Build Tooling</w:t>
      </w:r>
    </w:p>
    <w:p w14:paraId="2F500846" w14:textId="77777777" w:rsidR="00C708C4" w:rsidRDefault="00D12BAA" w:rsidP="00D12BAA">
      <w:r w:rsidRPr="00467752">
        <w:t xml:space="preserve">Alongside the live Node.js ingestion processes described </w:t>
      </w:r>
      <w:r>
        <w:t>previously</w:t>
      </w:r>
      <w:r w:rsidRPr="00467752">
        <w:t xml:space="preserve">, several of the project's databases are </w:t>
      </w:r>
      <w:r>
        <w:t>quasi-</w:t>
      </w:r>
      <w:r w:rsidRPr="00467752">
        <w:t>static reference data rather than continuously refreshed feeds</w:t>
      </w:r>
      <w:r w:rsidR="00C708C4">
        <w:t xml:space="preserve">. For example, a list of the world’s space agencies changes only rarely. It can </w:t>
      </w:r>
      <w:proofErr w:type="gramStart"/>
      <w:r w:rsidRPr="00467752">
        <w:t>built once</w:t>
      </w:r>
      <w:proofErr w:type="gramEnd"/>
      <w:r w:rsidRPr="00467752">
        <w:t xml:space="preserve"> by standalone Python scripts run offline</w:t>
      </w:r>
      <w:r w:rsidR="00C708C4">
        <w:t xml:space="preserve"> and then occasionally refreshed. The </w:t>
      </w:r>
      <w:r w:rsidRPr="00467752">
        <w:t xml:space="preserve">resulting </w:t>
      </w:r>
      <w:r w:rsidR="00C708C4">
        <w:t xml:space="preserve">database </w:t>
      </w:r>
      <w:r w:rsidRPr="00467752">
        <w:t xml:space="preserve">is simply shipped and read by the API server. </w:t>
      </w:r>
    </w:p>
    <w:p w14:paraId="668FB558" w14:textId="6ED0E754" w:rsidR="00D12BAA" w:rsidRDefault="00D12BAA" w:rsidP="00D12BAA">
      <w:r w:rsidRPr="00467752">
        <w:t>Because the underlying source data changes slowly, none of these scripts need a recurring schedule in the way the space-news or TLE ingestion does</w:t>
      </w:r>
      <w:r w:rsidR="00C708C4">
        <w:t>. T</w:t>
      </w:r>
      <w:r w:rsidRPr="00467752">
        <w:t>hey</w:t>
      </w:r>
      <w:r w:rsidR="00C708C4">
        <w:t xml:space="preserve"> are </w:t>
      </w:r>
      <w:r w:rsidRPr="00467752">
        <w:t>run by hand, infrequently, whenever the source data is worth refreshing.</w:t>
      </w:r>
    </w:p>
    <w:p w14:paraId="58DF7277" w14:textId="77777777" w:rsidR="00BF5E46" w:rsidRPr="00F51F7A" w:rsidRDefault="00BF5E46" w:rsidP="00BF5E46">
      <w:pPr>
        <w:pStyle w:val="Heading2"/>
      </w:pPr>
      <w:r w:rsidRPr="00F51F7A">
        <w:t>Canary Jobs — Live API Schema-Drift Monitoring</w:t>
      </w:r>
    </w:p>
    <w:p w14:paraId="0F3722D0" w14:textId="77777777" w:rsidR="00BF5E46" w:rsidRDefault="00BF5E46" w:rsidP="00BF5E46">
      <w:r>
        <w:t>These are a</w:t>
      </w:r>
      <w:r w:rsidRPr="00F51F7A">
        <w:t xml:space="preserve"> different kind of ancillary script from the ones above</w:t>
      </w:r>
      <w:r>
        <w:t>. Ra</w:t>
      </w:r>
      <w:r w:rsidRPr="00F51F7A">
        <w:t xml:space="preserve">ther than building a database, a canary job's </w:t>
      </w:r>
      <w:r>
        <w:t xml:space="preserve">sole </w:t>
      </w:r>
      <w:r w:rsidRPr="00F51F7A">
        <w:t>purpose is to call a real third-party API on a low, fixed cadence (e.g. once daily) and check that the response still has the shape the ingestion code expects</w:t>
      </w:r>
      <w:r>
        <w:t xml:space="preserve">. This is designed to catch </w:t>
      </w:r>
      <w:r w:rsidRPr="00F51F7A">
        <w:t>the failure mode that matters most in production — an upstream provider silently changing its API or response format</w:t>
      </w:r>
      <w:r>
        <w:t>.</w:t>
      </w:r>
    </w:p>
    <w:p w14:paraId="513F4866" w14:textId="77777777" w:rsidR="00BF5E46" w:rsidRDefault="00BF5E46" w:rsidP="00BF5E46">
      <w:r>
        <w:t xml:space="preserve">This should look for things like </w:t>
      </w:r>
      <w:r w:rsidRPr="00F51F7A">
        <w:t xml:space="preserve">the </w:t>
      </w:r>
      <w:r>
        <w:t xml:space="preserve">required </w:t>
      </w:r>
      <w:r w:rsidRPr="00F51F7A">
        <w:t xml:space="preserve">fields </w:t>
      </w:r>
      <w:r>
        <w:t xml:space="preserve">being </w:t>
      </w:r>
      <w:r w:rsidRPr="00F51F7A">
        <w:t xml:space="preserve">present, types are as expected, no unannounced deprecation or error response </w:t>
      </w:r>
      <w:r>
        <w:t xml:space="preserve">are returned. It should not validate </w:t>
      </w:r>
      <w:r w:rsidRPr="00F51F7A">
        <w:t xml:space="preserve">the data's content. </w:t>
      </w:r>
      <w:r>
        <w:t xml:space="preserve">Such problems would not be caught by regular pre-deployment testing. </w:t>
      </w:r>
    </w:p>
    <w:p w14:paraId="03C94BCC" w14:textId="77777777" w:rsidR="00BF5E46" w:rsidRPr="00F51F7A" w:rsidRDefault="00BF5E46" w:rsidP="00BF5E46">
      <w:r w:rsidRPr="00F51F7A">
        <w:t>One small canary script per external source (</w:t>
      </w:r>
      <w:proofErr w:type="spellStart"/>
      <w:r w:rsidRPr="00F51F7A">
        <w:t>CelesTrak</w:t>
      </w:r>
      <w:proofErr w:type="spellEnd"/>
      <w:r w:rsidRPr="00F51F7A">
        <w:t xml:space="preserve">, NOAA SWPC, NASA DONKI, Launch Library 2, etc.) </w:t>
      </w:r>
      <w:r>
        <w:t xml:space="preserve">should cover </w:t>
      </w:r>
      <w:r w:rsidRPr="00F51F7A">
        <w:t>this</w:t>
      </w:r>
      <w:r>
        <w:t xml:space="preserve">. Each script would run </w:t>
      </w:r>
      <w:r w:rsidRPr="00F51F7A">
        <w:t>independently of both the fixture-based tests and the live ingestion processes</w:t>
      </w:r>
      <w:r>
        <w:t xml:space="preserve">. It should </w:t>
      </w:r>
      <w:r w:rsidRPr="00F51F7A">
        <w:t xml:space="preserve">raise an alert on failure rather than block anything </w:t>
      </w:r>
      <w:r>
        <w:t xml:space="preserve">as </w:t>
      </w:r>
      <w:r w:rsidRPr="00F51F7A">
        <w:t>it</w:t>
      </w:r>
      <w:r>
        <w:t xml:space="preserve"> i</w:t>
      </w:r>
      <w:r w:rsidRPr="00F51F7A">
        <w:t>s a monitoring signal, not a deploy gate.</w:t>
      </w:r>
    </w:p>
    <w:p w14:paraId="1AC47446" w14:textId="77777777" w:rsidR="00BF5E46" w:rsidRPr="00467752" w:rsidRDefault="00BF5E46" w:rsidP="00BF5E46">
      <w:pPr>
        <w:pStyle w:val="Heading2"/>
      </w:pPr>
      <w:r w:rsidRPr="00467752">
        <w:t xml:space="preserve">Glossary </w:t>
      </w:r>
    </w:p>
    <w:p w14:paraId="7DAD6DB4" w14:textId="77777777" w:rsidR="00BF5E46" w:rsidRPr="00467752" w:rsidRDefault="00BF5E46" w:rsidP="00BF5E46">
      <w:r>
        <w:t xml:space="preserve">If implemented, this feature would be a curated list rather than being scraped from any </w:t>
      </w:r>
      <w:proofErr w:type="gramStart"/>
      <w:r>
        <w:t>particular source</w:t>
      </w:r>
      <w:proofErr w:type="gramEnd"/>
      <w:r>
        <w:t xml:space="preserve">. For this reason, it might make sense to have some form of data entry tool, such as an XL document on which a python script could be run to produce a suitable SQL-flavoured database. </w:t>
      </w:r>
    </w:p>
    <w:p w14:paraId="5116203C" w14:textId="77777777" w:rsidR="00BF5E46" w:rsidRPr="00467752" w:rsidRDefault="00BF5E46" w:rsidP="00D12BAA"/>
    <w:p w14:paraId="7053625C" w14:textId="77777777" w:rsidR="00BF5E46" w:rsidRDefault="00BF5E46">
      <w:pPr>
        <w:spacing w:after="0" w:line="240" w:lineRule="auto"/>
        <w:rPr>
          <w:b/>
          <w:bCs/>
          <w:color w:val="0A2F41" w:themeColor="accent1" w:themeShade="80"/>
          <w:sz w:val="28"/>
          <w:szCs w:val="28"/>
        </w:rPr>
      </w:pPr>
      <w:r>
        <w:br w:type="page"/>
      </w:r>
    </w:p>
    <w:p w14:paraId="531B3BC5" w14:textId="5C6D834F" w:rsidR="00D12BAA" w:rsidRPr="00C708C4" w:rsidRDefault="00D12BAA" w:rsidP="00BF5E46">
      <w:pPr>
        <w:pStyle w:val="Heading1"/>
      </w:pPr>
      <w:r w:rsidRPr="00C708C4">
        <w:lastRenderedPageBreak/>
        <w:t xml:space="preserve">Star Catalogue </w:t>
      </w:r>
    </w:p>
    <w:p w14:paraId="21ED5014" w14:textId="573146A2" w:rsidR="00D12BAA" w:rsidRPr="00467752" w:rsidRDefault="00D12BAA" w:rsidP="00D12BAA">
      <w:r w:rsidRPr="00467752">
        <w:t>This is the most involved of the static databases, so it's worth documenting in full. The goal is a catalogue of stars within 100 parsecs of the Sun for the "Visualisation of Local Space Environment" feature, and it's built from two public catalogues combined by three scripts: `gaia100pc.py`, `hipparcos100pc.py`, and `merge.py`.</w:t>
      </w:r>
    </w:p>
    <w:p w14:paraId="1D090A67" w14:textId="351EE330" w:rsidR="00C708C4" w:rsidRDefault="00C708C4" w:rsidP="00C708C4">
      <w:pPr>
        <w:pStyle w:val="Heading3"/>
      </w:pPr>
      <w:r>
        <w:t>Why Two Data Sources?</w:t>
      </w:r>
      <w:r w:rsidR="00D12BAA" w:rsidRPr="00467752">
        <w:t xml:space="preserve"> </w:t>
      </w:r>
    </w:p>
    <w:p w14:paraId="61B65CE6" w14:textId="77777777" w:rsidR="00C708C4" w:rsidRDefault="00D12BAA" w:rsidP="00D12BAA">
      <w:r w:rsidRPr="00467752">
        <w:t xml:space="preserve">Gaia DR3 is the modern, </w:t>
      </w:r>
      <w:r w:rsidR="00C708C4">
        <w:t xml:space="preserve">and </w:t>
      </w:r>
      <w:r w:rsidRPr="00467752">
        <w:t xml:space="preserve">by far </w:t>
      </w:r>
      <w:r w:rsidR="00C708C4">
        <w:t xml:space="preserve">the </w:t>
      </w:r>
      <w:r w:rsidRPr="00467752">
        <w:t>more complete source</w:t>
      </w:r>
      <w:r w:rsidR="00C708C4">
        <w:t>,</w:t>
      </w:r>
      <w:r w:rsidRPr="00467752">
        <w:t xml:space="preserve"> </w:t>
      </w:r>
      <w:r w:rsidR="00C708C4">
        <w:t xml:space="preserve">having </w:t>
      </w:r>
      <w:r w:rsidRPr="00467752">
        <w:t xml:space="preserve">hundreds of thousands of stars within 100pc, with precise positions and (for most rows) measured stellar parameters, pulled directly from the Gaia archive via ADQL. </w:t>
      </w:r>
    </w:p>
    <w:p w14:paraId="2DDF190D" w14:textId="77777777" w:rsidR="00C708C4" w:rsidRDefault="00D12BAA" w:rsidP="00D12BAA">
      <w:r w:rsidRPr="00467752">
        <w:t xml:space="preserve">But Gaia has a specific, well-known deficiency: </w:t>
      </w:r>
      <w:r w:rsidR="00C708C4">
        <w:t xml:space="preserve">for instrument reasons, </w:t>
      </w:r>
      <w:r w:rsidRPr="00467752">
        <w:t xml:space="preserve">its astrometric and spectroscopic pipelines saturate for very bright, </w:t>
      </w:r>
      <w:r w:rsidR="00C708C4">
        <w:t xml:space="preserve">often </w:t>
      </w:r>
      <w:r w:rsidRPr="00467752">
        <w:t>nearby stars</w:t>
      </w:r>
      <w:r w:rsidR="00C708C4">
        <w:t xml:space="preserve">. These include </w:t>
      </w:r>
      <w:r w:rsidRPr="00467752">
        <w:t xml:space="preserve">some of the </w:t>
      </w:r>
      <w:r w:rsidR="00C708C4">
        <w:t xml:space="preserve">best-known </w:t>
      </w:r>
      <w:r w:rsidRPr="00467752">
        <w:t>naked-eye stars in the sky</w:t>
      </w:r>
      <w:r w:rsidR="00C708C4">
        <w:t xml:space="preserve"> which are precisely the </w:t>
      </w:r>
      <w:r w:rsidRPr="00467752">
        <w:t xml:space="preserve">stars </w:t>
      </w:r>
      <w:r w:rsidR="00C708C4">
        <w:t xml:space="preserve">that are most obvious to humans and which it is most important to show correctly. These </w:t>
      </w:r>
      <w:r w:rsidRPr="00467752">
        <w:t xml:space="preserve">are missing or unreliable in Gaia DR3. </w:t>
      </w:r>
    </w:p>
    <w:p w14:paraId="2825D447" w14:textId="3A3567E2" w:rsidR="00D12BAA" w:rsidRPr="00467752" w:rsidRDefault="00D12BAA" w:rsidP="00D12BAA">
      <w:r w:rsidRPr="00467752">
        <w:t>Hipparcos, an older and much smaller mission (~118,000 stars, whole sky, nowhere near Gaia's density within just 100pc), has no such saturation problem at the bright end. It's used here specifically to patch in the bright stars Gaia can't handle, not as a replacement for Gaia's overall dataset.</w:t>
      </w:r>
    </w:p>
    <w:p w14:paraId="45E5761A" w14:textId="7B52009C" w:rsidR="00C708C4" w:rsidRDefault="00D12BAA" w:rsidP="00C708C4">
      <w:pPr>
        <w:pStyle w:val="Heading3"/>
      </w:pPr>
      <w:r w:rsidRPr="00467752">
        <w:t xml:space="preserve">Modifications to </w:t>
      </w:r>
      <w:r w:rsidR="00C708C4">
        <w:t>the Raw Data</w:t>
      </w:r>
    </w:p>
    <w:p w14:paraId="0A5F8479" w14:textId="7524C513" w:rsidR="00D12BAA" w:rsidRPr="00467752" w:rsidRDefault="00D12BAA" w:rsidP="00D12BAA">
      <w:r w:rsidRPr="00467752">
        <w:t>Neither catalogue is used as-</w:t>
      </w:r>
      <w:proofErr w:type="gramStart"/>
      <w:r w:rsidRPr="00467752">
        <w:t>is:</w:t>
      </w:r>
      <w:r w:rsidR="00C708C4">
        <w:t>-</w:t>
      </w:r>
      <w:proofErr w:type="gramEnd"/>
    </w:p>
    <w:p w14:paraId="0D69C8C3" w14:textId="20315189" w:rsidR="00D12BAA" w:rsidRPr="00467752" w:rsidRDefault="00D12BAA" w:rsidP="00D12BAA">
      <w:r w:rsidRPr="00C708C4">
        <w:rPr>
          <w:b/>
          <w:bCs/>
        </w:rPr>
        <w:t>Distance</w:t>
      </w:r>
      <w:r w:rsidR="00C708C4">
        <w:t xml:space="preserve"> </w:t>
      </w:r>
      <w:r w:rsidRPr="00467752">
        <w:t xml:space="preserve">— Gaia's own </w:t>
      </w:r>
      <w:proofErr w:type="spellStart"/>
      <w:r w:rsidRPr="00467752">
        <w:t>photogeometric</w:t>
      </w:r>
      <w:proofErr w:type="spellEnd"/>
      <w:r w:rsidRPr="00467752">
        <w:t xml:space="preserve"> distance estimate is used where available, falling back to simple parallax inversion (1000/parallax) otherwise; Hipparcos has no Bayesian distance estimate at all</w:t>
      </w:r>
      <w:r w:rsidR="00C708C4">
        <w:t xml:space="preserve"> and</w:t>
      </w:r>
      <w:r w:rsidRPr="00467752">
        <w:t xml:space="preserve"> uses parallax inversion throughout</w:t>
      </w:r>
      <w:r w:rsidR="00C708C4">
        <w:t>. R</w:t>
      </w:r>
      <w:r w:rsidRPr="00467752">
        <w:t>ows whose parallax relative error exceeds 20% flagged in a `</w:t>
      </w:r>
      <w:proofErr w:type="spellStart"/>
      <w:r w:rsidRPr="00467752">
        <w:t>distance_reliable</w:t>
      </w:r>
      <w:proofErr w:type="spellEnd"/>
      <w:r w:rsidRPr="00467752">
        <w:t>` column.</w:t>
      </w:r>
    </w:p>
    <w:p w14:paraId="2E479A29" w14:textId="66723C1C" w:rsidR="00D12BAA" w:rsidRPr="00467752" w:rsidRDefault="00D12BAA" w:rsidP="00D12BAA">
      <w:r w:rsidRPr="00C708C4">
        <w:rPr>
          <w:b/>
          <w:bCs/>
        </w:rPr>
        <w:t>Absolute magnitude</w:t>
      </w:r>
      <w:r w:rsidRPr="00467752">
        <w:t xml:space="preserve"> — computed manually for both catalogues (M = m − 5·log</w:t>
      </w:r>
      <w:r w:rsidRPr="00467752">
        <w:rPr>
          <w:rFonts w:ascii="Cambria Math" w:hAnsi="Cambria Math" w:cs="Cambria Math"/>
        </w:rPr>
        <w:t>₁₀</w:t>
      </w:r>
      <w:r w:rsidRPr="00467752">
        <w:t>(d) + 5) from each catalogue's own apparent magnitude and distance. This is not extinction-corrected in either case, a known approximation carried into the output rather than hidden.</w:t>
      </w:r>
    </w:p>
    <w:p w14:paraId="0BF1EF04" w14:textId="5E3FBFBE" w:rsidR="00D12BAA" w:rsidRPr="00467752" w:rsidRDefault="00D12BAA" w:rsidP="00D12BAA">
      <w:r w:rsidRPr="00C708C4">
        <w:rPr>
          <w:b/>
          <w:bCs/>
        </w:rPr>
        <w:t>Temperature</w:t>
      </w:r>
      <w:r w:rsidRPr="00467752">
        <w:t xml:space="preserve"> — Gaia rows use a three-tier fallback: its own photometry-based measurement (`</w:t>
      </w:r>
      <w:proofErr w:type="spellStart"/>
      <w:r w:rsidRPr="00467752">
        <w:t>teff_gspphot</w:t>
      </w:r>
      <w:proofErr w:type="spellEnd"/>
      <w:r w:rsidRPr="00467752">
        <w:t>`) first, its separate spectroscopy-based measurement (`</w:t>
      </w:r>
      <w:proofErr w:type="spellStart"/>
      <w:r w:rsidRPr="00467752">
        <w:t>teff_gspspec</w:t>
      </w:r>
      <w:proofErr w:type="spellEnd"/>
      <w:r w:rsidRPr="00467752">
        <w:t>`) second where the first is missing, and a derived estimate from BP-RP colour (Jordi et al. 2010) third, only for colours within that relation's valid range. Hipparcos has no measured temperature at all, so its temperature is derived entirely from B-V colour using a different published relation (Ballesteros 2012). Every row's `</w:t>
      </w:r>
      <w:proofErr w:type="spellStart"/>
      <w:r w:rsidRPr="00467752">
        <w:t>teff_source</w:t>
      </w:r>
      <w:proofErr w:type="spellEnd"/>
      <w:r w:rsidRPr="00467752">
        <w:t>` column records exactly which method produced it, because the two catalogues' colour-derived estimates are not directly comparable methods or precision.</w:t>
      </w:r>
    </w:p>
    <w:p w14:paraId="5B6B10F1" w14:textId="1E9C53CD" w:rsidR="00D12BAA" w:rsidRPr="00467752" w:rsidRDefault="00D12BAA" w:rsidP="00D12BAA">
      <w:r w:rsidRPr="00C708C4">
        <w:rPr>
          <w:b/>
          <w:bCs/>
        </w:rPr>
        <w:t>Names</w:t>
      </w:r>
      <w:r w:rsidRPr="00467752">
        <w:t xml:space="preserve"> — neither catalogue carries proper star names. Both scripts resolve names via a single bulk positional </w:t>
      </w:r>
      <w:proofErr w:type="gramStart"/>
      <w:r w:rsidRPr="00467752">
        <w:t>cross-match</w:t>
      </w:r>
      <w:proofErr w:type="gramEnd"/>
      <w:r w:rsidRPr="00467752">
        <w:t xml:space="preserve"> against SIMBAD</w:t>
      </w:r>
      <w:r w:rsidR="00C708C4">
        <w:t>. R</w:t>
      </w:r>
      <w:r w:rsidRPr="00467752">
        <w:t xml:space="preserve">ather than one network call per star, </w:t>
      </w:r>
      <w:r w:rsidRPr="00467752">
        <w:lastRenderedPageBreak/>
        <w:t xml:space="preserve">which </w:t>
      </w:r>
      <w:r w:rsidR="00C708C4">
        <w:t xml:space="preserve">would </w:t>
      </w:r>
      <w:r w:rsidRPr="00467752">
        <w:t>trip SIMBAD's rate limiter</w:t>
      </w:r>
      <w:r w:rsidR="00C708C4">
        <w:t xml:space="preserve">, we use </w:t>
      </w:r>
      <w:r w:rsidRPr="00467752">
        <w:t xml:space="preserve">a 10 arcsec match radius. That radius was deliberately widened from an initially tighter 2 arcsec after real stars — Vega among them — came back unnamed: Gaia's epoch (2016.0) and SIMBAD's stored epoch for a given star can differ by decades, and nearby high-proper-motion stars drift several arcsec in that gap, so a tight radius systematically misses exactly the stars this catalogue cares about. Unmatched stars simply keep their catalogue identifier (Gaia </w:t>
      </w:r>
      <w:proofErr w:type="spellStart"/>
      <w:r w:rsidRPr="00467752">
        <w:t>source_id</w:t>
      </w:r>
      <w:proofErr w:type="spellEnd"/>
      <w:r w:rsidRPr="00467752">
        <w:t xml:space="preserve"> or Hipparcos HIP number) as a fallback name.</w:t>
      </w:r>
    </w:p>
    <w:p w14:paraId="1E42CF96" w14:textId="77777777" w:rsidR="002909B5" w:rsidRDefault="00D12BAA" w:rsidP="00D12BAA">
      <w:r w:rsidRPr="00C708C4">
        <w:rPr>
          <w:b/>
          <w:bCs/>
        </w:rPr>
        <w:t>Merging</w:t>
      </w:r>
      <w:r w:rsidRPr="00467752">
        <w:t xml:space="preserve"> — Gaia and Hipparcos share no common identifier, so `merge.py` </w:t>
      </w:r>
      <w:proofErr w:type="gramStart"/>
      <w:r w:rsidRPr="00467752">
        <w:t>cross-matches</w:t>
      </w:r>
      <w:proofErr w:type="gramEnd"/>
      <w:r w:rsidRPr="00467752">
        <w:t xml:space="preserve"> the two purely by sky position, again at a 10 arcsec radius, using each catalogue's own epoch coordinates (neither saved dataset carries proper-motion columns, so no motion propagation is attempted — a known limitation, audited via a `</w:t>
      </w:r>
      <w:proofErr w:type="spellStart"/>
      <w:r w:rsidRPr="00467752">
        <w:t>match_sep_arcsec</w:t>
      </w:r>
      <w:proofErr w:type="spellEnd"/>
      <w:r w:rsidRPr="00467752">
        <w:t xml:space="preserve">` column on every matched row rather than left invisible). </w:t>
      </w:r>
    </w:p>
    <w:p w14:paraId="05129A9D" w14:textId="04227BA5" w:rsidR="00D12BAA" w:rsidRPr="00467752" w:rsidRDefault="00D12BAA" w:rsidP="00D12BAA">
      <w:r w:rsidRPr="00467752">
        <w:t>Where a star appears in both catalogues, the Gaia row is kept as the primary record and Hipparcos is used only to fill genuinely missing fields, chiefly temperature. Unmatched Hipparcos rows — disproportionately the brightest, Gaia-saturated stars — are appended as their own entries. Every output row is tagged `</w:t>
      </w:r>
      <w:proofErr w:type="spellStart"/>
      <w:r w:rsidRPr="00467752">
        <w:t>gaia</w:t>
      </w:r>
      <w:proofErr w:type="spellEnd"/>
      <w:r w:rsidRPr="00467752">
        <w:t>`, `</w:t>
      </w:r>
      <w:proofErr w:type="spellStart"/>
      <w:r w:rsidRPr="00467752">
        <w:t>hipparcos</w:t>
      </w:r>
      <w:proofErr w:type="spellEnd"/>
      <w:r w:rsidRPr="00467752">
        <w:t>`, or `</w:t>
      </w:r>
      <w:proofErr w:type="spellStart"/>
      <w:r w:rsidRPr="00467752">
        <w:t>gaia+hipparcos</w:t>
      </w:r>
      <w:proofErr w:type="spellEnd"/>
      <w:r w:rsidRPr="00467752">
        <w:t>` via a `</w:t>
      </w:r>
      <w:proofErr w:type="spellStart"/>
      <w:r w:rsidRPr="00467752">
        <w:t>source_catalogue</w:t>
      </w:r>
      <w:proofErr w:type="spellEnd"/>
      <w:r w:rsidRPr="00467752">
        <w:t>` column.</w:t>
      </w:r>
    </w:p>
    <w:p w14:paraId="73B9E033" w14:textId="49F15C81" w:rsidR="00D12BAA" w:rsidRPr="00467752" w:rsidRDefault="00D12BAA" w:rsidP="00D12BAA">
      <w:r w:rsidRPr="002909B5">
        <w:rPr>
          <w:b/>
          <w:bCs/>
        </w:rPr>
        <w:t>Known deficiencies</w:t>
      </w:r>
      <w:r w:rsidR="002909B5">
        <w:t xml:space="preserve"> – </w:t>
      </w:r>
      <w:r w:rsidRPr="00467752">
        <w:t>Gaia's core weakness is bright-star saturation, which is the entire reason Hipparcos is in the pipeline at all. Hipparcos's weaknesses are its much smaller sample and the total absence of measured temperature. Both catalogues' absolute magnitudes are uncorrected for extinction. The cross-catalogue match itself is approximate: a fixed positional radius with no proper-motion propagation can occasionally miss a very fast-moving star or mismatch a close visual double, which is why every match is left auditable rather than resolved silently.</w:t>
      </w:r>
    </w:p>
    <w:p w14:paraId="3CDB070E" w14:textId="167DB84C" w:rsidR="00D12BAA" w:rsidRPr="00467752" w:rsidRDefault="00D12BAA" w:rsidP="00D12BAA">
      <w:r w:rsidRPr="002909B5">
        <w:rPr>
          <w:b/>
          <w:bCs/>
        </w:rPr>
        <w:t>Why this approach</w:t>
      </w:r>
      <w:r w:rsidR="002909B5">
        <w:rPr>
          <w:b/>
          <w:bCs/>
        </w:rPr>
        <w:t>?</w:t>
      </w:r>
      <w:r w:rsidRPr="00467752">
        <w:t xml:space="preserve"> Combining Gaia's breadth and precision with Hipparcos's bright-star completeness, while preserving `</w:t>
      </w:r>
      <w:proofErr w:type="spellStart"/>
      <w:r w:rsidRPr="00467752">
        <w:t>teff_source</w:t>
      </w:r>
      <w:proofErr w:type="spellEnd"/>
      <w:r w:rsidRPr="00467752">
        <w:t>`, `</w:t>
      </w:r>
      <w:proofErr w:type="spellStart"/>
      <w:r w:rsidRPr="00467752">
        <w:t>source_catalogue</w:t>
      </w:r>
      <w:proofErr w:type="spellEnd"/>
      <w:r w:rsidRPr="00467752">
        <w:t>`, `</w:t>
      </w:r>
      <w:proofErr w:type="spellStart"/>
      <w:r w:rsidRPr="00467752">
        <w:t>match_sep_arcsec</w:t>
      </w:r>
      <w:proofErr w:type="spellEnd"/>
      <w:r w:rsidRPr="00467752">
        <w:t>`, and `</w:t>
      </w:r>
      <w:proofErr w:type="spellStart"/>
      <w:r w:rsidRPr="00467752">
        <w:t>distance_reliable</w:t>
      </w:r>
      <w:proofErr w:type="spellEnd"/>
      <w:r w:rsidRPr="00467752">
        <w:t>` as audit columns in the final `merged_100pc.sqlite`, gives the most complete local star catalogue achievable from public-domain data without hiding where its precision is approximate — appropriate for a public-facing visualisation that should be inviting rather than clinical, while still being honest about its limits if anyone downstream needs to filter on data quality.</w:t>
      </w:r>
    </w:p>
    <w:p w14:paraId="0F11F553" w14:textId="64BD689A" w:rsidR="00D12BAA" w:rsidRPr="00467752" w:rsidRDefault="00D12BAA" w:rsidP="00D12BAA">
      <w:r w:rsidRPr="002909B5">
        <w:rPr>
          <w:b/>
          <w:bCs/>
        </w:rPr>
        <w:t xml:space="preserve">Refresh </w:t>
      </w:r>
      <w:r w:rsidR="002909B5" w:rsidRPr="002909B5">
        <w:rPr>
          <w:b/>
          <w:bCs/>
        </w:rPr>
        <w:t>C</w:t>
      </w:r>
      <w:r w:rsidRPr="002909B5">
        <w:rPr>
          <w:b/>
          <w:bCs/>
        </w:rPr>
        <w:t>adence</w:t>
      </w:r>
      <w:r w:rsidR="002909B5">
        <w:t xml:space="preserve"> – This data is e</w:t>
      </w:r>
      <w:r w:rsidRPr="00467752">
        <w:t>ffectively static. Stellar positions and properties don't change on any timescale that matters here</w:t>
      </w:r>
      <w:r w:rsidR="002909B5">
        <w:t xml:space="preserve"> with even nearby stars with high proper motions not moving that much. T</w:t>
      </w:r>
      <w:r w:rsidRPr="00467752">
        <w:t>he only reason to rerun this pipeline is to pick up a new Gaia data release (e.g. DR4) every few years, not on any recurring schedule.</w:t>
      </w:r>
    </w:p>
    <w:p w14:paraId="232799E3" w14:textId="77777777" w:rsidR="00BF5E46" w:rsidRDefault="00BF5E46">
      <w:pPr>
        <w:spacing w:after="0" w:line="240" w:lineRule="auto"/>
        <w:rPr>
          <w:b/>
          <w:bCs/>
          <w:color w:val="0A2F41" w:themeColor="accent1" w:themeShade="80"/>
          <w:sz w:val="28"/>
          <w:szCs w:val="28"/>
        </w:rPr>
      </w:pPr>
      <w:r>
        <w:br w:type="page"/>
      </w:r>
    </w:p>
    <w:p w14:paraId="0F5672F7" w14:textId="41476A76" w:rsidR="00D12BAA" w:rsidRPr="00467752" w:rsidRDefault="00D12BAA" w:rsidP="00BF5E46">
      <w:pPr>
        <w:pStyle w:val="Heading1"/>
      </w:pPr>
      <w:r w:rsidRPr="00467752">
        <w:lastRenderedPageBreak/>
        <w:t xml:space="preserve">Organisations Directory </w:t>
      </w:r>
    </w:p>
    <w:p w14:paraId="6F504CCA" w14:textId="77777777" w:rsidR="00AA6277" w:rsidRDefault="00D12BAA" w:rsidP="00D12BAA">
      <w:r w:rsidRPr="00467752">
        <w:t>Populates the "Organisations" section of the software requirements — space agencies, commercial space companies, and other space-sector organisations. Unlike the star catalogue, this is compiled from public reference/directory sources (e.g. UNOOSA's list of member state space agencies, and public lists of commercial spaceflight companies) into a simple structured table (name, type, country, founding year, website, etc.) written to `</w:t>
      </w:r>
      <w:proofErr w:type="spellStart"/>
      <w:r w:rsidRPr="00467752">
        <w:t>organisations.db</w:t>
      </w:r>
      <w:proofErr w:type="spellEnd"/>
      <w:r w:rsidRPr="00467752">
        <w:t xml:space="preserve">`. </w:t>
      </w:r>
    </w:p>
    <w:p w14:paraId="30759CB4" w14:textId="3A5BDFC0" w:rsidR="00C21905" w:rsidRPr="00B76100" w:rsidRDefault="00D12BAA" w:rsidP="00C21905">
      <w:r w:rsidRPr="00467752">
        <w:t>Because this list changes slowly — new agencies and company launches/mergers are rare events — the build script would be run occasionally by hand (perhaps quarterly, or whenever a gap is noticed), not on any automated schedule.</w:t>
      </w:r>
    </w:p>
    <w:p w14:paraId="2B0978A3" w14:textId="4C6ADAE2" w:rsidR="00C21905" w:rsidRPr="00B76100" w:rsidRDefault="00BF5E46" w:rsidP="00BF5E46">
      <w:pPr>
        <w:pStyle w:val="Heading1"/>
      </w:pPr>
      <w:r>
        <w:t>INDUSTRY INFRASTRUCTURE</w:t>
      </w:r>
    </w:p>
    <w:p w14:paraId="2795FF3E" w14:textId="44AD6F5F" w:rsidR="00BF5E46" w:rsidRDefault="00BF5E46" w:rsidP="00BF5E46">
      <w:r>
        <w:t>This will provide a map of where the space industry’s</w:t>
      </w:r>
      <w:r w:rsidR="00EE4F55">
        <w:t xml:space="preserve"> ground segment</w:t>
      </w:r>
      <w:r>
        <w:t xml:space="preserve"> infrastructure is located.</w:t>
      </w:r>
    </w:p>
    <w:p w14:paraId="1C4C49DE" w14:textId="269C8E3F" w:rsidR="003A3358" w:rsidRDefault="003A3358" w:rsidP="003A3358">
      <w:pPr>
        <w:pStyle w:val="Heading2"/>
      </w:pPr>
      <w:r>
        <w:t>Mapping Tool</w:t>
      </w:r>
    </w:p>
    <w:p w14:paraId="4ED325F6" w14:textId="7C0D5C2C" w:rsidR="00BF5E46" w:rsidRDefault="00BF5E46" w:rsidP="00BF5E46">
      <w:r>
        <w:t>Rendered on a Leaflet.js map using a self-hosted static world-boundary outline rather than a tile service, per the earlier decision to avoid third-party tile quotas — keeps the panel's cost flat regardless of page-view volume, consistent with self-hosting other front-end libraries.</w:t>
      </w:r>
    </w:p>
    <w:p w14:paraId="33F31FF1" w14:textId="07FA2B48" w:rsidR="003A3358" w:rsidRDefault="003A3358" w:rsidP="00BF5E46">
      <w:r>
        <w:t xml:space="preserve">Each category of ground infrastructure asset is held as its own Leaflet layer group; the </w:t>
      </w:r>
      <w:proofErr w:type="gramStart"/>
      <w:r>
        <w:t>six infrastructure</w:t>
      </w:r>
      <w:proofErr w:type="gramEnd"/>
      <w:r>
        <w:t xml:space="preserve"> control-area buttons toggle one category's layer on/off each (ALL toggles every layer together), so a button press is a simple </w:t>
      </w:r>
      <w:proofErr w:type="spellStart"/>
      <w:r>
        <w:t>addLayer</w:t>
      </w:r>
      <w:proofErr w:type="spellEnd"/>
      <w:r>
        <w:t>/</w:t>
      </w:r>
      <w:proofErr w:type="spellStart"/>
      <w:r>
        <w:t>removeLayer</w:t>
      </w:r>
      <w:proofErr w:type="spellEnd"/>
      <w:r>
        <w:t xml:space="preserve"> call rather than a data re-fetch.</w:t>
      </w:r>
    </w:p>
    <w:p w14:paraId="2DE1DBFB" w14:textId="3B03620B" w:rsidR="003A3358" w:rsidRDefault="003A3358" w:rsidP="003A3358">
      <w:pPr>
        <w:pStyle w:val="Heading2"/>
      </w:pPr>
      <w:r>
        <w:t>GUI</w:t>
      </w:r>
    </w:p>
    <w:p w14:paraId="4AFDDC53" w14:textId="77777777" w:rsidR="003A3358" w:rsidRDefault="003A3358" w:rsidP="003A3358">
      <w:r>
        <w:t>Assets are plotted as colour-coded points, one colour per category (Spaceports, Ground Segment Hosting, Teleports, Deep Space Network, Mission Control Centres, Research &amp; Test Facilities, per swareRqts_0.2.docx), circle size scaled to each installation's relative size/importance.</w:t>
      </w:r>
    </w:p>
    <w:p w14:paraId="7F15B66F" w14:textId="1DC1C651" w:rsidR="00BF5E46" w:rsidRDefault="00BF5E46" w:rsidP="00BF5E46">
      <w:r>
        <w:t>The key is rendered in the control area's left-hand slot — the same slot that normally shows the section label — as a small colour-swatch-plus-name legend, one row per category, sitting immediately left of the buttons that control it.</w:t>
      </w:r>
    </w:p>
    <w:p w14:paraId="7A0B2024" w14:textId="4F67D131" w:rsidR="003A3358" w:rsidRDefault="003A3358" w:rsidP="003A3358">
      <w:pPr>
        <w:pStyle w:val="Heading2"/>
      </w:pPr>
      <w:r>
        <w:t>Data Storage</w:t>
      </w:r>
    </w:p>
    <w:p w14:paraId="76AC50B4" w14:textId="6079C9C1" w:rsidR="003A3358" w:rsidRDefault="003A3358" w:rsidP="003A3358">
      <w:r>
        <w:t>I</w:t>
      </w:r>
      <w:r>
        <w:t xml:space="preserve">ndustry infrastructure asset data is held in its own SQLite database, </w:t>
      </w:r>
      <w:proofErr w:type="spellStart"/>
      <w:r>
        <w:t>infrastructure.db</w:t>
      </w:r>
      <w:proofErr w:type="spellEnd"/>
      <w:r>
        <w:t xml:space="preserve">, following the same one-database-per-domain convention as </w:t>
      </w:r>
      <w:proofErr w:type="spellStart"/>
      <w:r>
        <w:t>space_news.db</w:t>
      </w:r>
      <w:proofErr w:type="spellEnd"/>
      <w:r>
        <w:t xml:space="preserve"> and merged_100pc.sqlite. Unlike those two, no ingestion process owns it: entries are added via direct INSERT statements run ad hoc whenever a new asset needs recording, the same </w:t>
      </w:r>
      <w:r>
        <w:lastRenderedPageBreak/>
        <w:t xml:space="preserve">hand-maintained pattern already used for the </w:t>
      </w:r>
      <w:proofErr w:type="gramStart"/>
      <w:r>
        <w:t>organisations</w:t>
      </w:r>
      <w:proofErr w:type="gramEnd"/>
      <w:r>
        <w:t xml:space="preserve"> directory and glossary. The API server's only role is a read-only GET /</w:t>
      </w:r>
      <w:proofErr w:type="spellStart"/>
      <w:r>
        <w:t>api</w:t>
      </w:r>
      <w:proofErr w:type="spellEnd"/>
      <w:r>
        <w:t>/infrastructure endpoint, matching the existing /</w:t>
      </w:r>
      <w:proofErr w:type="spellStart"/>
      <w:r>
        <w:t>api</w:t>
      </w:r>
      <w:proofErr w:type="spellEnd"/>
      <w:r>
        <w:t>/news handler's shape.</w:t>
      </w:r>
    </w:p>
    <w:p w14:paraId="2259B770" w14:textId="4BA0F1EA" w:rsidR="00D27A8E" w:rsidRPr="00A64099" w:rsidRDefault="003A3358" w:rsidP="003A3358">
      <w:r>
        <w:t xml:space="preserve">A flat file (JSON) was considered as an alternative, on the reasoning that hand-maintained data benefits from being human-readable and git-diffable. That reasoning doesn't hold here: entries are added by LLM sessions over time rather than a single continuous human maintainer, so </w:t>
      </w:r>
      <w:proofErr w:type="gramStart"/>
      <w:r>
        <w:t>a</w:t>
      </w:r>
      <w:proofErr w:type="gramEnd"/>
      <w:r>
        <w:t xml:space="preserve"> enforced schema is worth more than diff-readability — a CHECK constraint on the category column (one of spaceport, </w:t>
      </w:r>
      <w:proofErr w:type="spellStart"/>
      <w:r>
        <w:t>ground_segment</w:t>
      </w:r>
      <w:proofErr w:type="spellEnd"/>
      <w:r>
        <w:t xml:space="preserve">, teleport, </w:t>
      </w:r>
      <w:proofErr w:type="spellStart"/>
      <w:r>
        <w:t>dsn</w:t>
      </w:r>
      <w:proofErr w:type="spellEnd"/>
      <w:r>
        <w:t xml:space="preserve">, mcc, research) and on size (an integer 1–5 driving each point's circle radius on the map) catches a malformed entry at insert time rather than letting it silently corrupt the map's colour-coding or sizing later. Each row additionally carries a stable text id slug rather than an autoincrement integer, </w:t>
      </w:r>
      <w:proofErr w:type="spellStart"/>
      <w:r>
        <w:t>lat</w:t>
      </w:r>
      <w:proofErr w:type="spellEnd"/>
      <w:r>
        <w:t>/</w:t>
      </w:r>
      <w:proofErr w:type="spellStart"/>
      <w:r>
        <w:t>lon</w:t>
      </w:r>
      <w:proofErr w:type="spellEnd"/>
      <w:r>
        <w:t xml:space="preserve"> in WGS84 decimal degrees for direct use by Leaflet, and optional country/operator/notes fields surfaced in each point's popup.</w:t>
      </w:r>
    </w:p>
    <w:sectPr w:rsidR="00D27A8E" w:rsidRPr="00A640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ntoni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826"/>
    <w:multiLevelType w:val="multilevel"/>
    <w:tmpl w:val="62E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220A"/>
    <w:multiLevelType w:val="multilevel"/>
    <w:tmpl w:val="0EF4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87A53"/>
    <w:multiLevelType w:val="multilevel"/>
    <w:tmpl w:val="3DF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7DBB"/>
    <w:multiLevelType w:val="multilevel"/>
    <w:tmpl w:val="887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0458"/>
    <w:multiLevelType w:val="multilevel"/>
    <w:tmpl w:val="909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5FCA"/>
    <w:multiLevelType w:val="multilevel"/>
    <w:tmpl w:val="26B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0EA"/>
    <w:multiLevelType w:val="multilevel"/>
    <w:tmpl w:val="434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C50A1"/>
    <w:multiLevelType w:val="multilevel"/>
    <w:tmpl w:val="CCC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1228"/>
    <w:multiLevelType w:val="multilevel"/>
    <w:tmpl w:val="66B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7459"/>
    <w:multiLevelType w:val="multilevel"/>
    <w:tmpl w:val="901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33DDC"/>
    <w:multiLevelType w:val="multilevel"/>
    <w:tmpl w:val="C9F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A194C"/>
    <w:multiLevelType w:val="multilevel"/>
    <w:tmpl w:val="81A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06099"/>
    <w:multiLevelType w:val="multilevel"/>
    <w:tmpl w:val="2F5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2090E"/>
    <w:multiLevelType w:val="hybridMultilevel"/>
    <w:tmpl w:val="0D6E9F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DD568A"/>
    <w:multiLevelType w:val="hybridMultilevel"/>
    <w:tmpl w:val="46A46B5A"/>
    <w:lvl w:ilvl="0" w:tplc="BB2C35D6">
      <w:start w:val="1"/>
      <w:numFmt w:val="bullet"/>
      <w:pStyle w:val="ListParagraph"/>
      <w:lvlText w:val="•"/>
      <w:lvlJc w:val="left"/>
      <w:pPr>
        <w:ind w:left="420" w:hanging="240"/>
      </w:pPr>
    </w:lvl>
    <w:lvl w:ilvl="1" w:tplc="C2B2C436">
      <w:numFmt w:val="decimal"/>
      <w:lvlText w:val=""/>
      <w:lvlJc w:val="left"/>
    </w:lvl>
    <w:lvl w:ilvl="2" w:tplc="CC36B8F8">
      <w:numFmt w:val="decimal"/>
      <w:lvlText w:val=""/>
      <w:lvlJc w:val="left"/>
    </w:lvl>
    <w:lvl w:ilvl="3" w:tplc="8BCA461C">
      <w:numFmt w:val="decimal"/>
      <w:lvlText w:val=""/>
      <w:lvlJc w:val="left"/>
    </w:lvl>
    <w:lvl w:ilvl="4" w:tplc="2D7AFF0A">
      <w:numFmt w:val="decimal"/>
      <w:lvlText w:val=""/>
      <w:lvlJc w:val="left"/>
    </w:lvl>
    <w:lvl w:ilvl="5" w:tplc="BB74DD26">
      <w:numFmt w:val="decimal"/>
      <w:lvlText w:val=""/>
      <w:lvlJc w:val="left"/>
    </w:lvl>
    <w:lvl w:ilvl="6" w:tplc="744C0E70">
      <w:numFmt w:val="decimal"/>
      <w:lvlText w:val=""/>
      <w:lvlJc w:val="left"/>
    </w:lvl>
    <w:lvl w:ilvl="7" w:tplc="607E2D98">
      <w:numFmt w:val="decimal"/>
      <w:lvlText w:val=""/>
      <w:lvlJc w:val="left"/>
    </w:lvl>
    <w:lvl w:ilvl="8" w:tplc="870419BC">
      <w:numFmt w:val="decimal"/>
      <w:lvlText w:val=""/>
      <w:lvlJc w:val="left"/>
    </w:lvl>
  </w:abstractNum>
  <w:abstractNum w:abstractNumId="15" w15:restartNumberingAfterBreak="0">
    <w:nsid w:val="75DD721B"/>
    <w:multiLevelType w:val="hybridMultilevel"/>
    <w:tmpl w:val="9B545C3C"/>
    <w:lvl w:ilvl="0" w:tplc="DE86639A">
      <w:start w:val="1"/>
      <w:numFmt w:val="bullet"/>
      <w:lvlText w:val="●"/>
      <w:lvlJc w:val="left"/>
      <w:pPr>
        <w:ind w:left="720" w:hanging="360"/>
      </w:pPr>
    </w:lvl>
    <w:lvl w:ilvl="1" w:tplc="939EC198">
      <w:start w:val="1"/>
      <w:numFmt w:val="bullet"/>
      <w:lvlText w:val="○"/>
      <w:lvlJc w:val="left"/>
      <w:pPr>
        <w:ind w:left="1440" w:hanging="360"/>
      </w:pPr>
    </w:lvl>
    <w:lvl w:ilvl="2" w:tplc="71B8F866">
      <w:start w:val="1"/>
      <w:numFmt w:val="bullet"/>
      <w:lvlText w:val="■"/>
      <w:lvlJc w:val="left"/>
      <w:pPr>
        <w:ind w:left="2160" w:hanging="360"/>
      </w:pPr>
    </w:lvl>
    <w:lvl w:ilvl="3" w:tplc="EDB27A7A">
      <w:start w:val="1"/>
      <w:numFmt w:val="bullet"/>
      <w:lvlText w:val="●"/>
      <w:lvlJc w:val="left"/>
      <w:pPr>
        <w:ind w:left="2880" w:hanging="360"/>
      </w:pPr>
    </w:lvl>
    <w:lvl w:ilvl="4" w:tplc="034021DA">
      <w:start w:val="1"/>
      <w:numFmt w:val="bullet"/>
      <w:lvlText w:val="○"/>
      <w:lvlJc w:val="left"/>
      <w:pPr>
        <w:ind w:left="3600" w:hanging="360"/>
      </w:pPr>
    </w:lvl>
    <w:lvl w:ilvl="5" w:tplc="1074A77C">
      <w:start w:val="1"/>
      <w:numFmt w:val="bullet"/>
      <w:lvlText w:val="■"/>
      <w:lvlJc w:val="left"/>
      <w:pPr>
        <w:ind w:left="4320" w:hanging="360"/>
      </w:pPr>
    </w:lvl>
    <w:lvl w:ilvl="6" w:tplc="B6FA4A42">
      <w:start w:val="1"/>
      <w:numFmt w:val="bullet"/>
      <w:lvlText w:val="●"/>
      <w:lvlJc w:val="left"/>
      <w:pPr>
        <w:ind w:left="5040" w:hanging="360"/>
      </w:pPr>
    </w:lvl>
    <w:lvl w:ilvl="7" w:tplc="35C2AB88">
      <w:start w:val="1"/>
      <w:numFmt w:val="bullet"/>
      <w:lvlText w:val="●"/>
      <w:lvlJc w:val="left"/>
      <w:pPr>
        <w:ind w:left="5760" w:hanging="360"/>
      </w:pPr>
    </w:lvl>
    <w:lvl w:ilvl="8" w:tplc="09068442">
      <w:start w:val="1"/>
      <w:numFmt w:val="bullet"/>
      <w:lvlText w:val="●"/>
      <w:lvlJc w:val="left"/>
      <w:pPr>
        <w:ind w:left="6480" w:hanging="360"/>
      </w:pPr>
    </w:lvl>
  </w:abstractNum>
  <w:abstractNum w:abstractNumId="16" w15:restartNumberingAfterBreak="0">
    <w:nsid w:val="7CB749CA"/>
    <w:multiLevelType w:val="multilevel"/>
    <w:tmpl w:val="33D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92944">
    <w:abstractNumId w:val="15"/>
    <w:lvlOverride w:ilvl="0">
      <w:startOverride w:val="1"/>
    </w:lvlOverride>
  </w:num>
  <w:num w:numId="2" w16cid:durableId="1484076716">
    <w:abstractNumId w:val="14"/>
    <w:lvlOverride w:ilvl="0">
      <w:startOverride w:val="1"/>
    </w:lvlOverride>
  </w:num>
  <w:num w:numId="3" w16cid:durableId="1485780761">
    <w:abstractNumId w:val="13"/>
  </w:num>
  <w:num w:numId="4" w16cid:durableId="411589667">
    <w:abstractNumId w:val="10"/>
  </w:num>
  <w:num w:numId="5" w16cid:durableId="1020737490">
    <w:abstractNumId w:val="11"/>
  </w:num>
  <w:num w:numId="6" w16cid:durableId="486287269">
    <w:abstractNumId w:val="7"/>
  </w:num>
  <w:num w:numId="7" w16cid:durableId="821696553">
    <w:abstractNumId w:val="3"/>
  </w:num>
  <w:num w:numId="8" w16cid:durableId="293754909">
    <w:abstractNumId w:val="5"/>
  </w:num>
  <w:num w:numId="9" w16cid:durableId="2049405695">
    <w:abstractNumId w:val="1"/>
  </w:num>
  <w:num w:numId="10" w16cid:durableId="166336182">
    <w:abstractNumId w:val="12"/>
  </w:num>
  <w:num w:numId="11" w16cid:durableId="883445241">
    <w:abstractNumId w:val="16"/>
  </w:num>
  <w:num w:numId="12" w16cid:durableId="348991455">
    <w:abstractNumId w:val="2"/>
  </w:num>
  <w:num w:numId="13" w16cid:durableId="1224215749">
    <w:abstractNumId w:val="8"/>
  </w:num>
  <w:num w:numId="14" w16cid:durableId="953899701">
    <w:abstractNumId w:val="0"/>
  </w:num>
  <w:num w:numId="15" w16cid:durableId="1717394128">
    <w:abstractNumId w:val="4"/>
  </w:num>
  <w:num w:numId="16" w16cid:durableId="1813713651">
    <w:abstractNumId w:val="6"/>
  </w:num>
  <w:num w:numId="17" w16cid:durableId="1214780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8E"/>
    <w:rsid w:val="001701EF"/>
    <w:rsid w:val="002909B5"/>
    <w:rsid w:val="002A4788"/>
    <w:rsid w:val="002F215F"/>
    <w:rsid w:val="0032753D"/>
    <w:rsid w:val="00336690"/>
    <w:rsid w:val="00341A59"/>
    <w:rsid w:val="003A3358"/>
    <w:rsid w:val="003E6718"/>
    <w:rsid w:val="00410FC6"/>
    <w:rsid w:val="00433C63"/>
    <w:rsid w:val="00492BDD"/>
    <w:rsid w:val="0049580E"/>
    <w:rsid w:val="0053718C"/>
    <w:rsid w:val="005B66DA"/>
    <w:rsid w:val="005C16EF"/>
    <w:rsid w:val="00632686"/>
    <w:rsid w:val="00663396"/>
    <w:rsid w:val="007A1285"/>
    <w:rsid w:val="007C4889"/>
    <w:rsid w:val="00852FBC"/>
    <w:rsid w:val="008616AD"/>
    <w:rsid w:val="009A55DF"/>
    <w:rsid w:val="00A0177F"/>
    <w:rsid w:val="00A4050B"/>
    <w:rsid w:val="00A64099"/>
    <w:rsid w:val="00A92BCA"/>
    <w:rsid w:val="00AA6277"/>
    <w:rsid w:val="00AE31AF"/>
    <w:rsid w:val="00B54C5D"/>
    <w:rsid w:val="00BF5E46"/>
    <w:rsid w:val="00C01EFB"/>
    <w:rsid w:val="00C21905"/>
    <w:rsid w:val="00C708C4"/>
    <w:rsid w:val="00D12BAA"/>
    <w:rsid w:val="00D27A8E"/>
    <w:rsid w:val="00E2691E"/>
    <w:rsid w:val="00E95E7D"/>
    <w:rsid w:val="00EE4F55"/>
    <w:rsid w:val="00F451B5"/>
    <w:rsid w:val="00F51F7A"/>
    <w:rsid w:val="00FA0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4E69"/>
  <w15:docId w15:val="{A49F8A46-3626-41AB-A638-5BE8995B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96"/>
    <w:pPr>
      <w:spacing w:after="120" w:line="276" w:lineRule="auto"/>
    </w:pPr>
    <w:rPr>
      <w:rFonts w:ascii="Calibri" w:hAnsi="Calibri" w:cs="Calibri"/>
      <w:sz w:val="24"/>
      <w:szCs w:val="24"/>
    </w:rPr>
  </w:style>
  <w:style w:type="paragraph" w:styleId="Heading1">
    <w:name w:val="heading 1"/>
    <w:basedOn w:val="Normal"/>
    <w:uiPriority w:val="9"/>
    <w:qFormat/>
    <w:rsid w:val="00B54C5D"/>
    <w:pPr>
      <w:spacing w:before="360"/>
      <w:outlineLvl w:val="0"/>
    </w:pPr>
    <w:rPr>
      <w:b/>
      <w:caps/>
      <w:color w:val="0A2F41" w:themeColor="accent1" w:themeShade="80"/>
      <w:sz w:val="36"/>
      <w:szCs w:val="36"/>
    </w:rPr>
  </w:style>
  <w:style w:type="paragraph" w:styleId="Heading2">
    <w:name w:val="heading 2"/>
    <w:uiPriority w:val="9"/>
    <w:unhideWhenUsed/>
    <w:qFormat/>
    <w:rsid w:val="00410FC6"/>
    <w:pPr>
      <w:spacing w:before="240" w:after="120"/>
      <w:outlineLvl w:val="1"/>
    </w:pPr>
    <w:rPr>
      <w:rFonts w:ascii="Calibri" w:hAnsi="Calibri" w:cs="Calibri"/>
      <w:b/>
      <w:bCs/>
      <w:color w:val="0A2F41" w:themeColor="accent1" w:themeShade="80"/>
      <w:sz w:val="28"/>
      <w:szCs w:val="28"/>
    </w:rPr>
  </w:style>
  <w:style w:type="paragraph" w:styleId="Heading3">
    <w:name w:val="heading 3"/>
    <w:uiPriority w:val="9"/>
    <w:unhideWhenUsed/>
    <w:qFormat/>
    <w:rsid w:val="00C708C4"/>
    <w:pPr>
      <w:spacing w:after="120"/>
      <w:outlineLvl w:val="2"/>
    </w:pPr>
    <w:rPr>
      <w:rFonts w:ascii="Calibri" w:hAnsi="Calibri" w:cs="Calibri"/>
      <w:b/>
      <w:bCs/>
      <w:color w:val="0A2F41" w:themeColor="accent1" w:themeShade="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492BDD"/>
    <w:pPr>
      <w:jc w:val="center"/>
    </w:pPr>
    <w:rPr>
      <w:rFonts w:ascii="Calibri" w:hAnsi="Calibri" w:cs="Calibri"/>
      <w:b/>
      <w:bCs/>
      <w:caps/>
      <w:color w:val="0A2F41" w:themeColor="accent1" w:themeShade="80"/>
      <w:sz w:val="68"/>
      <w:szCs w:val="68"/>
    </w:rPr>
  </w:style>
  <w:style w:type="paragraph" w:customStyle="1" w:styleId="Strong1">
    <w:name w:val="Strong1"/>
    <w:rPr>
      <w:b/>
      <w:bCs/>
    </w:rPr>
  </w:style>
  <w:style w:type="paragraph" w:styleId="ListParagraph">
    <w:name w:val="List Paragraph"/>
    <w:uiPriority w:val="34"/>
    <w:qFormat/>
    <w:rsid w:val="00A64099"/>
    <w:pPr>
      <w:numPr>
        <w:numId w:val="2"/>
      </w:numPr>
      <w:spacing w:after="60"/>
    </w:pPr>
    <w:rPr>
      <w:rFonts w:ascii="Calibri" w:hAnsi="Calibri" w:cs="Calibri"/>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rsid w:val="00433C63"/>
    <w:pPr>
      <w:pBdr>
        <w:top w:val="single" w:sz="4" w:space="10" w:color="156082" w:themeColor="accent1"/>
        <w:bottom w:val="single" w:sz="4" w:space="10" w:color="156082" w:themeColor="accent1"/>
      </w:pBdr>
      <w:spacing w:before="360" w:after="360"/>
      <w:ind w:left="864" w:right="864"/>
      <w:jc w:val="center"/>
    </w:pPr>
    <w:rPr>
      <w:i/>
      <w:iCs/>
      <w:color w:val="0A2F41" w:themeColor="accent1" w:themeShade="80"/>
    </w:rPr>
  </w:style>
  <w:style w:type="character" w:customStyle="1" w:styleId="IntenseQuoteChar">
    <w:name w:val="Intense Quote Char"/>
    <w:basedOn w:val="DefaultParagraphFont"/>
    <w:link w:val="IntenseQuote"/>
    <w:uiPriority w:val="30"/>
    <w:rsid w:val="00433C63"/>
    <w:rPr>
      <w:rFonts w:ascii="Calibri" w:hAnsi="Calibri" w:cs="Calibri"/>
      <w:i/>
      <w:iCs/>
      <w:color w:val="0A2F41" w:themeColor="accent1" w:themeShade="80"/>
      <w:sz w:val="22"/>
      <w:szCs w:val="22"/>
    </w:rPr>
  </w:style>
  <w:style w:type="paragraph" w:styleId="NoSpacing">
    <w:name w:val="No Spacing"/>
    <w:uiPriority w:val="1"/>
    <w:qFormat/>
    <w:rsid w:val="00410FC6"/>
    <w:rPr>
      <w:rFonts w:ascii="Helvetica" w:eastAsiaTheme="minorHAnsi" w:hAnsi="Helvetica" w:cstheme="minorBidi"/>
      <w:kern w:val="2"/>
      <w:sz w:val="22"/>
      <w:szCs w:val="22"/>
      <w:lang w:eastAsia="en-US"/>
      <w14:ligatures w14:val="standardContextual"/>
    </w:rPr>
  </w:style>
  <w:style w:type="character" w:styleId="BookTitle">
    <w:name w:val="Book Title"/>
    <w:uiPriority w:val="33"/>
    <w:qFormat/>
    <w:rsid w:val="00492BDD"/>
    <w:rPr>
      <w:rFonts w:eastAsia="Antonio"/>
    </w:rPr>
  </w:style>
  <w:style w:type="paragraph" w:styleId="PlainText">
    <w:name w:val="Plain Text"/>
    <w:basedOn w:val="Normal"/>
    <w:link w:val="PlainTextChar"/>
    <w:uiPriority w:val="99"/>
    <w:unhideWhenUsed/>
    <w:rsid w:val="00D12BAA"/>
    <w:pPr>
      <w:spacing w:after="0"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D12BAA"/>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401</TotalTime>
  <Pages>14</Pages>
  <Words>3776</Words>
  <Characters>21524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Alasdair Gill</cp:lastModifiedBy>
  <cp:revision>19</cp:revision>
  <dcterms:created xsi:type="dcterms:W3CDTF">2026-07-28T13:32:00Z</dcterms:created>
  <dcterms:modified xsi:type="dcterms:W3CDTF">2026-08-02T10:56:00Z</dcterms:modified>
</cp:coreProperties>
</file>