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</w:pPr>
      <w:r>
        <w:rPr>
          <w:rFonts w:ascii="Aptos" w:hAnsi="Aptos"/>
          <w:b/>
          <w:color w:val="138A7B"/>
          <w:sz w:val="22"/>
        </w:rPr>
        <w:t>PLANT SYNC</w:t>
      </w:r>
    </w:p>
    <w:p>
      <w:pPr>
        <w:pStyle w:val="Title"/>
        <w:spacing w:after="180"/>
      </w:pPr>
      <w:r>
        <w:rPr>
          <w:rFonts w:ascii="Aptos Display" w:hAnsi="Aptos Display"/>
          <w:b/>
          <w:color w:val="102F48"/>
          <w:sz w:val="64"/>
        </w:rPr>
        <w:t>Project Mental Map</w:t>
      </w:r>
    </w:p>
    <w:p>
      <w:pPr>
        <w:spacing w:after="360"/>
      </w:pPr>
      <w:r>
        <w:rPr>
          <w:color w:val="617586"/>
          <w:sz w:val="26"/>
        </w:rPr>
        <w:t>A practical guide to how the Flask app is organized, what it does today, and what to build next.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5F3"/>
            <w:tcMar>
              <w:top w:w="170" w:type="dxa"/>
              <w:start w:w="210" w:type="dxa"/>
              <w:bottom w:w="170" w:type="dxa"/>
              <w:end w:w="210" w:type="dxa"/>
            </w:tcMar>
          </w:tcPr>
          <w:p>
            <w:pPr>
              <w:spacing w:after="80"/>
            </w:pPr>
            <w:r/>
            <w:r>
              <w:rPr>
                <w:rFonts w:ascii="Aptos" w:hAnsi="Aptos"/>
                <w:b/>
                <w:color w:val="138A7B"/>
                <w:sz w:val="20"/>
              </w:rPr>
              <w:t>In one sentence</w:t>
            </w:r>
          </w:p>
          <w:p>
            <w:pPr>
              <w:spacing w:after="0"/>
            </w:pPr>
            <w:r>
              <w:rPr>
                <w:rFonts w:ascii="Aptos" w:hAnsi="Aptos"/>
                <w:color w:val="102F48"/>
                <w:sz w:val="18"/>
              </w:rPr>
              <w:t>Plant Sync is a Flask issue-tracking app for plant sites: people report maintenance issues, link them to an area, and management staff track work through its status lifecycle.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The app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843"/>
            <w:shd w:fill="EAF5F3"/>
            <w:tcMar>
              <w:top w:w="160" w:type="dxa"/>
              <w:start w:w="95" w:type="dxa"/>
              <w:bottom w:w="160" w:type="dxa"/>
              <w:end w:w="95" w:type="dxa"/>
            </w:tcMar>
          </w:tcPr>
          <w:p>
            <w:pPr>
              <w:spacing w:after="80"/>
              <w:jc w:val="center"/>
            </w:pPr>
            <w:r/>
            <w:r>
              <w:rPr>
                <w:b/>
                <w:color w:val="138A7B"/>
                <w:sz w:val="17"/>
              </w:rPr>
              <w:t>Browser</w:t>
            </w:r>
          </w:p>
          <w:p>
            <w:pPr>
              <w:spacing w:after="0"/>
              <w:jc w:val="center"/>
            </w:pPr>
            <w:r>
              <w:rPr>
                <w:color w:val="102F48"/>
                <w:sz w:val="14"/>
              </w:rPr>
              <w:t>Pages and forms</w:t>
            </w:r>
          </w:p>
        </w:tc>
        <w:tc>
          <w:tcPr>
            <w:tcW w:type="dxa" w:w="1843"/>
            <w:shd w:fill="102F48"/>
            <w:tcMar>
              <w:top w:w="160" w:type="dxa"/>
              <w:start w:w="95" w:type="dxa"/>
              <w:bottom w:w="160" w:type="dxa"/>
              <w:end w:w="95" w:type="dxa"/>
            </w:tcMar>
          </w:tcPr>
          <w:p>
            <w:pPr>
              <w:spacing w:after="80"/>
              <w:jc w:val="center"/>
            </w:pPr>
            <w:r/>
            <w:r>
              <w:rPr>
                <w:b/>
                <w:color w:val="FFFFFF"/>
                <w:sz w:val="17"/>
              </w:rPr>
              <w:t>Flask routes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4"/>
              </w:rPr>
              <w:t>Handle requests</w:t>
            </w:r>
          </w:p>
        </w:tc>
        <w:tc>
          <w:tcPr>
            <w:tcW w:type="dxa" w:w="1843"/>
            <w:shd w:fill="EAF5F3"/>
            <w:tcMar>
              <w:top w:w="160" w:type="dxa"/>
              <w:start w:w="95" w:type="dxa"/>
              <w:bottom w:w="160" w:type="dxa"/>
              <w:end w:w="95" w:type="dxa"/>
            </w:tcMar>
          </w:tcPr>
          <w:p>
            <w:pPr>
              <w:spacing w:after="80"/>
              <w:jc w:val="center"/>
            </w:pPr>
            <w:r/>
            <w:r>
              <w:rPr>
                <w:b/>
                <w:color w:val="138A7B"/>
                <w:sz w:val="17"/>
              </w:rPr>
              <w:t>SQLAlchemy</w:t>
            </w:r>
          </w:p>
          <w:p>
            <w:pPr>
              <w:spacing w:after="0"/>
              <w:jc w:val="center"/>
            </w:pPr>
            <w:r>
              <w:rPr>
                <w:color w:val="102F48"/>
                <w:sz w:val="14"/>
              </w:rPr>
              <w:t>Models and queries</w:t>
            </w:r>
          </w:p>
        </w:tc>
        <w:tc>
          <w:tcPr>
            <w:tcW w:type="dxa" w:w="1843"/>
            <w:shd w:fill="102F48"/>
            <w:tcMar>
              <w:top w:w="160" w:type="dxa"/>
              <w:start w:w="95" w:type="dxa"/>
              <w:bottom w:w="160" w:type="dxa"/>
              <w:end w:w="95" w:type="dxa"/>
            </w:tcMar>
          </w:tcPr>
          <w:p>
            <w:pPr>
              <w:spacing w:after="80"/>
              <w:jc w:val="center"/>
            </w:pPr>
            <w:r/>
            <w:r>
              <w:rPr>
                <w:b/>
                <w:color w:val="FFFFFF"/>
                <w:sz w:val="17"/>
              </w:rPr>
              <w:t>SQLite file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4"/>
              </w:rPr>
              <w:t>app/data/app.db</w:t>
            </w:r>
          </w:p>
        </w:tc>
        <w:tc>
          <w:tcPr>
            <w:tcW w:type="dxa" w:w="1843"/>
            <w:shd w:fill="EAF5F3"/>
            <w:tcMar>
              <w:top w:w="160" w:type="dxa"/>
              <w:start w:w="95" w:type="dxa"/>
              <w:bottom w:w="160" w:type="dxa"/>
              <w:end w:w="95" w:type="dxa"/>
            </w:tcMar>
          </w:tcPr>
          <w:p>
            <w:pPr>
              <w:spacing w:after="80"/>
              <w:jc w:val="center"/>
            </w:pPr>
            <w:r/>
            <w:r>
              <w:rPr>
                <w:b/>
                <w:color w:val="138A7B"/>
                <w:sz w:val="17"/>
              </w:rPr>
              <w:t>Jinja + CSS</w:t>
            </w:r>
          </w:p>
          <w:p>
            <w:pPr>
              <w:spacing w:after="0"/>
              <w:jc w:val="center"/>
            </w:pPr>
            <w:r>
              <w:rPr>
                <w:color w:val="102F48"/>
                <w:sz w:val="14"/>
              </w:rPr>
              <w:t>Render the view</w:t>
            </w:r>
          </w:p>
        </w:tc>
      </w:tr>
    </w:tbl>
    <w:p>
      <w:pPr>
        <w:spacing w:after="160"/>
      </w:pPr>
      <w:r>
        <w:t>A request enters through a route, the route reads or changes SQLAlchemy objects, and Flask renders a Jinja template. The SQLite database is a single local file.</w:t>
      </w:r>
    </w:p>
    <w:p>
      <w:pPr>
        <w:pStyle w:val="Heading2"/>
        <w:keepNext/>
      </w:pPr>
      <w:r>
        <w:t>What the project currently covers</w:t>
      </w:r>
    </w:p>
    <w:p>
      <w:pPr>
        <w:pStyle w:val="ListBullet"/>
        <w:spacing w:after="40"/>
      </w:pPr>
      <w:r>
        <w:t>User registration and sign-in with Werkzeug password hashing and Flask-Login sessions.</w:t>
      </w:r>
    </w:p>
    <w:p>
      <w:pPr>
        <w:pStyle w:val="ListBullet"/>
        <w:spacing w:after="40"/>
      </w:pPr>
      <w:r>
        <w:t>Plant areas and maintenance issues, including submitter, priority, status, and optional completion details.</w:t>
      </w:r>
    </w:p>
    <w:p>
      <w:pPr>
        <w:pStyle w:val="ListBullet"/>
        <w:spacing w:after="40"/>
      </w:pPr>
      <w:r>
        <w:t>An operations-style home page with live issue summaries and sample OEE gauges.</w:t>
      </w:r>
    </w:p>
    <w:p>
      <w:pPr>
        <w:pStyle w:val="ListBullet"/>
        <w:spacing w:after="40"/>
      </w:pPr>
      <w:r>
        <w:t>Management-only issue updates and plant-area administration.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1"/>
            <w:tcMar>
              <w:top w:w="170" w:type="dxa"/>
              <w:start w:w="210" w:type="dxa"/>
              <w:bottom w:w="170" w:type="dxa"/>
              <w:end w:w="210" w:type="dxa"/>
            </w:tcMar>
          </w:tcPr>
          <w:p>
            <w:pPr>
              <w:spacing w:after="80"/>
            </w:pPr>
            <w:r/>
            <w:r>
              <w:rPr>
                <w:rFonts w:ascii="Aptos" w:hAnsi="Aptos"/>
                <w:b/>
                <w:color w:val="138A7B"/>
                <w:sz w:val="20"/>
              </w:rPr>
              <w:t>Metric note</w:t>
            </w:r>
          </w:p>
          <w:p>
            <w:pPr>
              <w:spacing w:after="0"/>
            </w:pPr>
            <w:r>
              <w:rPr>
                <w:rFonts w:ascii="Aptos" w:hAnsi="Aptos"/>
                <w:color w:val="102F48"/>
                <w:sz w:val="18"/>
              </w:rPr>
              <w:t>OEE, availability, performance, and quality gauges are illustrative sample values. The app does not collect machine runtime, ideal cycle time, or production counts, so these are not live plant measurements.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Project structure</w:t>
      </w:r>
    </w:p>
    <w:p>
      <w:pPr>
        <w:spacing w:after="100"/>
      </w:pPr>
      <w:r>
        <w:t>Each file has one main job. Start with routes.py to follow a page action, then open the model and template used by that route.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02F4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File or folder</w:t>
            </w:r>
          </w:p>
        </w:tc>
        <w:tc>
          <w:tcPr>
            <w:tcW w:type="dxa" w:w="65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02F4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app/__init__.py</w:t>
            </w:r>
          </w:p>
        </w:tc>
        <w:tc>
          <w:tcPr>
            <w:tcW w:type="dxa" w:w="65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Creates the Flask app, configures SQLAlchemy and Flask-Login, registers routes, and exposes the init-db command.</w:t>
            </w:r>
          </w:p>
        </w:tc>
      </w:tr>
      <w:t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app/routes.py</w:t>
            </w:r>
          </w:p>
        </w:tc>
        <w:tc>
          <w:tcPr>
            <w:tcW w:type="dxa" w:w="65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Defines URL handlers: home overview, issue register, forms, authentication, management, and issue updates.</w:t>
            </w:r>
          </w:p>
        </w:tc>
      </w:tr>
      <w:t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app/models.py</w:t>
            </w:r>
          </w:p>
        </w:tc>
        <w:tc>
          <w:tcPr>
            <w:tcW w:type="dxa" w:w="65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Defines User, Area, Issues, and Company tables and their relationships.</w:t>
            </w:r>
          </w:p>
        </w:tc>
      </w:tr>
      <w:t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app/forms.py</w:t>
            </w:r>
          </w:p>
        </w:tc>
        <w:tc>
          <w:tcPr>
            <w:tcW w:type="dxa" w:w="65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Defines WTForms fields and validation for login, registration, issues, areas, and issue updates.</w:t>
            </w:r>
          </w:p>
        </w:tc>
      </w:tr>
      <w:t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app/templates/</w:t>
            </w:r>
          </w:p>
        </w:tc>
        <w:tc>
          <w:tcPr>
            <w:tcW w:type="dxa" w:w="65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Jinja pages. base.html is the shared shell; index.html is the home dashboard.</w:t>
            </w:r>
          </w:p>
        </w:tc>
      </w:tr>
      <w:t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app/static/css/custom.css</w:t>
            </w:r>
          </w:p>
        </w:tc>
        <w:tc>
          <w:tcPr>
            <w:tcW w:type="dxa" w:w="65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Project colors and layout, including the operations dashboard and OEE gauge styles.</w:t>
            </w:r>
          </w:p>
        </w:tc>
      </w:tr>
      <w:t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config.py</w:t>
            </w:r>
          </w:p>
        </w:tc>
        <w:tc>
          <w:tcPr>
            <w:tcW w:type="dxa" w:w="65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Sets the secret key and fixed SQLite path.</w:t>
            </w:r>
          </w:p>
        </w:tc>
      </w:tr>
      <w:t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scripts/reset_database.py</w:t>
            </w:r>
          </w:p>
        </w:tc>
        <w:tc>
          <w:tcPr>
            <w:tcW w:type="dxa" w:w="65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Backs up the SQLite file, then recreates tables from the current models.</w:t>
            </w:r>
          </w:p>
        </w:tc>
      </w:tr>
      <w:t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requirements.txt</w:t>
            </w:r>
          </w:p>
        </w:tc>
        <w:tc>
          <w:tcPr>
            <w:tcW w:type="dxa" w:w="65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Python packages needed to run the app.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Core records and relationships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02F4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Record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02F4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Important fields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02F4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Relationship</w:t>
            </w:r>
          </w:p>
        </w:tc>
      </w:tr>
      <w:tr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User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username, account_type, pw_hash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One user can submit multiple issues.</w:t>
            </w:r>
          </w:p>
        </w:tc>
      </w:tr>
      <w:tr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Area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name, desc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One area can contain multiple issues.</w:t>
            </w:r>
          </w:p>
        </w:tc>
      </w:tr>
      <w:tr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Issues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desc, date, status, priority, completed_by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Each issue belongs to one submitter and one plant area.</w:t>
            </w:r>
          </w:p>
        </w:tc>
      </w:tr>
      <w:tr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Company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name, type, email, phone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Model exists; company workflows are not implemented yet.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5F3"/>
            <w:tcMar>
              <w:top w:w="170" w:type="dxa"/>
              <w:start w:w="210" w:type="dxa"/>
              <w:bottom w:w="170" w:type="dxa"/>
              <w:end w:w="210" w:type="dxa"/>
            </w:tcMar>
          </w:tcPr>
          <w:p>
            <w:pPr>
              <w:spacing w:after="80"/>
            </w:pPr>
            <w:r/>
            <w:r>
              <w:rPr>
                <w:rFonts w:ascii="Aptos" w:hAnsi="Aptos"/>
                <w:b/>
                <w:color w:val="138A7B"/>
                <w:sz w:val="20"/>
              </w:rPr>
              <w:t>Plain-language relationship</w:t>
            </w:r>
          </w:p>
          <w:p>
            <w:pPr>
              <w:spacing w:after="0"/>
            </w:pPr>
            <w:r>
              <w:rPr>
                <w:rFonts w:ascii="Aptos" w:hAnsi="Aptos"/>
                <w:color w:val="102F48"/>
                <w:sz w:val="18"/>
              </w:rPr>
              <w:t>An issue stores submitted_by_id and area_id as foreign keys. In Python, issue.submitted_by and issue.area let templates display the related names instead of raw IDs.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Where the visible pages come from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02F4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URL</w:t>
            </w:r>
          </w:p>
        </w:tc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02F4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Route</w:t>
            </w:r>
          </w:p>
        </w:tc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02F4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it shows or changes</w:t>
            </w:r>
          </w:p>
        </w:tc>
      </w:tr>
      <w:tr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/</w:t>
            </w:r>
          </w:p>
        </w:tc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index</w:t>
            </w:r>
          </w:p>
        </w:tc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Home operations overview.</w:t>
            </w:r>
          </w:p>
        </w:tc>
      </w:tr>
      <w:tr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/dashboard</w:t>
            </w:r>
          </w:p>
        </w:tc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dashboard</w:t>
            </w:r>
          </w:p>
        </w:tc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Filtered issue register; sign-in required.</w:t>
            </w:r>
          </w:p>
        </w:tc>
      </w:tr>
      <w:tr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/add_issue</w:t>
            </w:r>
          </w:p>
        </w:tc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add_issue</w:t>
            </w:r>
          </w:p>
        </w:tc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Issue form; uses current signed-in user and selected area.</w:t>
            </w:r>
          </w:p>
        </w:tc>
      </w:tr>
      <w:tr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/inspect_issue/&lt;id&gt;</w:t>
            </w:r>
          </w:p>
        </w:tc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inspect_issue</w:t>
            </w:r>
          </w:p>
        </w:tc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Issue details; management users also see the update form.</w:t>
            </w:r>
          </w:p>
        </w:tc>
      </w:tr>
      <w:tr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/issues/&lt;id&gt;/update</w:t>
            </w:r>
          </w:p>
        </w:tc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update_issue</w:t>
            </w:r>
          </w:p>
        </w:tc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POST endpoint that saves status and completion details.</w:t>
            </w:r>
          </w:p>
        </w:tc>
      </w:tr>
      <w:tr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/management</w:t>
            </w:r>
          </w:p>
        </w:tc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management</w:t>
            </w:r>
          </w:p>
        </w:tc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Management home page.</w:t>
            </w:r>
          </w:p>
        </w:tc>
      </w:tr>
      <w:tr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/add_area</w:t>
            </w:r>
          </w:p>
        </w:tc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add_area</w:t>
            </w:r>
          </w:p>
        </w:tc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Create plant area; management role required.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How the main workflow works</w:t>
      </w:r>
    </w:p>
    <w:p>
      <w:pPr>
        <w:pStyle w:val="Heading2"/>
        <w:keepNext/>
      </w:pPr>
      <w:r>
        <w:t>Report and track an issue</w:t>
      </w:r>
    </w:p>
    <w:p>
      <w:pPr>
        <w:pStyle w:val="ListBullet"/>
        <w:spacing w:after="40"/>
      </w:pPr>
      <w:r>
        <w:t>1. A signed-in user opens Add issue and enters a description, status, priority, and plant area.</w:t>
      </w:r>
    </w:p>
    <w:p>
      <w:pPr>
        <w:pStyle w:val="ListBullet"/>
        <w:spacing w:after="40"/>
      </w:pPr>
      <w:r>
        <w:t>2. The route checks that the chosen area exists and takes the submitter ID from the authenticated account.</w:t>
      </w:r>
    </w:p>
    <w:p>
      <w:pPr>
        <w:pStyle w:val="ListBullet"/>
        <w:spacing w:after="40"/>
      </w:pPr>
      <w:r>
        <w:t>3. SQLAlchemy saves the issue to app/data/app.db. The user returns to the issue register.</w:t>
      </w:r>
    </w:p>
    <w:p>
      <w:pPr>
        <w:pStyle w:val="ListBullet"/>
        <w:spacing w:after="40"/>
      </w:pPr>
      <w:r>
        <w:t>4. The home page summarizes counts and displays the newest issues. The issue register can filter by status.</w:t>
      </w:r>
    </w:p>
    <w:p>
      <w:pPr>
        <w:pStyle w:val="ListBullet"/>
        <w:spacing w:after="40"/>
      </w:pPr>
      <w:r>
        <w:t>5. Plant management or an admin opens an issue and updates its status or completion details.</w:t>
      </w:r>
    </w:p>
    <w:p>
      <w:pPr>
        <w:pStyle w:val="Heading2"/>
        <w:keepNext/>
      </w:pPr>
      <w:r>
        <w:t>Roles and access today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02F4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Account type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02F4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Can do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Contractor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Sign in, report an issue, view the home page, and open the issue register and issue details.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Plant management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Contractor actions plus update issue status/completion details, manage plant areas, and use the management page.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Admin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Same management capabilities as plant management.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1"/>
            <w:tcMar>
              <w:top w:w="170" w:type="dxa"/>
              <w:start w:w="210" w:type="dxa"/>
              <w:bottom w:w="170" w:type="dxa"/>
              <w:end w:w="210" w:type="dxa"/>
            </w:tcMar>
          </w:tcPr>
          <w:p>
            <w:pPr>
              <w:spacing w:after="80"/>
            </w:pPr>
            <w:r/>
            <w:r>
              <w:rPr>
                <w:rFonts w:ascii="Aptos" w:hAnsi="Aptos"/>
                <w:b/>
                <w:color w:val="138A7B"/>
                <w:sz w:val="20"/>
              </w:rPr>
              <w:t>Current access limitation</w:t>
            </w:r>
          </w:p>
          <w:p>
            <w:pPr>
              <w:spacing w:after="0"/>
            </w:pPr>
            <w:r>
              <w:rPr>
                <w:rFonts w:ascii="Aptos" w:hAnsi="Aptos"/>
                <w:color w:val="102F48"/>
                <w:sz w:val="18"/>
              </w:rPr>
              <w:t>The server blocks contractors from management routes and update submissions. Public registration still lets a person choose an account type, including management/admin. Fixing that is a priority in roadmap point 3.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What the home dashboard measures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02F4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Display</w:t>
            </w:r>
          </w:p>
        </w:tc>
        <w:tc>
          <w:tcPr>
            <w:tcW w:type="dxa" w:w="33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02F4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42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02F4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Total issues</w:t>
            </w:r>
          </w:p>
        </w:tc>
        <w:tc>
          <w:tcPr>
            <w:tcW w:type="dxa" w:w="33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Issues table</w:t>
            </w:r>
          </w:p>
        </w:tc>
        <w:tc>
          <w:tcPr>
            <w:tcW w:type="dxa" w:w="42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All recorded issues.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Awaiting action</w:t>
            </w:r>
          </w:p>
        </w:tc>
        <w:tc>
          <w:tcPr>
            <w:tcW w:type="dxa" w:w="33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status = open</w:t>
            </w:r>
          </w:p>
        </w:tc>
        <w:tc>
          <w:tcPr>
            <w:tcW w:type="dxa" w:w="42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Issues not yet picked up.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Work in progress</w:t>
            </w:r>
          </w:p>
        </w:tc>
        <w:tc>
          <w:tcPr>
            <w:tcW w:type="dxa" w:w="33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in_progress + under_review</w:t>
            </w:r>
          </w:p>
        </w:tc>
        <w:tc>
          <w:tcPr>
            <w:tcW w:type="dxa" w:w="42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Active or awaiting review.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Critical issues</w:t>
            </w:r>
          </w:p>
        </w:tc>
        <w:tc>
          <w:tcPr>
            <w:tcW w:type="dxa" w:w="33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priority = critical and status != closed</w:t>
            </w:r>
          </w:p>
        </w:tc>
        <w:tc>
          <w:tcPr>
            <w:tcW w:type="dxa" w:w="42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Critical work not marked closed.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Area total</w:t>
            </w:r>
          </w:p>
        </w:tc>
        <w:tc>
          <w:tcPr>
            <w:tcW w:type="dxa" w:w="33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Area table</w:t>
            </w:r>
          </w:p>
        </w:tc>
        <w:tc>
          <w:tcPr>
            <w:tcW w:type="dxa" w:w="42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Number of configured plant areas.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OEE gauges</w:t>
            </w:r>
          </w:p>
        </w:tc>
        <w:tc>
          <w:tcPr>
            <w:tcW w:type="dxa" w:w="33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Fixed example values in template</w:t>
            </w:r>
          </w:p>
        </w:tc>
        <w:tc>
          <w:tcPr>
            <w:tcW w:type="dxa" w:w="42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Visual sample only; not computed from plant data.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Run and understand the database</w:t>
      </w:r>
    </w:p>
    <w:p>
      <w:pPr>
        <w:pStyle w:val="Heading2"/>
        <w:keepNext/>
      </w:pPr>
      <w:r>
        <w:t>Local setup</w:t>
      </w:r>
    </w:p>
    <w:p>
      <w:pPr>
        <w:spacing w:after="100"/>
      </w:pPr>
      <w:r>
        <w:t>From the project folder, create a virtual environment, install requirements, reset the old database once, and start Flask:</w:t>
      </w:r>
    </w:p>
    <w:p>
      <w:pPr>
        <w:spacing w:after="40"/>
        <w:ind w:left="288"/>
      </w:pPr>
      <w:r>
        <w:rPr>
          <w:rFonts w:ascii="Consolas" w:hAnsi="Consolas"/>
          <w:color w:val="138A7B"/>
          <w:sz w:val="18"/>
        </w:rPr>
        <w:t>python -m venv .venv</w:t>
      </w:r>
    </w:p>
    <w:p>
      <w:pPr>
        <w:spacing w:after="40"/>
        <w:ind w:left="288"/>
      </w:pPr>
      <w:r>
        <w:rPr>
          <w:rFonts w:ascii="Consolas" w:hAnsi="Consolas"/>
          <w:color w:val="138A7B"/>
          <w:sz w:val="18"/>
        </w:rPr>
        <w:t>.venv\Scripts\Activate.ps1   (Windows PowerShell)</w:t>
      </w:r>
    </w:p>
    <w:p>
      <w:pPr>
        <w:spacing w:after="40"/>
        <w:ind w:left="288"/>
      </w:pPr>
      <w:r>
        <w:rPr>
          <w:rFonts w:ascii="Consolas" w:hAnsi="Consolas"/>
          <w:color w:val="138A7B"/>
          <w:sz w:val="18"/>
        </w:rPr>
        <w:t>source .venv/bin/activate     (macOS / Linux)</w:t>
      </w:r>
    </w:p>
    <w:p>
      <w:pPr>
        <w:spacing w:after="40"/>
        <w:ind w:left="288"/>
      </w:pPr>
      <w:r>
        <w:rPr>
          <w:rFonts w:ascii="Consolas" w:hAnsi="Consolas"/>
          <w:color w:val="138A7B"/>
          <w:sz w:val="18"/>
        </w:rPr>
        <w:t>pip install -r requirements.txt</w:t>
      </w:r>
    </w:p>
    <w:p>
      <w:pPr>
        <w:spacing w:after="40"/>
        <w:ind w:left="288"/>
      </w:pPr>
      <w:r>
        <w:rPr>
          <w:rFonts w:ascii="Consolas" w:hAnsi="Consolas"/>
          <w:color w:val="138A7B"/>
          <w:sz w:val="18"/>
        </w:rPr>
        <w:t>python scripts/reset_database.py</w:t>
      </w:r>
    </w:p>
    <w:p>
      <w:pPr>
        <w:spacing w:after="40"/>
        <w:ind w:left="288"/>
      </w:pPr>
      <w:r>
        <w:rPr>
          <w:rFonts w:ascii="Consolas" w:hAnsi="Consolas"/>
          <w:color w:val="138A7B"/>
          <w:sz w:val="18"/>
        </w:rPr>
        <w:t>flask --app app run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1"/>
            <w:tcMar>
              <w:top w:w="170" w:type="dxa"/>
              <w:start w:w="210" w:type="dxa"/>
              <w:bottom w:w="170" w:type="dxa"/>
              <w:end w:w="210" w:type="dxa"/>
            </w:tcMar>
          </w:tcPr>
          <w:p>
            <w:pPr>
              <w:spacing w:after="80"/>
            </w:pPr>
            <w:r/>
            <w:r>
              <w:rPr>
                <w:rFonts w:ascii="Aptos" w:hAnsi="Aptos"/>
                <w:b/>
                <w:color w:val="138A7B"/>
                <w:sz w:val="20"/>
              </w:rPr>
              <w:t>Reset warning</w:t>
            </w:r>
          </w:p>
          <w:p>
            <w:pPr>
              <w:spacing w:after="0"/>
            </w:pPr>
            <w:r>
              <w:rPr>
                <w:rFonts w:ascii="Aptos" w:hAnsi="Aptos"/>
                <w:color w:val="102F48"/>
                <w:sz w:val="18"/>
              </w:rPr>
              <w:t>The reset script writes a timestamped backup in app/data/, then drops and recreates the current tables. It clears the active users, areas, and issues. Use it only when you mean to reset the local data.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SQLite setup choices</w:t>
      </w:r>
    </w:p>
    <w:p>
      <w:pPr>
        <w:pStyle w:val="ListBullet"/>
        <w:spacing w:after="40"/>
      </w:pPr>
      <w:r>
        <w:t>The app uses a fixed SQLite file at app/data/app.db; it does not use PostgreSQL or a configurable database URI.</w:t>
      </w:r>
    </w:p>
    <w:p>
      <w:pPr>
        <w:pStyle w:val="ListBullet"/>
        <w:spacing w:after="40"/>
      </w:pPr>
      <w:r>
        <w:t>flask --app app init-db creates missing tables for a new database. It does not change an existing schema.</w:t>
      </w:r>
    </w:p>
    <w:p>
      <w:pPr>
        <w:pStyle w:val="ListBullet"/>
        <w:spacing w:after="40"/>
      </w:pPr>
      <w:r>
        <w:t>The reset script is the intentional schema reset path. Existing rows survive only in its backup.</w:t>
      </w:r>
    </w:p>
    <w:p>
      <w:pPr>
        <w:pStyle w:val="ListBullet"/>
        <w:spacing w:after="40"/>
      </w:pPr>
      <w:r>
        <w:t>The local database file is ignored by Git; each developer keeps their own copy.</w:t>
      </w:r>
    </w:p>
    <w:p>
      <w:pPr>
        <w:pStyle w:val="Heading2"/>
        <w:keepNext/>
      </w:pPr>
      <w:r>
        <w:t>Roadmap from here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02F4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02F4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Next work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2 · Issue management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Optional search/sorting; management status and completion updates are implemented.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3 · Account safety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Stop public role selection; restrict management pages; improve login/registration feedback; set a production secret.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F48"/>
                <w:sz w:val="17"/>
              </w:rPr>
              <w:t>4 · Portfolio release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F48"/>
                <w:sz w:val="17"/>
              </w:rPr>
              <w:t>Add automated tests; collect real production inputs before calculating OEE; improve page copy; document clean setup and deployment.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 sensible next build</w:t>
      </w:r>
    </w:p>
    <w:p>
      <w:pPr>
        <w:spacing w:after="100"/>
      </w:pPr>
      <w:r>
        <w:t>Continue with roadmap point 3. First remove the account-type selector from public registration and assign new users the contractor role. Then make management authorization consistent and add tests for both allowed and denied access.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17586"/>
        <w:sz w:val="16"/>
      </w:rPr>
      <w:t>Plant Sync  •  Project mental map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17586"/>
        <w:sz w:val="16"/>
      </w:rPr>
      <w:t>PLANT SYNC  /  PROJECT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02F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F4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8A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F4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 Sync Project Mental Map</dc:title>
  <dc:subject>Architecture, workflows, current features, database setup, and roadmap</dc:subject>
  <dc:creator>Plant Sync project guide</dc:creator>
  <cp:keywords>Flask, SQLite, project guide, architecture, OEE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