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i w:val="0"/>
          <w:color w:val="20352D"/>
          <w:sz w:val="62"/>
        </w:rPr>
        <w:t>CODEX MEDICA</w:t>
      </w:r>
    </w:p>
    <w:p>
      <w:pPr>
        <w:spacing w:after="360"/>
        <w:jc w:val="center"/>
      </w:pPr>
      <w:r>
        <w:rPr>
          <w:rFonts w:ascii="Aptos Display" w:hAnsi="Aptos Display"/>
          <w:b w:val="0"/>
          <w:i w:val="0"/>
          <w:color w:val="4C6655"/>
          <w:sz w:val="32"/>
        </w:rPr>
        <w:t>An Ethnobotanical Cross-Cultural Study Bible</w:t>
      </w:r>
    </w:p>
    <w:p>
      <w:pPr>
        <w:spacing w:after="1100"/>
        <w:jc w:val="center"/>
      </w:pPr>
      <w:r>
        <w:rPr>
          <w:rFonts w:ascii="Aptos" w:hAnsi="Aptos"/>
          <w:b w:val="0"/>
          <w:i/>
          <w:color w:val="667069"/>
          <w:sz w:val="21"/>
        </w:rPr>
        <w:t>Research constitution • evidence architecture • field templates • editorial canon</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DDE6DE"/>
          </w:tcPr>
          <w:p>
            <w:pPr>
              <w:spacing w:after="40"/>
            </w:pPr>
            <w:r>
              <w:rPr>
                <w:rFonts w:ascii="Aptos" w:hAnsi="Aptos"/>
                <w:b/>
                <w:i w:val="0"/>
                <w:color w:val="4C6655"/>
                <w:sz w:val="18"/>
              </w:rPr>
              <w:t xml:space="preserve">FOUNDING PROPOSITION  </w:t>
            </w:r>
            <w:r>
              <w:rPr>
                <w:rFonts w:ascii="Aptos" w:hAnsi="Aptos"/>
                <w:b w:val="0"/>
                <w:i w:val="0"/>
                <w:color w:val="222620"/>
                <w:sz w:val="21"/>
              </w:rPr>
              <w:t>Humanity’s medicinal plant knowledge is not a primitive draft of pharmacology. It is a plural archive of observation, relationship, ritual, ecology and experiment. The Codex preserves that archive faithfully, tests claims honestly, and refuses to confuse either reverence with proof or absence of trials with absence of knowledge.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1944"/>
        <w:gridCol w:w="2736"/>
        <w:gridCol w:w="288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Edition</w:t>
            </w:r>
          </w:p>
        </w:tc>
        <w:tc>
          <w:tcPr>
            <w:tcW w:type="dxa" w:w="1944"/>
            <w:shd w:fill="20352D"/>
            <w:tcMar>
              <w:top w:w="90" w:type="dxa"/>
              <w:start w:w="120" w:type="dxa"/>
              <w:bottom w:w="90" w:type="dxa"/>
              <w:end w:w="120" w:type="dxa"/>
            </w:tcMar>
            <w:vAlign w:val="center"/>
          </w:tcPr>
          <w:p>
            <w:r>
              <w:rPr>
                <w:rFonts w:ascii="Aptos" w:hAnsi="Aptos"/>
                <w:b/>
                <w:i w:val="0"/>
                <w:color w:val="FFFFFF"/>
                <w:sz w:val="18"/>
              </w:rPr>
              <w:t>Status</w:t>
            </w:r>
          </w:p>
        </w:tc>
        <w:tc>
          <w:tcPr>
            <w:tcW w:type="dxa" w:w="2736"/>
            <w:shd w:fill="20352D"/>
            <w:tcMar>
              <w:top w:w="90" w:type="dxa"/>
              <w:start w:w="120" w:type="dxa"/>
              <w:bottom w:w="90" w:type="dxa"/>
              <w:end w:w="120" w:type="dxa"/>
            </w:tcMar>
            <w:vAlign w:val="center"/>
          </w:tcPr>
          <w:p>
            <w:r>
              <w:rPr>
                <w:rFonts w:ascii="Aptos" w:hAnsi="Aptos"/>
                <w:b/>
                <w:i w:val="0"/>
                <w:color w:val="FFFFFF"/>
                <w:sz w:val="18"/>
              </w:rPr>
              <w:t>Stewardship</w:t>
            </w:r>
          </w:p>
        </w:tc>
        <w:tc>
          <w:tcPr>
            <w:tcW w:type="dxa" w:w="2880"/>
            <w:shd w:fill="20352D"/>
            <w:tcMar>
              <w:top w:w="90" w:type="dxa"/>
              <w:start w:w="120" w:type="dxa"/>
              <w:bottom w:w="90" w:type="dxa"/>
              <w:end w:w="120" w:type="dxa"/>
            </w:tcMar>
            <w:vAlign w:val="center"/>
          </w:tcPr>
          <w:p>
            <w:r>
              <w:rPr>
                <w:rFonts w:ascii="Aptos" w:hAnsi="Aptos"/>
                <w:b/>
                <w:i w:val="0"/>
                <w:color w:val="FFFFFF"/>
                <w:sz w:val="18"/>
              </w:rPr>
              <w:t>Primary purpose</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0.1 • 29 July 2026</w:t>
            </w:r>
          </w:p>
        </w:tc>
        <w:tc>
          <w:tcPr>
            <w:tcW w:type="dxa" w:w="1944"/>
            <w:tcMar>
              <w:top w:w="90" w:type="dxa"/>
              <w:start w:w="120" w:type="dxa"/>
              <w:bottom w:w="90" w:type="dxa"/>
              <w:end w:w="120" w:type="dxa"/>
            </w:tcMar>
            <w:vAlign w:val="center"/>
          </w:tcPr>
          <w:p>
            <w:pPr>
              <w:spacing w:after="0" w:line="264" w:lineRule="auto"/>
            </w:pPr>
            <w:r>
              <w:rPr>
                <w:rFonts w:ascii="Aptos" w:hAnsi="Aptos"/>
                <w:b w:val="0"/>
                <w:i w:val="0"/>
                <w:color w:val="222620"/>
                <w:sz w:val="17"/>
              </w:rPr>
              <w:t>Foundation scaffold</w:t>
            </w:r>
          </w:p>
        </w:tc>
        <w:tc>
          <w:tcPr>
            <w:tcW w:type="dxa" w:w="2736"/>
            <w:tcMar>
              <w:top w:w="90" w:type="dxa"/>
              <w:start w:w="120" w:type="dxa"/>
              <w:bottom w:w="90" w:type="dxa"/>
              <w:end w:w="120" w:type="dxa"/>
            </w:tcMar>
            <w:vAlign w:val="center"/>
          </w:tcPr>
          <w:p>
            <w:pPr>
              <w:spacing w:after="0" w:line="264" w:lineRule="auto"/>
            </w:pPr>
            <w:r>
              <w:rPr>
                <w:rFonts w:ascii="Aptos" w:hAnsi="Aptos"/>
                <w:b w:val="0"/>
                <w:i w:val="0"/>
                <w:color w:val="222620"/>
                <w:sz w:val="17"/>
              </w:rPr>
              <w:t>Community-governed, versioned corpus</w:t>
            </w:r>
          </w:p>
        </w:tc>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Research and documentation; not a prescribing manual</w:t>
            </w:r>
          </w:p>
        </w:tc>
      </w:tr>
    </w:tbl>
    <w:p>
      <w:pPr>
        <w:spacing w:after="20"/>
      </w:pPr>
    </w:p>
    <w:p>
      <w:pPr>
        <w:spacing w:before="1400"/>
        <w:jc w:val="center"/>
      </w:pPr>
      <w:r>
        <w:rPr>
          <w:rFonts w:ascii="Aptos" w:hAnsi="Aptos"/>
          <w:b/>
          <w:i w:val="0"/>
          <w:color w:val="B18A3E"/>
          <w:sz w:val="22"/>
        </w:rPr>
        <w:t>Truth without theft. Memory without romanticism. Evidence without contempt.</w:t>
      </w:r>
    </w:p>
    <w:p>
      <w:r>
        <w:br w:type="page"/>
      </w:r>
    </w:p>
    <w:p>
      <w:pPr>
        <w:pStyle w:val="Heading1"/>
        <w:keepNext/>
      </w:pPr>
      <w:r>
        <w:t>How to Use This Bible</w:t>
      </w:r>
    </w:p>
    <w:p>
      <w:pPr>
        <w:spacing w:after="120" w:line="293" w:lineRule="auto"/>
      </w:pPr>
      <w:r>
        <w:rPr>
          <w:rFonts w:ascii="Aptos" w:hAnsi="Aptos"/>
          <w:b w:val="0"/>
          <w:i w:val="0"/>
          <w:color w:val="222620"/>
          <w:sz w:val="21"/>
        </w:rPr>
        <w:t>This document is the governing scaffold for a living ethnobotanical corpus. It defines what the project may claim, how it records uncertainty, who retains authority over knowledge, and how each plant, preparation and therapeutic assertion moves from raw source to publishable conclusion.</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F4E5E2"/>
          </w:tcPr>
          <w:p>
            <w:pPr>
              <w:spacing w:after="40"/>
            </w:pPr>
            <w:r>
              <w:rPr>
                <w:rFonts w:ascii="Aptos" w:hAnsi="Aptos"/>
                <w:b/>
                <w:i w:val="0"/>
                <w:color w:val="8B3E35"/>
                <w:sz w:val="18"/>
              </w:rPr>
              <w:t xml:space="preserve">NON-CLINICAL STATUS  </w:t>
            </w:r>
            <w:r>
              <w:rPr>
                <w:rFonts w:ascii="Aptos" w:hAnsi="Aptos"/>
                <w:b w:val="0"/>
                <w:i w:val="0"/>
                <w:color w:val="222620"/>
                <w:sz w:val="21"/>
              </w:rPr>
              <w:t>The Codex documents historical and contemporary knowledge. It does not provide personalized treatment, dosage or instructions for preparing hazardous, intoxicating, abortifacient or otherwise high-risk substances.</w:t>
            </w:r>
          </w:p>
        </w:tc>
      </w:tr>
    </w:tbl>
    <w:p>
      <w:pPr>
        <w:spacing w:after="0"/>
      </w:pPr>
    </w:p>
    <w:p>
      <w:pPr>
        <w:pStyle w:val="Heading2"/>
        <w:keepNext/>
      </w:pPr>
      <w:r>
        <w:t>The reader’s four routes</w:t>
      </w:r>
    </w:p>
    <w:tbl>
      <w:tblPr>
        <w:tblStyle w:val="TableGrid"/>
        <w:tblW w:type="dxa" w:w="9360"/>
        <w:jc w:val="left"/>
        <w:tblLayout w:type="fixed"/>
        <w:tblLook w:firstColumn="1" w:firstRow="1" w:lastColumn="0" w:lastRow="0" w:noHBand="0" w:noVBand="1" w:val="04A0"/>
        <w:tblInd w:w="120" w:type="dxa"/>
      </w:tblPr>
      <w:tblGrid>
        <w:gridCol w:w="1584"/>
        <w:gridCol w:w="4536"/>
        <w:gridCol w:w="3240"/>
      </w:tblGrid>
      <w:tr>
        <w:trPr>
          <w:tblHeader w:val="true"/>
        </w:trPr>
        <w:tc>
          <w:tcPr>
            <w:tcW w:type="dxa" w:w="1584"/>
            <w:shd w:fill="20352D"/>
            <w:tcMar>
              <w:top w:w="90" w:type="dxa"/>
              <w:start w:w="120" w:type="dxa"/>
              <w:bottom w:w="90" w:type="dxa"/>
              <w:end w:w="120" w:type="dxa"/>
            </w:tcMar>
            <w:vAlign w:val="center"/>
          </w:tcPr>
          <w:p>
            <w:r>
              <w:rPr>
                <w:rFonts w:ascii="Aptos" w:hAnsi="Aptos"/>
                <w:b/>
                <w:i w:val="0"/>
                <w:color w:val="FFFFFF"/>
                <w:sz w:val="18"/>
              </w:rPr>
              <w:t>Route</w:t>
            </w:r>
          </w:p>
        </w:tc>
        <w:tc>
          <w:tcPr>
            <w:tcW w:type="dxa" w:w="4536"/>
            <w:shd w:fill="20352D"/>
            <w:tcMar>
              <w:top w:w="90" w:type="dxa"/>
              <w:start w:w="120" w:type="dxa"/>
              <w:bottom w:w="90" w:type="dxa"/>
              <w:end w:w="120" w:type="dxa"/>
            </w:tcMar>
            <w:vAlign w:val="center"/>
          </w:tcPr>
          <w:p>
            <w:r>
              <w:rPr>
                <w:rFonts w:ascii="Aptos" w:hAnsi="Aptos"/>
                <w:b/>
                <w:i w:val="0"/>
                <w:color w:val="FFFFFF"/>
                <w:sz w:val="18"/>
              </w:rPr>
              <w:t>Question</w:t>
            </w:r>
          </w:p>
        </w:tc>
        <w:tc>
          <w:tcPr>
            <w:tcW w:type="dxa" w:w="3240"/>
            <w:shd w:fill="20352D"/>
            <w:tcMar>
              <w:top w:w="90" w:type="dxa"/>
              <w:start w:w="120" w:type="dxa"/>
              <w:bottom w:w="90" w:type="dxa"/>
              <w:end w:w="120" w:type="dxa"/>
            </w:tcMar>
            <w:vAlign w:val="center"/>
          </w:tcPr>
          <w:p>
            <w:r>
              <w:rPr>
                <w:rFonts w:ascii="Aptos" w:hAnsi="Aptos"/>
                <w:b/>
                <w:i w:val="0"/>
                <w:color w:val="FFFFFF"/>
                <w:sz w:val="18"/>
              </w:rPr>
              <w:t>Start here</w:t>
            </w:r>
          </w:p>
        </w:tc>
      </w:tr>
      <w:tr>
        <w:tc>
          <w:tcPr>
            <w:tcW w:type="dxa" w:w="1584"/>
            <w:tcMar>
              <w:top w:w="90" w:type="dxa"/>
              <w:start w:w="120" w:type="dxa"/>
              <w:bottom w:w="90" w:type="dxa"/>
              <w:end w:w="120" w:type="dxa"/>
            </w:tcMar>
            <w:vAlign w:val="center"/>
          </w:tcPr>
          <w:p>
            <w:pPr>
              <w:spacing w:after="0" w:line="264" w:lineRule="auto"/>
            </w:pPr>
            <w:r>
              <w:rPr>
                <w:rFonts w:ascii="Aptos" w:hAnsi="Aptos"/>
                <w:b w:val="0"/>
                <w:i w:val="0"/>
                <w:color w:val="222620"/>
                <w:sz w:val="17"/>
              </w:rPr>
              <w:t>Custodian</w:t>
            </w:r>
          </w:p>
        </w:tc>
        <w:tc>
          <w:tcPr>
            <w:tcW w:type="dxa" w:w="4536"/>
            <w:tcMar>
              <w:top w:w="90" w:type="dxa"/>
              <w:start w:w="120" w:type="dxa"/>
              <w:bottom w:w="90" w:type="dxa"/>
              <w:end w:w="120" w:type="dxa"/>
            </w:tcMar>
            <w:vAlign w:val="center"/>
          </w:tcPr>
          <w:p>
            <w:pPr>
              <w:spacing w:after="0" w:line="264" w:lineRule="auto"/>
            </w:pPr>
            <w:r>
              <w:rPr>
                <w:rFonts w:ascii="Aptos" w:hAnsi="Aptos"/>
                <w:b w:val="0"/>
                <w:i w:val="0"/>
                <w:color w:val="222620"/>
                <w:sz w:val="17"/>
              </w:rPr>
              <w:t>Is our community represented accurately and on our terms?</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Books II–III: governance, consent and attribution</w:t>
            </w:r>
          </w:p>
        </w:tc>
      </w:tr>
      <w:tr>
        <w:tc>
          <w:tcPr>
            <w:tcW w:type="dxa" w:w="15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Researcher</w:t>
            </w:r>
          </w:p>
        </w:tc>
        <w:tc>
          <w:tcPr>
            <w:tcW w:type="dxa" w:w="453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How do I collect, compare and grade a claim?</w:t>
            </w:r>
          </w:p>
        </w:tc>
        <w:tc>
          <w:tcPr>
            <w:tcW w:type="dxa" w:w="32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Books IV–VIII: ontology, workflow and evidence</w:t>
            </w:r>
          </w:p>
        </w:tc>
      </w:tr>
      <w:tr>
        <w:tc>
          <w:tcPr>
            <w:tcW w:type="dxa" w:w="1584"/>
            <w:tcMar>
              <w:top w:w="90" w:type="dxa"/>
              <w:start w:w="120" w:type="dxa"/>
              <w:bottom w:w="90" w:type="dxa"/>
              <w:end w:w="120" w:type="dxa"/>
            </w:tcMar>
            <w:vAlign w:val="center"/>
          </w:tcPr>
          <w:p>
            <w:pPr>
              <w:spacing w:after="0" w:line="264" w:lineRule="auto"/>
            </w:pPr>
            <w:r>
              <w:rPr>
                <w:rFonts w:ascii="Aptos" w:hAnsi="Aptos"/>
                <w:b w:val="0"/>
                <w:i w:val="0"/>
                <w:color w:val="222620"/>
                <w:sz w:val="17"/>
              </w:rPr>
              <w:t>Editor</w:t>
            </w:r>
          </w:p>
        </w:tc>
        <w:tc>
          <w:tcPr>
            <w:tcW w:type="dxa" w:w="4536"/>
            <w:tcMar>
              <w:top w:w="90" w:type="dxa"/>
              <w:start w:w="120" w:type="dxa"/>
              <w:bottom w:w="90" w:type="dxa"/>
              <w:end w:w="120" w:type="dxa"/>
            </w:tcMar>
            <w:vAlign w:val="center"/>
          </w:tcPr>
          <w:p>
            <w:pPr>
              <w:spacing w:after="0" w:line="264" w:lineRule="auto"/>
            </w:pPr>
            <w:r>
              <w:rPr>
                <w:rFonts w:ascii="Aptos" w:hAnsi="Aptos"/>
                <w:b w:val="0"/>
                <w:i w:val="0"/>
                <w:color w:val="222620"/>
                <w:sz w:val="17"/>
              </w:rPr>
              <w:t>What may the Codex publish and in what language?</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Books IX–X: adjudication and editorial canon</w:t>
            </w:r>
          </w:p>
        </w:tc>
      </w:tr>
      <w:tr>
        <w:tc>
          <w:tcPr>
            <w:tcW w:type="dxa" w:w="15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Builder</w:t>
            </w:r>
          </w:p>
        </w:tc>
        <w:tc>
          <w:tcPr>
            <w:tcW w:type="dxa" w:w="453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How should the corpus be stored and queried?</w:t>
            </w:r>
          </w:p>
        </w:tc>
        <w:tc>
          <w:tcPr>
            <w:tcW w:type="dxa" w:w="32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Book XI: schema and computational architecture</w:t>
            </w:r>
          </w:p>
        </w:tc>
      </w:tr>
    </w:tbl>
    <w:p>
      <w:pPr>
        <w:spacing w:after="20"/>
      </w:pPr>
    </w:p>
    <w:p>
      <w:pPr>
        <w:pStyle w:val="Heading2"/>
        <w:keepNext/>
      </w:pPr>
      <w:r>
        <w:t>The central rule</w:t>
      </w:r>
    </w:p>
    <w:p>
      <w:pPr>
        <w:spacing w:after="120" w:line="293" w:lineRule="auto"/>
      </w:pPr>
      <w:r>
        <w:rPr>
          <w:rFonts w:ascii="Aptos" w:hAnsi="Aptos"/>
          <w:b w:val="0"/>
          <w:i w:val="0"/>
          <w:color w:val="222620"/>
          <w:sz w:val="21"/>
        </w:rPr>
        <w:t>Every record must preserve three layers that are related but never collapsed:</w:t>
      </w:r>
    </w:p>
    <w:p>
      <w:pPr>
        <w:pStyle w:val="ListBullet"/>
        <w:spacing w:after="80" w:line="283" w:lineRule="auto"/>
      </w:pPr>
      <w:r>
        <w:rPr>
          <w:rFonts w:ascii="Aptos" w:hAnsi="Aptos"/>
          <w:b w:val="0"/>
          <w:i w:val="0"/>
          <w:color w:val="222620"/>
          <w:sz w:val="21"/>
        </w:rPr>
        <w:t>The witnessed tradition: who used what, where, when, how and according to whom.</w:t>
      </w:r>
    </w:p>
    <w:p>
      <w:pPr>
        <w:pStyle w:val="ListBullet"/>
        <w:spacing w:after="80" w:line="283" w:lineRule="auto"/>
      </w:pPr>
      <w:r>
        <w:rPr>
          <w:rFonts w:ascii="Aptos" w:hAnsi="Aptos"/>
          <w:b w:val="0"/>
          <w:i w:val="0"/>
          <w:color w:val="222620"/>
          <w:sz w:val="21"/>
        </w:rPr>
        <w:t>The interpreted mechanism: what taxonomy, chemistry, ecology or physiology might explain.</w:t>
      </w:r>
    </w:p>
    <w:p>
      <w:pPr>
        <w:pStyle w:val="ListBullet"/>
        <w:spacing w:after="80" w:line="283" w:lineRule="auto"/>
      </w:pPr>
      <w:r>
        <w:rPr>
          <w:rFonts w:ascii="Aptos" w:hAnsi="Aptos"/>
          <w:b w:val="0"/>
          <w:i w:val="0"/>
          <w:color w:val="222620"/>
          <w:sz w:val="21"/>
        </w:rPr>
        <w:t>The tested outcome: what controlled observation in humans actually demonstrates.</w:t>
      </w:r>
    </w:p>
    <w:p>
      <w:r>
        <w:br w:type="page"/>
      </w:r>
    </w:p>
    <w:p>
      <w:pPr>
        <w:pStyle w:val="Heading1"/>
        <w:keepNext/>
      </w:pPr>
      <w:r>
        <w:t>Book I — Charter and Boundaries</w:t>
      </w:r>
    </w:p>
    <w:p>
      <w:pPr>
        <w:pStyle w:val="Heading2"/>
        <w:keepNext/>
      </w:pPr>
      <w:r>
        <w:t>1. Mission</w:t>
      </w:r>
    </w:p>
    <w:p>
      <w:pPr>
        <w:spacing w:after="120" w:line="293" w:lineRule="auto"/>
      </w:pPr>
      <w:r>
        <w:rPr>
          <w:rFonts w:ascii="Aptos" w:hAnsi="Aptos"/>
          <w:b w:val="0"/>
          <w:i w:val="0"/>
          <w:color w:val="222620"/>
          <w:sz w:val="21"/>
        </w:rPr>
        <w:t>Codex Medica is a cross-cultural atlas of relationships between people, plants, fungi, lichens and medicinal practice. It is designed to preserve provenance, make distinct knowledge systems legible beside one another, identify convergences without flattening difference, and generate ethically valid research questions.</w:t>
      </w:r>
    </w:p>
    <w:p>
      <w:pPr>
        <w:pStyle w:val="Heading2"/>
        <w:keepNext/>
      </w:pPr>
      <w:r>
        <w:t>2. What belongs</w:t>
      </w:r>
    </w:p>
    <w:p>
      <w:pPr>
        <w:pStyle w:val="ListBullet"/>
        <w:spacing w:after="80" w:line="283" w:lineRule="auto"/>
      </w:pPr>
      <w:r>
        <w:rPr>
          <w:rFonts w:ascii="Aptos" w:hAnsi="Aptos"/>
          <w:b w:val="0"/>
          <w:i w:val="0"/>
          <w:color w:val="222620"/>
          <w:sz w:val="21"/>
        </w:rPr>
        <w:t>Named or identifiable biological taxa, including uncertainty and historical synonyms.</w:t>
      </w:r>
    </w:p>
    <w:p>
      <w:pPr>
        <w:pStyle w:val="ListBullet"/>
        <w:spacing w:after="80" w:line="283" w:lineRule="auto"/>
      </w:pPr>
      <w:r>
        <w:rPr>
          <w:rFonts w:ascii="Aptos" w:hAnsi="Aptos"/>
          <w:b w:val="0"/>
          <w:i w:val="0"/>
          <w:color w:val="222620"/>
          <w:sz w:val="21"/>
        </w:rPr>
        <w:t>Medicinal, nutritional-medicinal, ritual-healing and preventive practices where context can be preserved.</w:t>
      </w:r>
    </w:p>
    <w:p>
      <w:pPr>
        <w:pStyle w:val="ListBullet"/>
        <w:spacing w:after="80" w:line="283" w:lineRule="auto"/>
      </w:pPr>
      <w:r>
        <w:rPr>
          <w:rFonts w:ascii="Aptos" w:hAnsi="Aptos"/>
          <w:b w:val="0"/>
          <w:i w:val="0"/>
          <w:color w:val="222620"/>
          <w:sz w:val="21"/>
        </w:rPr>
        <w:t>Oral histories, field records, materia medica, pharmacopoeias, archaeological evidence, herbarium specimens, clinical literature and safety reports.</w:t>
      </w:r>
    </w:p>
    <w:p>
      <w:pPr>
        <w:pStyle w:val="ListBullet"/>
        <w:spacing w:after="80" w:line="283" w:lineRule="auto"/>
      </w:pPr>
      <w:r>
        <w:rPr>
          <w:rFonts w:ascii="Aptos" w:hAnsi="Aptos"/>
          <w:b w:val="0"/>
          <w:i w:val="0"/>
          <w:color w:val="222620"/>
          <w:sz w:val="21"/>
        </w:rPr>
        <w:t>Preparation, route and context as recorded facts—not reconstructed instructions when the source is incomplete.</w:t>
      </w:r>
    </w:p>
    <w:p>
      <w:pPr>
        <w:pStyle w:val="ListBullet"/>
        <w:spacing w:after="80" w:line="283" w:lineRule="auto"/>
      </w:pPr>
      <w:r>
        <w:rPr>
          <w:rFonts w:ascii="Aptos" w:hAnsi="Aptos"/>
          <w:b w:val="0"/>
          <w:i w:val="0"/>
          <w:color w:val="222620"/>
          <w:sz w:val="21"/>
        </w:rPr>
        <w:t>Negative knowledge: contraindications, taboo, ecological limits, failed treatments, poisonings and reasons a practice was abandoned.</w:t>
      </w:r>
    </w:p>
    <w:p>
      <w:pPr>
        <w:pStyle w:val="Heading2"/>
        <w:keepNext/>
      </w:pPr>
      <w:r>
        <w:t>3. What does not belong</w:t>
      </w:r>
    </w:p>
    <w:p>
      <w:pPr>
        <w:pStyle w:val="ListBullet"/>
        <w:spacing w:after="80" w:line="283" w:lineRule="auto"/>
      </w:pPr>
      <w:r>
        <w:rPr>
          <w:rFonts w:ascii="Aptos" w:hAnsi="Aptos"/>
          <w:b w:val="0"/>
          <w:i w:val="0"/>
          <w:color w:val="222620"/>
          <w:sz w:val="21"/>
        </w:rPr>
        <w:t>Decontextualized lists of ‘tribal remedies’ with no named people, place, source or date.</w:t>
      </w:r>
    </w:p>
    <w:p>
      <w:pPr>
        <w:pStyle w:val="ListBullet"/>
        <w:spacing w:after="80" w:line="283" w:lineRule="auto"/>
      </w:pPr>
      <w:r>
        <w:rPr>
          <w:rFonts w:ascii="Aptos" w:hAnsi="Aptos"/>
          <w:b w:val="0"/>
          <w:i w:val="0"/>
          <w:color w:val="222620"/>
          <w:sz w:val="21"/>
        </w:rPr>
        <w:t>Claims copied across websites and counted as independent confirmations.</w:t>
      </w:r>
    </w:p>
    <w:p>
      <w:pPr>
        <w:pStyle w:val="ListBullet"/>
        <w:spacing w:after="80" w:line="283" w:lineRule="auto"/>
      </w:pPr>
      <w:r>
        <w:rPr>
          <w:rFonts w:ascii="Aptos" w:hAnsi="Aptos"/>
          <w:b w:val="0"/>
          <w:i w:val="0"/>
          <w:color w:val="222620"/>
          <w:sz w:val="21"/>
        </w:rPr>
        <w:t>Secret, sacred, gender-restricted, initiated or community-restricted knowledge without explicit authority to include it.</w:t>
      </w:r>
    </w:p>
    <w:p>
      <w:pPr>
        <w:pStyle w:val="ListBullet"/>
        <w:spacing w:after="80" w:line="283" w:lineRule="auto"/>
      </w:pPr>
      <w:r>
        <w:rPr>
          <w:rFonts w:ascii="Aptos" w:hAnsi="Aptos"/>
          <w:b w:val="0"/>
          <w:i w:val="0"/>
          <w:color w:val="222620"/>
          <w:sz w:val="21"/>
        </w:rPr>
        <w:t>Foraging or preparation instructions for dangerous materials presented as wellness content.</w:t>
      </w:r>
    </w:p>
    <w:p>
      <w:pPr>
        <w:pStyle w:val="ListBullet"/>
        <w:spacing w:after="80" w:line="283" w:lineRule="auto"/>
      </w:pPr>
      <w:r>
        <w:rPr>
          <w:rFonts w:ascii="Aptos" w:hAnsi="Aptos"/>
          <w:b w:val="0"/>
          <w:i w:val="0"/>
          <w:color w:val="222620"/>
          <w:sz w:val="21"/>
        </w:rPr>
        <w:t>A universal efficacy ranking that treats randomized trials as a measure of cultural worth.</w:t>
      </w:r>
    </w:p>
    <w:p>
      <w:pPr>
        <w:pStyle w:val="Heading2"/>
        <w:keepNext/>
      </w:pPr>
      <w:r>
        <w:t>4. Canonical objects</w:t>
      </w:r>
    </w:p>
    <w:tbl>
      <w:tblPr>
        <w:tblStyle w:val="TableGrid"/>
        <w:tblW w:type="dxa" w:w="9360"/>
        <w:jc w:val="left"/>
        <w:tblLayout w:type="fixed"/>
        <w:tblLook w:firstColumn="1" w:firstRow="1" w:lastColumn="0" w:lastRow="0" w:noHBand="0" w:noVBand="1" w:val="04A0"/>
        <w:tblInd w:w="120" w:type="dxa"/>
      </w:tblPr>
      <w:tblGrid>
        <w:gridCol w:w="1728"/>
        <w:gridCol w:w="5904"/>
        <w:gridCol w:w="1728"/>
      </w:tblGrid>
      <w:tr>
        <w:trPr>
          <w:tblHeader w:val="true"/>
        </w:trPr>
        <w:tc>
          <w:tcPr>
            <w:tcW w:type="dxa" w:w="1728"/>
            <w:shd w:fill="20352D"/>
            <w:tcMar>
              <w:top w:w="90" w:type="dxa"/>
              <w:start w:w="120" w:type="dxa"/>
              <w:bottom w:w="90" w:type="dxa"/>
              <w:end w:w="120" w:type="dxa"/>
            </w:tcMar>
            <w:vAlign w:val="center"/>
          </w:tcPr>
          <w:p>
            <w:r>
              <w:rPr>
                <w:rFonts w:ascii="Aptos" w:hAnsi="Aptos"/>
                <w:b/>
                <w:i w:val="0"/>
                <w:color w:val="FFFFFF"/>
                <w:sz w:val="18"/>
              </w:rPr>
              <w:t>Object</w:t>
            </w:r>
          </w:p>
        </w:tc>
        <w:tc>
          <w:tcPr>
            <w:tcW w:type="dxa" w:w="5904"/>
            <w:shd w:fill="20352D"/>
            <w:tcMar>
              <w:top w:w="90" w:type="dxa"/>
              <w:start w:w="120" w:type="dxa"/>
              <w:bottom w:w="90" w:type="dxa"/>
              <w:end w:w="120" w:type="dxa"/>
            </w:tcMar>
            <w:vAlign w:val="center"/>
          </w:tcPr>
          <w:p>
            <w:r>
              <w:rPr>
                <w:rFonts w:ascii="Aptos" w:hAnsi="Aptos"/>
                <w:b/>
                <w:i w:val="0"/>
                <w:color w:val="FFFFFF"/>
                <w:sz w:val="18"/>
              </w:rPr>
              <w:t>Meaning</w:t>
            </w:r>
          </w:p>
        </w:tc>
        <w:tc>
          <w:tcPr>
            <w:tcW w:type="dxa" w:w="1728"/>
            <w:shd w:fill="20352D"/>
            <w:tcMar>
              <w:top w:w="90" w:type="dxa"/>
              <w:start w:w="120" w:type="dxa"/>
              <w:bottom w:w="90" w:type="dxa"/>
              <w:end w:w="120" w:type="dxa"/>
            </w:tcMar>
            <w:vAlign w:val="center"/>
          </w:tcPr>
          <w:p>
            <w:r>
              <w:rPr>
                <w:rFonts w:ascii="Aptos" w:hAnsi="Aptos"/>
                <w:b/>
                <w:i w:val="0"/>
                <w:color w:val="FFFFFF"/>
                <w:sz w:val="18"/>
              </w:rPr>
              <w:t>Stable identifier</w:t>
            </w:r>
          </w:p>
        </w:tc>
      </w:tr>
      <w:tr>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Taxon</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A biological identity with accepted name, synonyms and uncertainty</w:t>
            </w:r>
          </w:p>
        </w:tc>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TAX-</w:t>
            </w:r>
          </w:p>
        </w:tc>
      </w:tr>
      <w:tr>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Knowledge holder</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Community, lineage, practitioner or documented textual tradition</w:t>
            </w:r>
          </w:p>
        </w:tc>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KNO-</w:t>
            </w:r>
          </w:p>
        </w:tc>
      </w:tr>
      <w:tr>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Use report</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One claim by one source about one practice</w:t>
            </w:r>
          </w:p>
        </w:tc>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USE-</w:t>
            </w:r>
          </w:p>
        </w:tc>
      </w:tr>
      <w:tr>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Material transformation and route, recorded at safe resolution</w:t>
            </w:r>
          </w:p>
        </w:tc>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PRE-</w:t>
            </w:r>
          </w:p>
        </w:tc>
      </w:tr>
      <w:tr>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Claim</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A normalized proposition assembled from use reports</w:t>
            </w:r>
          </w:p>
        </w:tc>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CLM-</w:t>
            </w:r>
          </w:p>
        </w:tc>
      </w:tr>
      <w:tr>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Evidence item</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Text, specimen, study, assay or safety signal</w:t>
            </w:r>
          </w:p>
        </w:tc>
        <w:tc>
          <w:tcPr>
            <w:tcW w:type="dxa" w:w="17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EVD-</w:t>
            </w:r>
          </w:p>
        </w:tc>
      </w:tr>
      <w:tr>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Restriction</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Consent, access, cultural or hazard condition</w:t>
            </w:r>
          </w:p>
        </w:tc>
        <w:tc>
          <w:tcPr>
            <w:tcW w:type="dxa" w:w="1728"/>
            <w:tcMar>
              <w:top w:w="90" w:type="dxa"/>
              <w:start w:w="120" w:type="dxa"/>
              <w:bottom w:w="90" w:type="dxa"/>
              <w:end w:w="120" w:type="dxa"/>
            </w:tcMar>
            <w:vAlign w:val="center"/>
          </w:tcPr>
          <w:p>
            <w:pPr>
              <w:spacing w:after="0" w:line="264" w:lineRule="auto"/>
            </w:pPr>
            <w:r>
              <w:rPr>
                <w:rFonts w:ascii="Aptos" w:hAnsi="Aptos"/>
                <w:b w:val="0"/>
                <w:i w:val="0"/>
                <w:color w:val="222620"/>
                <w:sz w:val="17"/>
              </w:rPr>
              <w:t>RST-</w:t>
            </w:r>
          </w:p>
        </w:tc>
      </w:tr>
    </w:tbl>
    <w:p>
      <w:pPr>
        <w:spacing w:after="20"/>
      </w:pPr>
    </w:p>
    <w:p>
      <w:pPr>
        <w:pStyle w:val="Heading1"/>
        <w:keepNext/>
      </w:pPr>
      <w:r>
        <w:t>Book II — Ethics, Authority and Reciprocity</w:t>
      </w:r>
    </w:p>
    <w:p>
      <w:pPr>
        <w:spacing w:after="120" w:line="293" w:lineRule="auto"/>
      </w:pPr>
      <w:r>
        <w:rPr>
          <w:rFonts w:ascii="Aptos" w:hAnsi="Aptos"/>
          <w:b w:val="0"/>
          <w:i w:val="0"/>
          <w:color w:val="222620"/>
          <w:sz w:val="21"/>
        </w:rPr>
        <w:t>The Codex follows two simultaneous obligations: scientific traceability and the sovereignty of knowledge holders. ‘Open’ is not the default when openness would reproduce extraction.</w:t>
      </w:r>
    </w:p>
    <w:p>
      <w:pPr>
        <w:pStyle w:val="Heading2"/>
        <w:keepNext/>
      </w:pPr>
      <w:r>
        <w:t>5. Governing frameworks</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20352D"/>
            <w:tcMar>
              <w:top w:w="90" w:type="dxa"/>
              <w:start w:w="120" w:type="dxa"/>
              <w:bottom w:w="90" w:type="dxa"/>
              <w:end w:w="120" w:type="dxa"/>
            </w:tcMar>
            <w:vAlign w:val="center"/>
          </w:tcPr>
          <w:p>
            <w:r>
              <w:rPr>
                <w:rFonts w:ascii="Aptos" w:hAnsi="Aptos"/>
                <w:b/>
                <w:i w:val="0"/>
                <w:color w:val="FFFFFF"/>
                <w:sz w:val="18"/>
              </w:rPr>
              <w:t>Framework</w:t>
            </w:r>
          </w:p>
        </w:tc>
        <w:tc>
          <w:tcPr>
            <w:tcW w:type="dxa" w:w="7344"/>
            <w:shd w:fill="20352D"/>
            <w:tcMar>
              <w:top w:w="90" w:type="dxa"/>
              <w:start w:w="120" w:type="dxa"/>
              <w:bottom w:w="90" w:type="dxa"/>
              <w:end w:w="120" w:type="dxa"/>
            </w:tcMar>
            <w:vAlign w:val="center"/>
          </w:tcPr>
          <w:p>
            <w:r>
              <w:rPr>
                <w:rFonts w:ascii="Aptos" w:hAnsi="Aptos"/>
                <w:b/>
                <w:i w:val="0"/>
                <w:color w:val="FFFFFF"/>
                <w:sz w:val="18"/>
              </w:rPr>
              <w:t>Codex interpretation</w:t>
            </w:r>
          </w:p>
        </w:tc>
      </w:tr>
      <w:tr>
        <w:tc>
          <w:tcPr>
            <w:tcW w:type="dxa" w:w="2016"/>
            <w:tcMar>
              <w:top w:w="90" w:type="dxa"/>
              <w:start w:w="120" w:type="dxa"/>
              <w:bottom w:w="90" w:type="dxa"/>
              <w:end w:w="120" w:type="dxa"/>
            </w:tcMar>
            <w:vAlign w:val="center"/>
          </w:tcPr>
          <w:p>
            <w:pPr>
              <w:spacing w:after="0" w:line="264" w:lineRule="auto"/>
            </w:pPr>
            <w:r>
              <w:rPr>
                <w:rFonts w:ascii="Aptos" w:hAnsi="Aptos"/>
                <w:b w:val="0"/>
                <w:i w:val="0"/>
                <w:color w:val="222620"/>
                <w:sz w:val="17"/>
              </w:rPr>
              <w:t>CARE</w:t>
            </w:r>
          </w:p>
        </w:tc>
        <w:tc>
          <w:tcPr>
            <w:tcW w:type="dxa" w:w="7344"/>
            <w:tcMar>
              <w:top w:w="90" w:type="dxa"/>
              <w:start w:w="120" w:type="dxa"/>
              <w:bottom w:w="90" w:type="dxa"/>
              <w:end w:w="120" w:type="dxa"/>
            </w:tcMar>
            <w:vAlign w:val="center"/>
          </w:tcPr>
          <w:p>
            <w:pPr>
              <w:spacing w:after="0" w:line="264" w:lineRule="auto"/>
            </w:pPr>
            <w:r>
              <w:rPr>
                <w:rFonts w:ascii="Aptos" w:hAnsi="Aptos"/>
                <w:b w:val="0"/>
                <w:i w:val="0"/>
                <w:color w:val="222620"/>
                <w:sz w:val="17"/>
              </w:rPr>
              <w:t>Collective Benefit, Authority to Control, Responsibility and Ethics govern Indigenous data throughout its lifecycle.</w:t>
            </w:r>
          </w:p>
        </w:tc>
      </w:tr>
      <w:tr>
        <w:tc>
          <w:tcPr>
            <w:tcW w:type="dxa" w:w="20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FAIR</w:t>
            </w:r>
          </w:p>
        </w:tc>
        <w:tc>
          <w:tcPr>
            <w:tcW w:type="dxa" w:w="73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Findable, Accessible, Interoperable and Reusable applies only within permissions established by CARE and community protocol.</w:t>
            </w:r>
          </w:p>
        </w:tc>
      </w:tr>
      <w:tr>
        <w:tc>
          <w:tcPr>
            <w:tcW w:type="dxa" w:w="2016"/>
            <w:tcMar>
              <w:top w:w="90" w:type="dxa"/>
              <w:start w:w="120" w:type="dxa"/>
              <w:bottom w:w="90" w:type="dxa"/>
              <w:end w:w="120" w:type="dxa"/>
            </w:tcMar>
            <w:vAlign w:val="center"/>
          </w:tcPr>
          <w:p>
            <w:pPr>
              <w:spacing w:after="0" w:line="264" w:lineRule="auto"/>
            </w:pPr>
            <w:r>
              <w:rPr>
                <w:rFonts w:ascii="Aptos" w:hAnsi="Aptos"/>
                <w:b w:val="0"/>
                <w:i w:val="0"/>
                <w:color w:val="222620"/>
                <w:sz w:val="17"/>
              </w:rPr>
              <w:t>Nagoya Protocol</w:t>
            </w:r>
          </w:p>
        </w:tc>
        <w:tc>
          <w:tcPr>
            <w:tcW w:type="dxa" w:w="7344"/>
            <w:tcMar>
              <w:top w:w="90" w:type="dxa"/>
              <w:start w:w="120" w:type="dxa"/>
              <w:bottom w:w="90" w:type="dxa"/>
              <w:end w:w="120" w:type="dxa"/>
            </w:tcMar>
            <w:vAlign w:val="center"/>
          </w:tcPr>
          <w:p>
            <w:pPr>
              <w:spacing w:after="0" w:line="264" w:lineRule="auto"/>
            </w:pPr>
            <w:r>
              <w:rPr>
                <w:rFonts w:ascii="Aptos" w:hAnsi="Aptos"/>
                <w:b w:val="0"/>
                <w:i w:val="0"/>
                <w:color w:val="222620"/>
                <w:sz w:val="17"/>
              </w:rPr>
              <w:t>Access, prior informed consent, mutually agreed terms and fair benefit-sharing are tracked where genetic resources or associated traditional knowledge are implicated.</w:t>
            </w:r>
          </w:p>
        </w:tc>
      </w:tr>
      <w:tr>
        <w:tc>
          <w:tcPr>
            <w:tcW w:type="dxa" w:w="20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Local Contexts</w:t>
            </w:r>
          </w:p>
        </w:tc>
        <w:tc>
          <w:tcPr>
            <w:tcW w:type="dxa" w:w="73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TK/BC Notices and community-applied Labels communicate provenance, authority and conditions of circulation.</w:t>
            </w:r>
          </w:p>
        </w:tc>
      </w:tr>
      <w:tr>
        <w:tc>
          <w:tcPr>
            <w:tcW w:type="dxa" w:w="2016"/>
            <w:tcMar>
              <w:top w:w="90" w:type="dxa"/>
              <w:start w:w="120" w:type="dxa"/>
              <w:bottom w:w="90" w:type="dxa"/>
              <w:end w:w="120" w:type="dxa"/>
            </w:tcMar>
            <w:vAlign w:val="center"/>
          </w:tcPr>
          <w:p>
            <w:pPr>
              <w:spacing w:after="0" w:line="264" w:lineRule="auto"/>
            </w:pPr>
            <w:r>
              <w:rPr>
                <w:rFonts w:ascii="Aptos" w:hAnsi="Aptos"/>
                <w:b w:val="0"/>
                <w:i w:val="0"/>
                <w:color w:val="222620"/>
                <w:sz w:val="17"/>
              </w:rPr>
              <w:t>WHO strategy 2025–2034</w:t>
            </w:r>
          </w:p>
        </w:tc>
        <w:tc>
          <w:tcPr>
            <w:tcW w:type="dxa" w:w="7344"/>
            <w:tcMar>
              <w:top w:w="90" w:type="dxa"/>
              <w:start w:w="120" w:type="dxa"/>
              <w:bottom w:w="90" w:type="dxa"/>
              <w:end w:w="120" w:type="dxa"/>
            </w:tcMar>
            <w:vAlign w:val="center"/>
          </w:tcPr>
          <w:p>
            <w:pPr>
              <w:spacing w:after="0" w:line="264" w:lineRule="auto"/>
            </w:pPr>
            <w:r>
              <w:rPr>
                <w:rFonts w:ascii="Aptos" w:hAnsi="Aptos"/>
                <w:b w:val="0"/>
                <w:i w:val="0"/>
                <w:color w:val="222620"/>
                <w:sz w:val="17"/>
              </w:rPr>
              <w:t>Strengthen evidence and safety while respecting people-centred traditional, complementary and integrative medicine.</w:t>
            </w:r>
          </w:p>
        </w:tc>
      </w:tr>
    </w:tbl>
    <w:p>
      <w:pPr>
        <w:spacing w:after="20"/>
      </w:pPr>
    </w:p>
    <w:p>
      <w:pPr>
        <w:pStyle w:val="Heading2"/>
        <w:keepNext/>
      </w:pPr>
      <w:r>
        <w:t>6. Consent is a state machine, not a signature</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State</w:t>
            </w:r>
          </w:p>
        </w:tc>
        <w:tc>
          <w:tcPr>
            <w:tcW w:type="dxa" w:w="3600"/>
            <w:shd w:fill="20352D"/>
            <w:tcMar>
              <w:top w:w="90" w:type="dxa"/>
              <w:start w:w="120" w:type="dxa"/>
              <w:bottom w:w="90" w:type="dxa"/>
              <w:end w:w="120" w:type="dxa"/>
            </w:tcMar>
            <w:vAlign w:val="center"/>
          </w:tcPr>
          <w:p>
            <w:r>
              <w:rPr>
                <w:rFonts w:ascii="Aptos" w:hAnsi="Aptos"/>
                <w:b/>
                <w:i w:val="0"/>
                <w:color w:val="FFFFFF"/>
                <w:sz w:val="18"/>
              </w:rPr>
              <w:t>Meaning</w:t>
            </w:r>
          </w:p>
        </w:tc>
        <w:tc>
          <w:tcPr>
            <w:tcW w:type="dxa" w:w="3960"/>
            <w:shd w:fill="20352D"/>
            <w:tcMar>
              <w:top w:w="90" w:type="dxa"/>
              <w:start w:w="120" w:type="dxa"/>
              <w:bottom w:w="90" w:type="dxa"/>
              <w:end w:w="120" w:type="dxa"/>
            </w:tcMar>
            <w:vAlign w:val="center"/>
          </w:tcPr>
          <w:p>
            <w:r>
              <w:rPr>
                <w:rFonts w:ascii="Aptos" w:hAnsi="Aptos"/>
                <w:b/>
                <w:i w:val="0"/>
                <w:color w:val="FFFFFF"/>
                <w:sz w:val="18"/>
              </w:rPr>
              <w:t>Publication consequence</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Unknown</w:t>
            </w:r>
          </w:p>
        </w:tc>
        <w:tc>
          <w:tcPr>
            <w:tcW w:type="dxa" w:w="3600"/>
            <w:tcMar>
              <w:top w:w="90" w:type="dxa"/>
              <w:start w:w="120" w:type="dxa"/>
              <w:bottom w:w="90" w:type="dxa"/>
              <w:end w:w="120" w:type="dxa"/>
            </w:tcMar>
            <w:vAlign w:val="center"/>
          </w:tcPr>
          <w:p>
            <w:pPr>
              <w:spacing w:after="0" w:line="264" w:lineRule="auto"/>
            </w:pPr>
            <w:r>
              <w:rPr>
                <w:rFonts w:ascii="Aptos" w:hAnsi="Aptos"/>
                <w:b w:val="0"/>
                <w:i w:val="0"/>
                <w:color w:val="222620"/>
                <w:sz w:val="17"/>
              </w:rPr>
              <w:t>No reliable permission record</w:t>
            </w:r>
          </w:p>
        </w:tc>
        <w:tc>
          <w:tcPr>
            <w:tcW w:type="dxa" w:w="3960"/>
            <w:tcMar>
              <w:top w:w="90" w:type="dxa"/>
              <w:start w:w="120" w:type="dxa"/>
              <w:bottom w:w="90" w:type="dxa"/>
              <w:end w:w="120" w:type="dxa"/>
            </w:tcMar>
            <w:vAlign w:val="center"/>
          </w:tcPr>
          <w:p>
            <w:pPr>
              <w:spacing w:after="0" w:line="264" w:lineRule="auto"/>
            </w:pPr>
            <w:r>
              <w:rPr>
                <w:rFonts w:ascii="Aptos" w:hAnsi="Aptos"/>
                <w:b w:val="0"/>
                <w:i w:val="0"/>
                <w:color w:val="222620"/>
                <w:sz w:val="17"/>
              </w:rPr>
              <w:t>Metadata only; no sensitive content</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Contact initiated</w:t>
            </w:r>
          </w:p>
        </w:tc>
        <w:tc>
          <w:tcPr>
            <w:tcW w:type="dxa" w:w="36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Custodian identified; discussion begun</w:t>
            </w:r>
          </w:p>
        </w:tc>
        <w:tc>
          <w:tcPr>
            <w:tcW w:type="dxa" w:w="39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Hold</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Conditional</w:t>
            </w:r>
          </w:p>
        </w:tc>
        <w:tc>
          <w:tcPr>
            <w:tcW w:type="dxa" w:w="3600"/>
            <w:tcMar>
              <w:top w:w="90" w:type="dxa"/>
              <w:start w:w="120" w:type="dxa"/>
              <w:bottom w:w="90" w:type="dxa"/>
              <w:end w:w="120" w:type="dxa"/>
            </w:tcMar>
            <w:vAlign w:val="center"/>
          </w:tcPr>
          <w:p>
            <w:pPr>
              <w:spacing w:after="0" w:line="264" w:lineRule="auto"/>
            </w:pPr>
            <w:r>
              <w:rPr>
                <w:rFonts w:ascii="Aptos" w:hAnsi="Aptos"/>
                <w:b w:val="0"/>
                <w:i w:val="0"/>
                <w:color w:val="222620"/>
                <w:sz w:val="17"/>
              </w:rPr>
              <w:t>Specified audience, purpose, duration or detail</w:t>
            </w:r>
          </w:p>
        </w:tc>
        <w:tc>
          <w:tcPr>
            <w:tcW w:type="dxa" w:w="3960"/>
            <w:tcMar>
              <w:top w:w="90" w:type="dxa"/>
              <w:start w:w="120" w:type="dxa"/>
              <w:bottom w:w="90" w:type="dxa"/>
              <w:end w:w="120" w:type="dxa"/>
            </w:tcMar>
            <w:vAlign w:val="center"/>
          </w:tcPr>
          <w:p>
            <w:pPr>
              <w:spacing w:after="0" w:line="264" w:lineRule="auto"/>
            </w:pPr>
            <w:r>
              <w:rPr>
                <w:rFonts w:ascii="Aptos" w:hAnsi="Aptos"/>
                <w:b w:val="0"/>
                <w:i w:val="0"/>
                <w:color w:val="222620"/>
                <w:sz w:val="17"/>
              </w:rPr>
              <w:t>Enforce conditions</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Granted</w:t>
            </w:r>
          </w:p>
        </w:tc>
        <w:tc>
          <w:tcPr>
            <w:tcW w:type="dxa" w:w="36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Documented authority and scope</w:t>
            </w:r>
          </w:p>
        </w:tc>
        <w:tc>
          <w:tcPr>
            <w:tcW w:type="dxa" w:w="39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Publish within scope</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Withdrawn</w:t>
            </w:r>
          </w:p>
        </w:tc>
        <w:tc>
          <w:tcPr>
            <w:tcW w:type="dxa" w:w="3600"/>
            <w:tcMar>
              <w:top w:w="90" w:type="dxa"/>
              <w:start w:w="120" w:type="dxa"/>
              <w:bottom w:w="90" w:type="dxa"/>
              <w:end w:w="120" w:type="dxa"/>
            </w:tcMar>
            <w:vAlign w:val="center"/>
          </w:tcPr>
          <w:p>
            <w:pPr>
              <w:spacing w:after="0" w:line="264" w:lineRule="auto"/>
            </w:pPr>
            <w:r>
              <w:rPr>
                <w:rFonts w:ascii="Aptos" w:hAnsi="Aptos"/>
                <w:b w:val="0"/>
                <w:i w:val="0"/>
                <w:color w:val="222620"/>
                <w:sz w:val="17"/>
              </w:rPr>
              <w:t>Authority revoked or conditions changed</w:t>
            </w:r>
          </w:p>
        </w:tc>
        <w:tc>
          <w:tcPr>
            <w:tcW w:type="dxa" w:w="3960"/>
            <w:tcMar>
              <w:top w:w="90" w:type="dxa"/>
              <w:start w:w="120" w:type="dxa"/>
              <w:bottom w:w="90" w:type="dxa"/>
              <w:end w:w="120" w:type="dxa"/>
            </w:tcMar>
            <w:vAlign w:val="center"/>
          </w:tcPr>
          <w:p>
            <w:pPr>
              <w:spacing w:after="0" w:line="264" w:lineRule="auto"/>
            </w:pPr>
            <w:r>
              <w:rPr>
                <w:rFonts w:ascii="Aptos" w:hAnsi="Aptos"/>
                <w:b w:val="0"/>
                <w:i w:val="0"/>
                <w:color w:val="222620"/>
                <w:sz w:val="17"/>
              </w:rPr>
              <w:t>Takedown/version action</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Community governed</w:t>
            </w:r>
          </w:p>
        </w:tc>
        <w:tc>
          <w:tcPr>
            <w:tcW w:type="dxa" w:w="36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Ongoing review by nominated authority</w:t>
            </w:r>
          </w:p>
        </w:tc>
        <w:tc>
          <w:tcPr>
            <w:tcW w:type="dxa" w:w="39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Community decision controls</w:t>
            </w:r>
          </w:p>
        </w:tc>
      </w:tr>
    </w:tbl>
    <w:p>
      <w:pPr>
        <w:spacing w:after="20"/>
      </w:pPr>
    </w:p>
    <w:p>
      <w:pPr>
        <w:pStyle w:val="Heading2"/>
        <w:keepNext/>
      </w:pPr>
      <w:r>
        <w:t>7. Benefit-sharing ledger</w:t>
      </w:r>
    </w:p>
    <w:p>
      <w:pPr>
        <w:pStyle w:val="ListBullet"/>
        <w:spacing w:after="80" w:line="283" w:lineRule="auto"/>
      </w:pPr>
      <w:r>
        <w:rPr>
          <w:rFonts w:ascii="Aptos" w:hAnsi="Aptos"/>
          <w:b w:val="0"/>
          <w:i w:val="0"/>
          <w:color w:val="222620"/>
          <w:sz w:val="21"/>
        </w:rPr>
        <w:t>Attribution in the language and hierarchy requested by the knowledge holders.</w:t>
      </w:r>
    </w:p>
    <w:p>
      <w:pPr>
        <w:pStyle w:val="ListBullet"/>
        <w:spacing w:after="80" w:line="283" w:lineRule="auto"/>
      </w:pPr>
      <w:r>
        <w:rPr>
          <w:rFonts w:ascii="Aptos" w:hAnsi="Aptos"/>
          <w:b w:val="0"/>
          <w:i w:val="0"/>
          <w:color w:val="222620"/>
          <w:sz w:val="21"/>
        </w:rPr>
        <w:t>Copies, translations and usable data returned to the community.</w:t>
      </w:r>
    </w:p>
    <w:p>
      <w:pPr>
        <w:pStyle w:val="ListBullet"/>
        <w:spacing w:after="80" w:line="283" w:lineRule="auto"/>
      </w:pPr>
      <w:r>
        <w:rPr>
          <w:rFonts w:ascii="Aptos" w:hAnsi="Aptos"/>
          <w:b w:val="0"/>
          <w:i w:val="0"/>
          <w:color w:val="222620"/>
          <w:sz w:val="21"/>
        </w:rPr>
        <w:t>Shared authorship, governance seats, paid review or research employment.</w:t>
      </w:r>
    </w:p>
    <w:p>
      <w:pPr>
        <w:pStyle w:val="ListBullet"/>
        <w:spacing w:after="80" w:line="283" w:lineRule="auto"/>
      </w:pPr>
      <w:r>
        <w:rPr>
          <w:rFonts w:ascii="Aptos" w:hAnsi="Aptos"/>
          <w:b w:val="0"/>
          <w:i w:val="0"/>
          <w:color w:val="222620"/>
          <w:sz w:val="21"/>
        </w:rPr>
        <w:t>Material benefits arising from grants, licensing, patents or commercial products.</w:t>
      </w:r>
    </w:p>
    <w:p>
      <w:pPr>
        <w:pStyle w:val="ListBullet"/>
        <w:spacing w:after="80" w:line="283" w:lineRule="auto"/>
      </w:pPr>
      <w:r>
        <w:rPr>
          <w:rFonts w:ascii="Aptos" w:hAnsi="Aptos"/>
          <w:b w:val="0"/>
          <w:i w:val="0"/>
          <w:color w:val="222620"/>
          <w:sz w:val="21"/>
        </w:rPr>
        <w:t>Conservation and cultivation support where increased attention could threaten a species.</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F4E5E2"/>
          </w:tcPr>
          <w:p>
            <w:pPr>
              <w:spacing w:after="40"/>
            </w:pPr>
            <w:r>
              <w:rPr>
                <w:rFonts w:ascii="Aptos" w:hAnsi="Aptos"/>
                <w:b/>
                <w:i w:val="0"/>
                <w:color w:val="8B3E35"/>
                <w:sz w:val="18"/>
              </w:rPr>
              <w:t xml:space="preserve">STOP RULE  </w:t>
            </w:r>
            <w:r>
              <w:rPr>
                <w:rFonts w:ascii="Aptos" w:hAnsi="Aptos"/>
                <w:b w:val="0"/>
                <w:i w:val="0"/>
                <w:color w:val="222620"/>
                <w:sz w:val="21"/>
              </w:rPr>
              <w:t>If a record cannot answer ‘Who has the authority to permit this circulation?’ it cannot progress beyond restricted intake.</w:t>
            </w:r>
          </w:p>
        </w:tc>
      </w:tr>
    </w:tbl>
    <w:p>
      <w:pPr>
        <w:spacing w:after="0"/>
      </w:pPr>
    </w:p>
    <w:p>
      <w:pPr>
        <w:pStyle w:val="Heading1"/>
        <w:keepNext/>
      </w:pPr>
      <w:r>
        <w:t>Book III — Cultural Fidelity</w:t>
      </w:r>
    </w:p>
    <w:p>
      <w:pPr>
        <w:pStyle w:val="Heading2"/>
        <w:keepNext/>
      </w:pPr>
      <w:r>
        <w:t>8. Name peoples precisely</w:t>
      </w:r>
    </w:p>
    <w:p>
      <w:pPr>
        <w:spacing w:after="120" w:line="293" w:lineRule="auto"/>
      </w:pPr>
      <w:r>
        <w:rPr>
          <w:rFonts w:ascii="Aptos" w:hAnsi="Aptos"/>
          <w:b w:val="0"/>
          <w:i w:val="0"/>
          <w:color w:val="222620"/>
          <w:sz w:val="21"/>
        </w:rPr>
        <w:t>Use the community’s current self-designation where known, retain historically used labels only as searchable source-language metadata, and record whether an ethnographer’s broad label collapses several peoples. Never silently modernize a quotation.</w:t>
      </w:r>
    </w:p>
    <w:p>
      <w:pPr>
        <w:pStyle w:val="Heading2"/>
        <w:keepNext/>
      </w:pPr>
      <w:r>
        <w:t>9. Preserve explanatory worlds</w:t>
      </w:r>
    </w:p>
    <w:p>
      <w:pPr>
        <w:spacing w:after="120" w:line="293" w:lineRule="auto"/>
      </w:pPr>
      <w:r>
        <w:rPr>
          <w:rFonts w:ascii="Aptos" w:hAnsi="Aptos"/>
          <w:b w:val="0"/>
          <w:i w:val="0"/>
          <w:color w:val="222620"/>
          <w:sz w:val="21"/>
        </w:rPr>
        <w:t>A humoral, ancestral, energetic, spiritual, ecological or biomedical explanation must be recorded in its own terms before any crosswalk is attempted. Translation fields may propose relationships; they may not replace the source concept.</w:t>
      </w:r>
    </w:p>
    <w:tbl>
      <w:tblPr>
        <w:tblStyle w:val="TableGrid"/>
        <w:tblW w:type="dxa" w:w="9360"/>
        <w:jc w:val="left"/>
        <w:tblLayout w:type="fixed"/>
        <w:tblLook w:firstColumn="1" w:firstRow="1" w:lastColumn="0" w:lastRow="0" w:noHBand="0" w:noVBand="1" w:val="04A0"/>
        <w:tblInd w:w="120" w:type="dxa"/>
      </w:tblPr>
      <w:tblGrid>
        <w:gridCol w:w="1800"/>
        <w:gridCol w:w="2880"/>
        <w:gridCol w:w="2880"/>
        <w:gridCol w:w="180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Source concept</w:t>
            </w:r>
          </w:p>
        </w:tc>
        <w:tc>
          <w:tcPr>
            <w:tcW w:type="dxa" w:w="2880"/>
            <w:shd w:fill="20352D"/>
            <w:tcMar>
              <w:top w:w="90" w:type="dxa"/>
              <w:start w:w="120" w:type="dxa"/>
              <w:bottom w:w="90" w:type="dxa"/>
              <w:end w:w="120" w:type="dxa"/>
            </w:tcMar>
            <w:vAlign w:val="center"/>
          </w:tcPr>
          <w:p>
            <w:r>
              <w:rPr>
                <w:rFonts w:ascii="Aptos" w:hAnsi="Aptos"/>
                <w:b/>
                <w:i w:val="0"/>
                <w:color w:val="FFFFFF"/>
                <w:sz w:val="18"/>
              </w:rPr>
              <w:t>Literal account</w:t>
            </w:r>
          </w:p>
        </w:tc>
        <w:tc>
          <w:tcPr>
            <w:tcW w:type="dxa" w:w="2880"/>
            <w:shd w:fill="20352D"/>
            <w:tcMar>
              <w:top w:w="90" w:type="dxa"/>
              <w:start w:w="120" w:type="dxa"/>
              <w:bottom w:w="90" w:type="dxa"/>
              <w:end w:w="120" w:type="dxa"/>
            </w:tcMar>
            <w:vAlign w:val="center"/>
          </w:tcPr>
          <w:p>
            <w:r>
              <w:rPr>
                <w:rFonts w:ascii="Aptos" w:hAnsi="Aptos"/>
                <w:b/>
                <w:i w:val="0"/>
                <w:color w:val="FFFFFF"/>
                <w:sz w:val="18"/>
              </w:rPr>
              <w:t>Analytical crosswalk</w:t>
            </w:r>
          </w:p>
        </w:tc>
        <w:tc>
          <w:tcPr>
            <w:tcW w:type="dxa" w:w="1800"/>
            <w:shd w:fill="20352D"/>
            <w:tcMar>
              <w:top w:w="90" w:type="dxa"/>
              <w:start w:w="120" w:type="dxa"/>
              <w:bottom w:w="90" w:type="dxa"/>
              <w:end w:w="120" w:type="dxa"/>
            </w:tcMar>
            <w:vAlign w:val="center"/>
          </w:tcPr>
          <w:p>
            <w:r>
              <w:rPr>
                <w:rFonts w:ascii="Aptos" w:hAnsi="Aptos"/>
                <w:b/>
                <w:i w:val="0"/>
                <w:color w:val="FFFFFF"/>
                <w:sz w:val="18"/>
              </w:rPr>
              <w:t>Rule</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Recorded verbatim</w:t>
            </w:r>
          </w:p>
        </w:tc>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Meaning supplied by custodian/source</w:t>
            </w:r>
          </w:p>
        </w:tc>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Optional biomedical or comparative interpretation</w:t>
            </w:r>
          </w:p>
        </w:tc>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Never overwrite source</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Untranslatable</w:t>
            </w:r>
          </w:p>
        </w:tc>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Marked as such with contextual note</w:t>
            </w:r>
          </w:p>
        </w:tc>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 forced equivalence</w:t>
            </w:r>
          </w:p>
        </w:tc>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Difference is data</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Contested</w:t>
            </w:r>
          </w:p>
        </w:tc>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Multiple authorized interpretations</w:t>
            </w:r>
          </w:p>
        </w:tc>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Parallel readings</w:t>
            </w:r>
          </w:p>
        </w:tc>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Do not select a winner</w:t>
            </w:r>
          </w:p>
        </w:tc>
      </w:tr>
    </w:tbl>
    <w:p>
      <w:pPr>
        <w:spacing w:after="20"/>
      </w:pPr>
    </w:p>
    <w:p>
      <w:pPr>
        <w:pStyle w:val="Heading2"/>
        <w:keepNext/>
      </w:pPr>
      <w:r>
        <w:t>10. Restricted knowledge classes</w:t>
      </w:r>
    </w:p>
    <w:p>
      <w:pPr>
        <w:pStyle w:val="ListBullet"/>
        <w:spacing w:after="80" w:line="283" w:lineRule="auto"/>
      </w:pPr>
      <w:r>
        <w:rPr>
          <w:rFonts w:ascii="Aptos" w:hAnsi="Aptos"/>
          <w:b w:val="0"/>
          <w:i w:val="0"/>
          <w:color w:val="222620"/>
          <w:sz w:val="21"/>
        </w:rPr>
        <w:t>Public</w:t>
      </w:r>
    </w:p>
    <w:p>
      <w:pPr>
        <w:pStyle w:val="ListBullet"/>
        <w:spacing w:after="80" w:line="283" w:lineRule="auto"/>
      </w:pPr>
      <w:r>
        <w:rPr>
          <w:rFonts w:ascii="Aptos" w:hAnsi="Aptos"/>
          <w:b w:val="0"/>
          <w:i w:val="0"/>
          <w:color w:val="222620"/>
          <w:sz w:val="21"/>
        </w:rPr>
        <w:t>Community-visible</w:t>
      </w:r>
    </w:p>
    <w:p>
      <w:pPr>
        <w:pStyle w:val="ListBullet"/>
        <w:spacing w:after="80" w:line="283" w:lineRule="auto"/>
      </w:pPr>
      <w:r>
        <w:rPr>
          <w:rFonts w:ascii="Aptos" w:hAnsi="Aptos"/>
          <w:b w:val="0"/>
          <w:i w:val="0"/>
          <w:color w:val="222620"/>
          <w:sz w:val="21"/>
        </w:rPr>
        <w:t>Research-visible under agreement</w:t>
      </w:r>
    </w:p>
    <w:p>
      <w:pPr>
        <w:pStyle w:val="ListBullet"/>
        <w:spacing w:after="80" w:line="283" w:lineRule="auto"/>
      </w:pPr>
      <w:r>
        <w:rPr>
          <w:rFonts w:ascii="Aptos" w:hAnsi="Aptos"/>
          <w:b w:val="0"/>
          <w:i w:val="0"/>
          <w:color w:val="222620"/>
          <w:sz w:val="21"/>
        </w:rPr>
        <w:t>Seasonal or ceremonial</w:t>
      </w:r>
    </w:p>
    <w:p>
      <w:pPr>
        <w:pStyle w:val="ListBullet"/>
        <w:spacing w:after="80" w:line="283" w:lineRule="auto"/>
      </w:pPr>
      <w:r>
        <w:rPr>
          <w:rFonts w:ascii="Aptos" w:hAnsi="Aptos"/>
          <w:b w:val="0"/>
          <w:i w:val="0"/>
          <w:color w:val="222620"/>
          <w:sz w:val="21"/>
        </w:rPr>
        <w:t>Gender/age/initiation restricted</w:t>
      </w:r>
    </w:p>
    <w:p>
      <w:pPr>
        <w:pStyle w:val="ListBullet"/>
        <w:spacing w:after="80" w:line="283" w:lineRule="auto"/>
      </w:pPr>
      <w:r>
        <w:rPr>
          <w:rFonts w:ascii="Aptos" w:hAnsi="Aptos"/>
          <w:b w:val="0"/>
          <w:i w:val="0"/>
          <w:color w:val="222620"/>
          <w:sz w:val="21"/>
        </w:rPr>
        <w:t>Sacred/secret</w:t>
      </w:r>
    </w:p>
    <w:p>
      <w:pPr>
        <w:pStyle w:val="ListBullet"/>
        <w:spacing w:after="80" w:line="283" w:lineRule="auto"/>
      </w:pPr>
      <w:r>
        <w:rPr>
          <w:rFonts w:ascii="Aptos" w:hAnsi="Aptos"/>
          <w:b w:val="0"/>
          <w:i w:val="0"/>
          <w:color w:val="222620"/>
          <w:sz w:val="21"/>
        </w:rPr>
        <w:t>Embargoed</w:t>
      </w:r>
    </w:p>
    <w:p>
      <w:pPr>
        <w:pStyle w:val="ListBullet"/>
        <w:spacing w:after="80" w:line="283" w:lineRule="auto"/>
      </w:pPr>
      <w:r>
        <w:rPr>
          <w:rFonts w:ascii="Aptos" w:hAnsi="Aptos"/>
          <w:b w:val="0"/>
          <w:i w:val="0"/>
          <w:color w:val="222620"/>
          <w:sz w:val="21"/>
        </w:rPr>
        <w:t>Withdrawn</w:t>
      </w:r>
    </w:p>
    <w:p>
      <w:pPr>
        <w:pStyle w:val="Heading1"/>
        <w:keepNext/>
      </w:pPr>
      <w:r>
        <w:t>Book IV — Taxonomy and Material Identity</w:t>
      </w:r>
    </w:p>
    <w:p>
      <w:pPr>
        <w:pStyle w:val="Heading2"/>
        <w:keepNext/>
      </w:pPr>
      <w:r>
        <w:t>11. Identity chain</w:t>
      </w:r>
    </w:p>
    <w:p>
      <w:pPr>
        <w:pStyle w:val="ListNumber"/>
        <w:spacing w:after="80" w:line="283" w:lineRule="auto"/>
      </w:pPr>
      <w:r>
        <w:rPr>
          <w:rFonts w:ascii="Aptos" w:hAnsi="Aptos"/>
          <w:b w:val="0"/>
          <w:i w:val="0"/>
          <w:color w:val="222620"/>
          <w:sz w:val="21"/>
        </w:rPr>
        <w:t>Record the vernacular name exactly, including language, dialect, tone or click notation where relevant.</w:t>
      </w:r>
    </w:p>
    <w:p>
      <w:pPr>
        <w:pStyle w:val="ListNumber"/>
        <w:spacing w:after="80" w:line="283" w:lineRule="auto"/>
      </w:pPr>
      <w:r>
        <w:rPr>
          <w:rFonts w:ascii="Aptos" w:hAnsi="Aptos"/>
          <w:b w:val="0"/>
          <w:i w:val="0"/>
          <w:color w:val="222620"/>
          <w:sz w:val="21"/>
        </w:rPr>
        <w:t>Record the collector’s proposed scientific identification and confidence.</w:t>
      </w:r>
    </w:p>
    <w:p>
      <w:pPr>
        <w:pStyle w:val="ListNumber"/>
        <w:spacing w:after="80" w:line="283" w:lineRule="auto"/>
      </w:pPr>
      <w:r>
        <w:rPr>
          <w:rFonts w:ascii="Aptos" w:hAnsi="Aptos"/>
          <w:b w:val="0"/>
          <w:i w:val="0"/>
          <w:color w:val="222620"/>
          <w:sz w:val="21"/>
        </w:rPr>
        <w:t>Resolve accepted name, author citation, family and synonyms against an authoritative taxonomic backbone.</w:t>
      </w:r>
    </w:p>
    <w:p>
      <w:pPr>
        <w:pStyle w:val="ListNumber"/>
        <w:spacing w:after="80" w:line="283" w:lineRule="auto"/>
      </w:pPr>
      <w:r>
        <w:rPr>
          <w:rFonts w:ascii="Aptos" w:hAnsi="Aptos"/>
          <w:b w:val="0"/>
          <w:i w:val="0"/>
          <w:color w:val="222620"/>
          <w:sz w:val="21"/>
        </w:rPr>
        <w:t>Link voucher specimen, herbarium, accession, photograph and geolocation at the permitted precision.</w:t>
      </w:r>
    </w:p>
    <w:p>
      <w:pPr>
        <w:pStyle w:val="ListNumber"/>
        <w:spacing w:after="80" w:line="283" w:lineRule="auto"/>
      </w:pPr>
      <w:r>
        <w:rPr>
          <w:rFonts w:ascii="Aptos" w:hAnsi="Aptos"/>
          <w:b w:val="0"/>
          <w:i w:val="0"/>
          <w:color w:val="222620"/>
          <w:sz w:val="21"/>
        </w:rPr>
        <w:t>Record plant part, developmental stage, condition and co-harvested material.</w:t>
      </w:r>
    </w:p>
    <w:p>
      <w:pPr>
        <w:pStyle w:val="ListNumber"/>
        <w:spacing w:after="80" w:line="283" w:lineRule="auto"/>
      </w:pPr>
      <w:r>
        <w:rPr>
          <w:rFonts w:ascii="Aptos" w:hAnsi="Aptos"/>
          <w:b w:val="0"/>
          <w:i w:val="0"/>
          <w:color w:val="222620"/>
          <w:sz w:val="21"/>
        </w:rPr>
        <w:t>Retain historical identity separately when a text cannot be mapped confidently to a modern taxon.</w:t>
      </w:r>
    </w:p>
    <w:p>
      <w:pPr>
        <w:pStyle w:val="Heading2"/>
        <w:keepNext/>
      </w:pPr>
      <w:r>
        <w:t>12. Identification confidence</w:t>
      </w:r>
    </w:p>
    <w:tbl>
      <w:tblPr>
        <w:tblStyle w:val="TableGrid"/>
        <w:tblW w:type="dxa" w:w="9360"/>
        <w:jc w:val="left"/>
        <w:tblLayout w:type="fixed"/>
        <w:tblLook w:firstColumn="1" w:firstRow="1" w:lastColumn="0" w:lastRow="0" w:noHBand="0" w:noVBand="1" w:val="04A0"/>
        <w:tblInd w:w="120" w:type="dxa"/>
      </w:tblPr>
      <w:tblGrid>
        <w:gridCol w:w="1080"/>
        <w:gridCol w:w="5760"/>
        <w:gridCol w:w="2520"/>
      </w:tblGrid>
      <w:tr>
        <w:trPr>
          <w:tblHeader w:val="true"/>
        </w:trPr>
        <w:tc>
          <w:tcPr>
            <w:tcW w:type="dxa" w:w="1080"/>
            <w:shd w:fill="20352D"/>
            <w:tcMar>
              <w:top w:w="90" w:type="dxa"/>
              <w:start w:w="120" w:type="dxa"/>
              <w:bottom w:w="90" w:type="dxa"/>
              <w:end w:w="120" w:type="dxa"/>
            </w:tcMar>
            <w:vAlign w:val="center"/>
          </w:tcPr>
          <w:p>
            <w:r>
              <w:rPr>
                <w:rFonts w:ascii="Aptos" w:hAnsi="Aptos"/>
                <w:b/>
                <w:i w:val="0"/>
                <w:color w:val="FFFFFF"/>
                <w:sz w:val="18"/>
              </w:rPr>
              <w:t>Code</w:t>
            </w:r>
          </w:p>
        </w:tc>
        <w:tc>
          <w:tcPr>
            <w:tcW w:type="dxa" w:w="5760"/>
            <w:shd w:fill="20352D"/>
            <w:tcMar>
              <w:top w:w="90" w:type="dxa"/>
              <w:start w:w="120" w:type="dxa"/>
              <w:bottom w:w="90" w:type="dxa"/>
              <w:end w:w="120" w:type="dxa"/>
            </w:tcMar>
            <w:vAlign w:val="center"/>
          </w:tcPr>
          <w:p>
            <w:r>
              <w:rPr>
                <w:rFonts w:ascii="Aptos" w:hAnsi="Aptos"/>
                <w:b/>
                <w:i w:val="0"/>
                <w:color w:val="FFFFFF"/>
                <w:sz w:val="18"/>
              </w:rPr>
              <w:t>Definition</w:t>
            </w:r>
          </w:p>
        </w:tc>
        <w:tc>
          <w:tcPr>
            <w:tcW w:type="dxa" w:w="2520"/>
            <w:shd w:fill="20352D"/>
            <w:tcMar>
              <w:top w:w="90" w:type="dxa"/>
              <w:start w:w="120" w:type="dxa"/>
              <w:bottom w:w="90" w:type="dxa"/>
              <w:end w:w="120" w:type="dxa"/>
            </w:tcMar>
            <w:vAlign w:val="center"/>
          </w:tcPr>
          <w:p>
            <w:r>
              <w:rPr>
                <w:rFonts w:ascii="Aptos" w:hAnsi="Aptos"/>
                <w:b/>
                <w:i w:val="0"/>
                <w:color w:val="FFFFFF"/>
                <w:sz w:val="18"/>
              </w:rPr>
              <w:t>Permitted inference</w:t>
            </w:r>
          </w:p>
        </w:tc>
      </w:tr>
      <w:tr>
        <w:tc>
          <w:tcPr>
            <w:tcW w:type="dxa" w:w="1080"/>
            <w:tcMar>
              <w:top w:w="90" w:type="dxa"/>
              <w:start w:w="120" w:type="dxa"/>
              <w:bottom w:w="90" w:type="dxa"/>
              <w:end w:w="120" w:type="dxa"/>
            </w:tcMar>
            <w:vAlign w:val="center"/>
          </w:tcPr>
          <w:p>
            <w:pPr>
              <w:spacing w:after="0" w:line="264" w:lineRule="auto"/>
            </w:pPr>
            <w:r>
              <w:rPr>
                <w:rFonts w:ascii="Aptos" w:hAnsi="Aptos"/>
                <w:b w:val="0"/>
                <w:i w:val="0"/>
                <w:color w:val="222620"/>
                <w:sz w:val="17"/>
              </w:rPr>
              <w:t>ID-4</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Voucher verified by qualified taxonomist or genomic authentication</w:t>
            </w:r>
          </w:p>
        </w:tc>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Species-level</w:t>
            </w:r>
          </w:p>
        </w:tc>
      </w:tr>
      <w:tr>
        <w:tc>
          <w:tcPr>
            <w:tcW w:type="dxa" w:w="10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ID-3</w:t>
            </w:r>
          </w:p>
        </w:tc>
        <w:tc>
          <w:tcPr>
            <w:tcW w:type="dxa" w:w="57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Diagnostic specimen/photo and expert identification</w:t>
            </w:r>
          </w:p>
        </w:tc>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Usually species-level</w:t>
            </w:r>
          </w:p>
        </w:tc>
      </w:tr>
      <w:tr>
        <w:tc>
          <w:tcPr>
            <w:tcW w:type="dxa" w:w="1080"/>
            <w:tcMar>
              <w:top w:w="90" w:type="dxa"/>
              <w:start w:w="120" w:type="dxa"/>
              <w:bottom w:w="90" w:type="dxa"/>
              <w:end w:w="120" w:type="dxa"/>
            </w:tcMar>
            <w:vAlign w:val="center"/>
          </w:tcPr>
          <w:p>
            <w:pPr>
              <w:spacing w:after="0" w:line="264" w:lineRule="auto"/>
            </w:pPr>
            <w:r>
              <w:rPr>
                <w:rFonts w:ascii="Aptos" w:hAnsi="Aptos"/>
                <w:b w:val="0"/>
                <w:i w:val="0"/>
                <w:color w:val="222620"/>
                <w:sz w:val="17"/>
              </w:rPr>
              <w:t>ID-2</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Strong vernacular/geographic match; no voucher</w:t>
            </w:r>
          </w:p>
        </w:tc>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Qualified species or genus</w:t>
            </w:r>
          </w:p>
        </w:tc>
      </w:tr>
      <w:tr>
        <w:tc>
          <w:tcPr>
            <w:tcW w:type="dxa" w:w="10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ID-1</w:t>
            </w:r>
          </w:p>
        </w:tc>
        <w:tc>
          <w:tcPr>
            <w:tcW w:type="dxa" w:w="57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Ambiguous historical/vernacular identity</w:t>
            </w:r>
          </w:p>
        </w:tc>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Genus/family or unresolved</w:t>
            </w:r>
          </w:p>
        </w:tc>
      </w:tr>
      <w:tr>
        <w:tc>
          <w:tcPr>
            <w:tcW w:type="dxa" w:w="1080"/>
            <w:tcMar>
              <w:top w:w="90" w:type="dxa"/>
              <w:start w:w="120" w:type="dxa"/>
              <w:bottom w:w="90" w:type="dxa"/>
              <w:end w:w="120" w:type="dxa"/>
            </w:tcMar>
            <w:vAlign w:val="center"/>
          </w:tcPr>
          <w:p>
            <w:pPr>
              <w:spacing w:after="0" w:line="264" w:lineRule="auto"/>
            </w:pPr>
            <w:r>
              <w:rPr>
                <w:rFonts w:ascii="Aptos" w:hAnsi="Aptos"/>
                <w:b w:val="0"/>
                <w:i w:val="0"/>
                <w:color w:val="222620"/>
                <w:sz w:val="17"/>
              </w:rPr>
              <w:t>ID-0</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No defensible biological identity</w:t>
            </w:r>
          </w:p>
        </w:tc>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No chemical or safety extrapolation</w:t>
            </w:r>
          </w:p>
        </w:tc>
      </w:tr>
    </w:tbl>
    <w:p>
      <w:pPr>
        <w:spacing w:after="20"/>
      </w:pP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F5F1E8"/>
          </w:tcPr>
          <w:p>
            <w:pPr>
              <w:spacing w:after="40"/>
            </w:pPr>
            <w:r>
              <w:rPr>
                <w:rFonts w:ascii="Aptos" w:hAnsi="Aptos"/>
                <w:b/>
                <w:i w:val="0"/>
                <w:color w:val="B18A3E"/>
                <w:sz w:val="18"/>
              </w:rPr>
              <w:t xml:space="preserve">ANTI-SUBSTITUTION RULE  </w:t>
            </w:r>
            <w:r>
              <w:rPr>
                <w:rFonts w:ascii="Aptos" w:hAnsi="Aptos"/>
                <w:b w:val="0"/>
                <w:i w:val="0"/>
                <w:color w:val="222620"/>
                <w:sz w:val="21"/>
              </w:rPr>
              <w:t>Evidence from bark extract, essential oil, resin, smoke and whole-plant decoction is not interchangeable—even when the species is identical.</w:t>
            </w:r>
          </w:p>
        </w:tc>
      </w:tr>
    </w:tbl>
    <w:p>
      <w:pPr>
        <w:spacing w:after="0"/>
      </w:pPr>
    </w:p>
    <w:p>
      <w:pPr>
        <w:pStyle w:val="Heading1"/>
        <w:keepNext/>
      </w:pPr>
      <w:r>
        <w:t>Book V — The Use-Report Record</w:t>
      </w:r>
    </w:p>
    <w:p>
      <w:pPr>
        <w:pStyle w:val="Heading2"/>
        <w:keepNext/>
      </w:pPr>
      <w:r>
        <w:t>13. Minimum viable ethnobotanical record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Domain</w:t>
            </w:r>
          </w:p>
        </w:tc>
        <w:tc>
          <w:tcPr>
            <w:tcW w:type="dxa" w:w="7560"/>
            <w:shd w:fill="20352D"/>
            <w:tcMar>
              <w:top w:w="90" w:type="dxa"/>
              <w:start w:w="120" w:type="dxa"/>
              <w:bottom w:w="90" w:type="dxa"/>
              <w:end w:w="120" w:type="dxa"/>
            </w:tcMar>
            <w:vAlign w:val="center"/>
          </w:tcPr>
          <w:p>
            <w:r>
              <w:rPr>
                <w:rFonts w:ascii="Aptos" w:hAnsi="Aptos"/>
                <w:b/>
                <w:i w:val="0"/>
                <w:color w:val="FFFFFF"/>
                <w:sz w:val="18"/>
              </w:rPr>
              <w:t>Required fields</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Authority</w:t>
            </w:r>
          </w:p>
        </w:tc>
        <w:tc>
          <w:tcPr>
            <w:tcW w:type="dxa" w:w="7560"/>
            <w:tcMar>
              <w:top w:w="90" w:type="dxa"/>
              <w:start w:w="120" w:type="dxa"/>
              <w:bottom w:w="90" w:type="dxa"/>
              <w:end w:w="120" w:type="dxa"/>
            </w:tcMar>
            <w:vAlign w:val="center"/>
          </w:tcPr>
          <w:p>
            <w:pPr>
              <w:spacing w:after="0" w:line="264" w:lineRule="auto"/>
            </w:pPr>
            <w:r>
              <w:rPr>
                <w:rFonts w:ascii="Aptos" w:hAnsi="Aptos"/>
                <w:b w:val="0"/>
                <w:i w:val="0"/>
                <w:color w:val="222620"/>
                <w:sz w:val="17"/>
              </w:rPr>
              <w:t>Knowledge holder; recorder; consent state; access class; requested attribution</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Place/time</w:t>
            </w:r>
          </w:p>
        </w:tc>
        <w:tc>
          <w:tcPr>
            <w:tcW w:type="dxa" w:w="75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Community-defined place; ecological region; collection/use date; historical period</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Identity</w:t>
            </w:r>
          </w:p>
        </w:tc>
        <w:tc>
          <w:tcPr>
            <w:tcW w:type="dxa" w:w="7560"/>
            <w:tcMar>
              <w:top w:w="90" w:type="dxa"/>
              <w:start w:w="120" w:type="dxa"/>
              <w:bottom w:w="90" w:type="dxa"/>
              <w:end w:w="120" w:type="dxa"/>
            </w:tcMar>
            <w:vAlign w:val="center"/>
          </w:tcPr>
          <w:p>
            <w:pPr>
              <w:spacing w:after="0" w:line="264" w:lineRule="auto"/>
            </w:pPr>
            <w:r>
              <w:rPr>
                <w:rFonts w:ascii="Aptos" w:hAnsi="Aptos"/>
                <w:b w:val="0"/>
                <w:i w:val="0"/>
                <w:color w:val="222620"/>
                <w:sz w:val="17"/>
              </w:rPr>
              <w:t>Vernacular name; language; scientific identification; confidence; voucher</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Material</w:t>
            </w:r>
          </w:p>
        </w:tc>
        <w:tc>
          <w:tcPr>
            <w:tcW w:type="dxa" w:w="75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Part; state; preparation class; route; dose fidelity; co-ingredients</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Purpose</w:t>
            </w:r>
          </w:p>
        </w:tc>
        <w:tc>
          <w:tcPr>
            <w:tcW w:type="dxa" w:w="7560"/>
            <w:tcMar>
              <w:top w:w="90" w:type="dxa"/>
              <w:start w:w="120" w:type="dxa"/>
              <w:bottom w:w="90" w:type="dxa"/>
              <w:end w:w="120" w:type="dxa"/>
            </w:tcMar>
            <w:vAlign w:val="center"/>
          </w:tcPr>
          <w:p>
            <w:pPr>
              <w:spacing w:after="0" w:line="264" w:lineRule="auto"/>
            </w:pPr>
            <w:r>
              <w:rPr>
                <w:rFonts w:ascii="Aptos" w:hAnsi="Aptos"/>
                <w:b w:val="0"/>
                <w:i w:val="0"/>
                <w:color w:val="222620"/>
                <w:sz w:val="17"/>
              </w:rPr>
              <w:t>Source-language indication; symptoms; preventive/curative/ritual role; recipient</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Outcome</w:t>
            </w:r>
          </w:p>
        </w:tc>
        <w:tc>
          <w:tcPr>
            <w:tcW w:type="dxa" w:w="75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Expected signs; observed response; time course; failure; adverse effects</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Transmission</w:t>
            </w:r>
          </w:p>
        </w:tc>
        <w:tc>
          <w:tcPr>
            <w:tcW w:type="dxa" w:w="7560"/>
            <w:tcMar>
              <w:top w:w="90" w:type="dxa"/>
              <w:start w:w="120" w:type="dxa"/>
              <w:bottom w:w="90" w:type="dxa"/>
              <w:end w:w="120" w:type="dxa"/>
            </w:tcMar>
            <w:vAlign w:val="center"/>
          </w:tcPr>
          <w:p>
            <w:pPr>
              <w:spacing w:after="0" w:line="264" w:lineRule="auto"/>
            </w:pPr>
            <w:r>
              <w:rPr>
                <w:rFonts w:ascii="Aptos" w:hAnsi="Aptos"/>
                <w:b w:val="0"/>
                <w:i w:val="0"/>
                <w:color w:val="222620"/>
                <w:sz w:val="17"/>
              </w:rPr>
              <w:t>Oral/textual/clinical lineage; source genre; independence from other reports</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Governance</w:t>
            </w:r>
          </w:p>
        </w:tc>
        <w:tc>
          <w:tcPr>
            <w:tcW w:type="dxa" w:w="75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Restrictions; benefit-sharing; review date; takedown contact</w:t>
            </w:r>
          </w:p>
        </w:tc>
      </w:tr>
    </w:tbl>
    <w:p>
      <w:pPr>
        <w:spacing w:after="20"/>
      </w:pPr>
    </w:p>
    <w:p>
      <w:pPr>
        <w:pStyle w:val="Heading2"/>
        <w:keepNext/>
      </w:pPr>
      <w:r>
        <w:t>14. Dose-fidelity scale</w:t>
      </w:r>
    </w:p>
    <w:tbl>
      <w:tblPr>
        <w:tblStyle w:val="TableGrid"/>
        <w:tblW w:type="dxa" w:w="9360"/>
        <w:jc w:val="left"/>
        <w:tblLayout w:type="fixed"/>
        <w:tblLook w:firstColumn="1" w:firstRow="1" w:lastColumn="0" w:lastRow="0" w:noHBand="0" w:noVBand="1" w:val="04A0"/>
        <w:tblInd w:w="120" w:type="dxa"/>
      </w:tblPr>
      <w:tblGrid>
        <w:gridCol w:w="1152"/>
        <w:gridCol w:w="8208"/>
      </w:tblGrid>
      <w:tr>
        <w:trPr>
          <w:tblHeader w:val="true"/>
        </w:trPr>
        <w:tc>
          <w:tcPr>
            <w:tcW w:type="dxa" w:w="1152"/>
            <w:shd w:fill="20352D"/>
            <w:tcMar>
              <w:top w:w="90" w:type="dxa"/>
              <w:start w:w="120" w:type="dxa"/>
              <w:bottom w:w="90" w:type="dxa"/>
              <w:end w:w="120" w:type="dxa"/>
            </w:tcMar>
            <w:vAlign w:val="center"/>
          </w:tcPr>
          <w:p>
            <w:r>
              <w:rPr>
                <w:rFonts w:ascii="Aptos" w:hAnsi="Aptos"/>
                <w:b/>
                <w:i w:val="0"/>
                <w:color w:val="FFFFFF"/>
                <w:sz w:val="18"/>
              </w:rPr>
              <w:t>Code</w:t>
            </w:r>
          </w:p>
        </w:tc>
        <w:tc>
          <w:tcPr>
            <w:tcW w:type="dxa" w:w="8208"/>
            <w:shd w:fill="20352D"/>
            <w:tcMar>
              <w:top w:w="90" w:type="dxa"/>
              <w:start w:w="120" w:type="dxa"/>
              <w:bottom w:w="90" w:type="dxa"/>
              <w:end w:w="120" w:type="dxa"/>
            </w:tcMar>
            <w:vAlign w:val="center"/>
          </w:tcPr>
          <w:p>
            <w:r>
              <w:rPr>
                <w:rFonts w:ascii="Aptos" w:hAnsi="Aptos"/>
                <w:b/>
                <w:i w:val="0"/>
                <w:color w:val="FFFFFF"/>
                <w:sz w:val="18"/>
              </w:rPr>
              <w:t>Record quality</w:t>
            </w:r>
          </w:p>
        </w:tc>
      </w:tr>
      <w:tr>
        <w:tc>
          <w:tcPr>
            <w:tcW w:type="dxa" w:w="1152"/>
            <w:tcMar>
              <w:top w:w="90" w:type="dxa"/>
              <w:start w:w="120" w:type="dxa"/>
              <w:bottom w:w="90" w:type="dxa"/>
              <w:end w:w="120" w:type="dxa"/>
            </w:tcMar>
            <w:vAlign w:val="center"/>
          </w:tcPr>
          <w:p>
            <w:pPr>
              <w:spacing w:after="0" w:line="264" w:lineRule="auto"/>
            </w:pPr>
            <w:r>
              <w:rPr>
                <w:rFonts w:ascii="Aptos" w:hAnsi="Aptos"/>
                <w:b w:val="0"/>
                <w:i w:val="0"/>
                <w:color w:val="222620"/>
                <w:sz w:val="17"/>
              </w:rPr>
              <w:t>D0</w:t>
            </w:r>
          </w:p>
        </w:tc>
        <w:tc>
          <w:tcPr>
            <w:tcW w:type="dxa" w:w="8208"/>
            <w:tcMar>
              <w:top w:w="90" w:type="dxa"/>
              <w:start w:w="120" w:type="dxa"/>
              <w:bottom w:w="90" w:type="dxa"/>
              <w:end w:w="120" w:type="dxa"/>
            </w:tcMar>
            <w:vAlign w:val="center"/>
          </w:tcPr>
          <w:p>
            <w:pPr>
              <w:spacing w:after="0" w:line="264" w:lineRule="auto"/>
            </w:pPr>
            <w:r>
              <w:rPr>
                <w:rFonts w:ascii="Aptos" w:hAnsi="Aptos"/>
                <w:b w:val="0"/>
                <w:i w:val="0"/>
                <w:color w:val="222620"/>
                <w:sz w:val="17"/>
              </w:rPr>
              <w:t>No quantity or frequency</w:t>
            </w:r>
          </w:p>
        </w:tc>
      </w:tr>
      <w:tr>
        <w:tc>
          <w:tcPr>
            <w:tcW w:type="dxa" w:w="115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D1</w:t>
            </w:r>
          </w:p>
        </w:tc>
        <w:tc>
          <w:tcPr>
            <w:tcW w:type="dxa" w:w="820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Qualitative amount only: pinch, handful, sip, body-length</w:t>
            </w:r>
          </w:p>
        </w:tc>
      </w:tr>
      <w:tr>
        <w:tc>
          <w:tcPr>
            <w:tcW w:type="dxa" w:w="1152"/>
            <w:tcMar>
              <w:top w:w="90" w:type="dxa"/>
              <w:start w:w="120" w:type="dxa"/>
              <w:bottom w:w="90" w:type="dxa"/>
              <w:end w:w="120" w:type="dxa"/>
            </w:tcMar>
            <w:vAlign w:val="center"/>
          </w:tcPr>
          <w:p>
            <w:pPr>
              <w:spacing w:after="0" w:line="264" w:lineRule="auto"/>
            </w:pPr>
            <w:r>
              <w:rPr>
                <w:rFonts w:ascii="Aptos" w:hAnsi="Aptos"/>
                <w:b w:val="0"/>
                <w:i w:val="0"/>
                <w:color w:val="222620"/>
                <w:sz w:val="17"/>
              </w:rPr>
              <w:t>D2</w:t>
            </w:r>
          </w:p>
        </w:tc>
        <w:tc>
          <w:tcPr>
            <w:tcW w:type="dxa" w:w="8208"/>
            <w:tcMar>
              <w:top w:w="90" w:type="dxa"/>
              <w:start w:w="120" w:type="dxa"/>
              <w:bottom w:w="90" w:type="dxa"/>
              <w:end w:w="120" w:type="dxa"/>
            </w:tcMar>
            <w:vAlign w:val="center"/>
          </w:tcPr>
          <w:p>
            <w:pPr>
              <w:spacing w:after="0" w:line="264" w:lineRule="auto"/>
            </w:pPr>
            <w:r>
              <w:rPr>
                <w:rFonts w:ascii="Aptos" w:hAnsi="Aptos"/>
                <w:b w:val="0"/>
                <w:i w:val="0"/>
                <w:color w:val="222620"/>
                <w:sz w:val="17"/>
              </w:rPr>
              <w:t>Local unit documented but not calibrated</w:t>
            </w:r>
          </w:p>
        </w:tc>
      </w:tr>
      <w:tr>
        <w:tc>
          <w:tcPr>
            <w:tcW w:type="dxa" w:w="115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D3</w:t>
            </w:r>
          </w:p>
        </w:tc>
        <w:tc>
          <w:tcPr>
            <w:tcW w:type="dxa" w:w="820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Approximate modern conversion possible</w:t>
            </w:r>
          </w:p>
        </w:tc>
      </w:tr>
      <w:tr>
        <w:tc>
          <w:tcPr>
            <w:tcW w:type="dxa" w:w="1152"/>
            <w:tcMar>
              <w:top w:w="90" w:type="dxa"/>
              <w:start w:w="120" w:type="dxa"/>
              <w:bottom w:w="90" w:type="dxa"/>
              <w:end w:w="120" w:type="dxa"/>
            </w:tcMar>
            <w:vAlign w:val="center"/>
          </w:tcPr>
          <w:p>
            <w:pPr>
              <w:spacing w:after="0" w:line="264" w:lineRule="auto"/>
            </w:pPr>
            <w:r>
              <w:rPr>
                <w:rFonts w:ascii="Aptos" w:hAnsi="Aptos"/>
                <w:b w:val="0"/>
                <w:i w:val="0"/>
                <w:color w:val="222620"/>
                <w:sz w:val="17"/>
              </w:rPr>
              <w:t>D4</w:t>
            </w:r>
          </w:p>
        </w:tc>
        <w:tc>
          <w:tcPr>
            <w:tcW w:type="dxa" w:w="8208"/>
            <w:tcMar>
              <w:top w:w="90" w:type="dxa"/>
              <w:start w:w="120" w:type="dxa"/>
              <w:bottom w:w="90" w:type="dxa"/>
              <w:end w:w="120" w:type="dxa"/>
            </w:tcMar>
            <w:vAlign w:val="center"/>
          </w:tcPr>
          <w:p>
            <w:pPr>
              <w:spacing w:after="0" w:line="264" w:lineRule="auto"/>
            </w:pPr>
            <w:r>
              <w:rPr>
                <w:rFonts w:ascii="Aptos" w:hAnsi="Aptos"/>
                <w:b w:val="0"/>
                <w:i w:val="0"/>
                <w:color w:val="222620"/>
                <w:sz w:val="17"/>
              </w:rPr>
              <w:t>Measured amount, frequency, duration and preparation yield</w:t>
            </w:r>
          </w:p>
        </w:tc>
      </w:tr>
    </w:tbl>
    <w:p>
      <w:pPr>
        <w:spacing w:after="20"/>
      </w:pPr>
    </w:p>
    <w:p>
      <w:pPr>
        <w:pStyle w:val="Heading2"/>
        <w:keepNext/>
      </w:pPr>
      <w:r>
        <w:t>15. Preparation ontology</w:t>
      </w:r>
    </w:p>
    <w:p>
      <w:pPr>
        <w:spacing w:after="120" w:line="293" w:lineRule="auto"/>
      </w:pPr>
      <w:r>
        <w:rPr>
          <w:rFonts w:ascii="Aptos" w:hAnsi="Aptos"/>
          <w:b w:val="0"/>
          <w:i w:val="0"/>
          <w:color w:val="222620"/>
          <w:sz w:val="21"/>
        </w:rPr>
        <w:t>Raw • dried • powdered • chewed • cold infusion • hot infusion • decoction • expressed juice • fermented • smoked/fumigated • steamed/bathed • poultice • salve • oil infusion • alcohol extract • ash/mineralized • compound formula • ceremonial handling • unknown.</w:t>
      </w:r>
    </w:p>
    <w:p>
      <w:pPr>
        <w:pStyle w:val="Heading1"/>
        <w:keepNext/>
      </w:pPr>
      <w:r>
        <w:t>Book VI — Sources and Transmission</w:t>
      </w:r>
    </w:p>
    <w:p>
      <w:pPr>
        <w:pStyle w:val="Heading2"/>
        <w:keepNext/>
      </w:pPr>
      <w:r>
        <w:t>16. Source classes</w:t>
      </w:r>
    </w:p>
    <w:tbl>
      <w:tblPr>
        <w:tblStyle w:val="TableGrid"/>
        <w:tblW w:type="dxa" w:w="9360"/>
        <w:jc w:val="left"/>
        <w:tblLayout w:type="fixed"/>
        <w:tblLook w:firstColumn="1" w:firstRow="1" w:lastColumn="0" w:lastRow="0" w:noHBand="0" w:noVBand="1" w:val="04A0"/>
        <w:tblInd w:w="120" w:type="dxa"/>
      </w:tblPr>
      <w:tblGrid>
        <w:gridCol w:w="1800"/>
        <w:gridCol w:w="4320"/>
        <w:gridCol w:w="324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Class</w:t>
            </w:r>
          </w:p>
        </w:tc>
        <w:tc>
          <w:tcPr>
            <w:tcW w:type="dxa" w:w="4320"/>
            <w:shd w:fill="20352D"/>
            <w:tcMar>
              <w:top w:w="90" w:type="dxa"/>
              <w:start w:w="120" w:type="dxa"/>
              <w:bottom w:w="90" w:type="dxa"/>
              <w:end w:w="120" w:type="dxa"/>
            </w:tcMar>
            <w:vAlign w:val="center"/>
          </w:tcPr>
          <w:p>
            <w:r>
              <w:rPr>
                <w:rFonts w:ascii="Aptos" w:hAnsi="Aptos"/>
                <w:b/>
                <w:i w:val="0"/>
                <w:color w:val="FFFFFF"/>
                <w:sz w:val="18"/>
              </w:rPr>
              <w:t>Examples</w:t>
            </w:r>
          </w:p>
        </w:tc>
        <w:tc>
          <w:tcPr>
            <w:tcW w:type="dxa" w:w="3240"/>
            <w:shd w:fill="20352D"/>
            <w:tcMar>
              <w:top w:w="90" w:type="dxa"/>
              <w:start w:w="120" w:type="dxa"/>
              <w:bottom w:w="90" w:type="dxa"/>
              <w:end w:w="120" w:type="dxa"/>
            </w:tcMar>
            <w:vAlign w:val="center"/>
          </w:tcPr>
          <w:p>
            <w:r>
              <w:rPr>
                <w:rFonts w:ascii="Aptos" w:hAnsi="Aptos"/>
                <w:b/>
                <w:i w:val="0"/>
                <w:color w:val="FFFFFF"/>
                <w:sz w:val="18"/>
              </w:rPr>
              <w:t>Primary risk</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Living authority</w:t>
            </w:r>
          </w:p>
        </w:tc>
        <w:tc>
          <w:tcPr>
            <w:tcW w:type="dxa" w:w="4320"/>
            <w:tcMar>
              <w:top w:w="90" w:type="dxa"/>
              <w:start w:w="120" w:type="dxa"/>
              <w:bottom w:w="90" w:type="dxa"/>
              <w:end w:w="120" w:type="dxa"/>
            </w:tcMar>
            <w:vAlign w:val="center"/>
          </w:tcPr>
          <w:p>
            <w:pPr>
              <w:spacing w:after="0" w:line="264" w:lineRule="auto"/>
            </w:pPr>
            <w:r>
              <w:rPr>
                <w:rFonts w:ascii="Aptos" w:hAnsi="Aptos"/>
                <w:b w:val="0"/>
                <w:i w:val="0"/>
                <w:color w:val="222620"/>
                <w:sz w:val="17"/>
              </w:rPr>
              <w:t>Community custodian, practitioner, patient, harvester</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Extraction, mistranslation, power imbalance</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Field ethnography</w:t>
            </w:r>
          </w:p>
        </w:tc>
        <w:tc>
          <w:tcPr>
            <w:tcW w:type="dxa" w:w="43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Interview notes, recordings, participant observation</w:t>
            </w:r>
          </w:p>
        </w:tc>
        <w:tc>
          <w:tcPr>
            <w:tcW w:type="dxa" w:w="32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Recorder bias; frozen historical label</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Classical materia medica</w:t>
            </w:r>
          </w:p>
        </w:tc>
        <w:tc>
          <w:tcPr>
            <w:tcW w:type="dxa" w:w="4320"/>
            <w:tcMar>
              <w:top w:w="90" w:type="dxa"/>
              <w:start w:w="120" w:type="dxa"/>
              <w:bottom w:w="90" w:type="dxa"/>
              <w:end w:w="120" w:type="dxa"/>
            </w:tcMar>
            <w:vAlign w:val="center"/>
          </w:tcPr>
          <w:p>
            <w:pPr>
              <w:spacing w:after="0" w:line="264" w:lineRule="auto"/>
            </w:pPr>
            <w:r>
              <w:rPr>
                <w:rFonts w:ascii="Aptos" w:hAnsi="Aptos"/>
                <w:b w:val="0"/>
                <w:i w:val="0"/>
                <w:color w:val="222620"/>
                <w:sz w:val="17"/>
              </w:rPr>
              <w:t>Dioscorides, Ayurveda, Chinese, Arabic-Persian, African manuscripts</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Taxonomic ambiguity; copyist layers</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Colonial record</w:t>
            </w:r>
          </w:p>
        </w:tc>
        <w:tc>
          <w:tcPr>
            <w:tcW w:type="dxa" w:w="43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Mission, military, settler and administrative texts</w:t>
            </w:r>
          </w:p>
        </w:tc>
        <w:tc>
          <w:tcPr>
            <w:tcW w:type="dxa" w:w="32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Racism, erasure, coercive collection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Archaeological</w:t>
            </w:r>
          </w:p>
        </w:tc>
        <w:tc>
          <w:tcPr>
            <w:tcW w:type="dxa" w:w="4320"/>
            <w:tcMar>
              <w:top w:w="90" w:type="dxa"/>
              <w:start w:w="120" w:type="dxa"/>
              <w:bottom w:w="90" w:type="dxa"/>
              <w:end w:w="120" w:type="dxa"/>
            </w:tcMar>
            <w:vAlign w:val="center"/>
          </w:tcPr>
          <w:p>
            <w:pPr>
              <w:spacing w:after="0" w:line="264" w:lineRule="auto"/>
            </w:pPr>
            <w:r>
              <w:rPr>
                <w:rFonts w:ascii="Aptos" w:hAnsi="Aptos"/>
                <w:b w:val="0"/>
                <w:i w:val="0"/>
                <w:color w:val="222620"/>
                <w:sz w:val="17"/>
              </w:rPr>
              <w:t>Residue, dental calculus, coprolite, vessel or pollen evidence</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Use and indication inferred indirectly</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Commercial</w:t>
            </w:r>
          </w:p>
        </w:tc>
        <w:tc>
          <w:tcPr>
            <w:tcW w:type="dxa" w:w="43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Labels, advertisements, formularies, trade catalogues</w:t>
            </w:r>
          </w:p>
        </w:tc>
        <w:tc>
          <w:tcPr>
            <w:tcW w:type="dxa" w:w="32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Marketing inflation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Biomedical</w:t>
            </w:r>
          </w:p>
        </w:tc>
        <w:tc>
          <w:tcPr>
            <w:tcW w:type="dxa" w:w="4320"/>
            <w:tcMar>
              <w:top w:w="90" w:type="dxa"/>
              <w:start w:w="120" w:type="dxa"/>
              <w:bottom w:w="90" w:type="dxa"/>
              <w:end w:w="120" w:type="dxa"/>
            </w:tcMar>
            <w:vAlign w:val="center"/>
          </w:tcPr>
          <w:p>
            <w:pPr>
              <w:spacing w:after="0" w:line="264" w:lineRule="auto"/>
            </w:pPr>
            <w:r>
              <w:rPr>
                <w:rFonts w:ascii="Aptos" w:hAnsi="Aptos"/>
                <w:b w:val="0"/>
                <w:i w:val="0"/>
                <w:color w:val="222620"/>
                <w:sz w:val="17"/>
              </w:rPr>
              <w:t>Case report, assay, animal model, trial, review</w:t>
            </w:r>
          </w:p>
        </w:tc>
        <w:tc>
          <w:tcPr>
            <w:tcW w:type="dxa" w:w="3240"/>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 mismatch; publication bias</w:t>
            </w:r>
          </w:p>
        </w:tc>
      </w:tr>
    </w:tbl>
    <w:p>
      <w:pPr>
        <w:spacing w:after="20"/>
      </w:pPr>
    </w:p>
    <w:p>
      <w:pPr>
        <w:pStyle w:val="Heading2"/>
        <w:keepNext/>
      </w:pPr>
      <w:r>
        <w:t>17. Independence test</w:t>
      </w:r>
    </w:p>
    <w:p>
      <w:pPr>
        <w:spacing w:after="120" w:line="293" w:lineRule="auto"/>
      </w:pPr>
      <w:r>
        <w:rPr>
          <w:rFonts w:ascii="Aptos" w:hAnsi="Aptos"/>
          <w:b w:val="0"/>
          <w:i w:val="0"/>
          <w:color w:val="222620"/>
          <w:sz w:val="21"/>
        </w:rPr>
        <w:t>Ten websites quoting one ethnobotanical database equal one lineage, not ten confirmations. Every use report carries a transmission-parent field. Apparent cross-cultural convergence is counted only after likely copying, trade diffusion and shared textual ancestry are considered.</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20352D"/>
            <w:tcMar>
              <w:top w:w="90" w:type="dxa"/>
              <w:start w:w="120" w:type="dxa"/>
              <w:bottom w:w="90" w:type="dxa"/>
              <w:end w:w="120" w:type="dxa"/>
            </w:tcMar>
            <w:vAlign w:val="center"/>
          </w:tcPr>
          <w:p>
            <w:r>
              <w:rPr>
                <w:rFonts w:ascii="Aptos" w:hAnsi="Aptos"/>
                <w:b/>
                <w:i w:val="0"/>
                <w:color w:val="FFFFFF"/>
                <w:sz w:val="18"/>
              </w:rPr>
              <w:t>Status</w:t>
            </w:r>
          </w:p>
        </w:tc>
        <w:tc>
          <w:tcPr>
            <w:tcW w:type="dxa" w:w="7344"/>
            <w:shd w:fill="20352D"/>
            <w:tcMar>
              <w:top w:w="90" w:type="dxa"/>
              <w:start w:w="120" w:type="dxa"/>
              <w:bottom w:w="90" w:type="dxa"/>
              <w:end w:w="120" w:type="dxa"/>
            </w:tcMar>
            <w:vAlign w:val="center"/>
          </w:tcPr>
          <w:p>
            <w:r>
              <w:rPr>
                <w:rFonts w:ascii="Aptos" w:hAnsi="Aptos"/>
                <w:b/>
                <w:i w:val="0"/>
                <w:color w:val="FFFFFF"/>
                <w:sz w:val="18"/>
              </w:rPr>
              <w:t>Criterion</w:t>
            </w:r>
          </w:p>
        </w:tc>
      </w:tr>
      <w:tr>
        <w:tc>
          <w:tcPr>
            <w:tcW w:type="dxa" w:w="2016"/>
            <w:tcMar>
              <w:top w:w="90" w:type="dxa"/>
              <w:start w:w="120" w:type="dxa"/>
              <w:bottom w:w="90" w:type="dxa"/>
              <w:end w:w="120" w:type="dxa"/>
            </w:tcMar>
            <w:vAlign w:val="center"/>
          </w:tcPr>
          <w:p>
            <w:pPr>
              <w:spacing w:after="0" w:line="264" w:lineRule="auto"/>
            </w:pPr>
            <w:r>
              <w:rPr>
                <w:rFonts w:ascii="Aptos" w:hAnsi="Aptos"/>
                <w:b w:val="0"/>
                <w:i w:val="0"/>
                <w:color w:val="222620"/>
                <w:sz w:val="17"/>
              </w:rPr>
              <w:t>Independent</w:t>
            </w:r>
          </w:p>
        </w:tc>
        <w:tc>
          <w:tcPr>
            <w:tcW w:type="dxa" w:w="7344"/>
            <w:tcMar>
              <w:top w:w="90" w:type="dxa"/>
              <w:start w:w="120" w:type="dxa"/>
              <w:bottom w:w="90" w:type="dxa"/>
              <w:end w:w="120" w:type="dxa"/>
            </w:tcMar>
            <w:vAlign w:val="center"/>
          </w:tcPr>
          <w:p>
            <w:pPr>
              <w:spacing w:after="0" w:line="264" w:lineRule="auto"/>
            </w:pPr>
            <w:r>
              <w:rPr>
                <w:rFonts w:ascii="Aptos" w:hAnsi="Aptos"/>
                <w:b w:val="0"/>
                <w:i w:val="0"/>
                <w:color w:val="222620"/>
                <w:sz w:val="17"/>
              </w:rPr>
              <w:t>No identifiable shared source or transmission route</w:t>
            </w:r>
          </w:p>
        </w:tc>
      </w:tr>
      <w:tr>
        <w:tc>
          <w:tcPr>
            <w:tcW w:type="dxa" w:w="20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Possibly independent</w:t>
            </w:r>
          </w:p>
        </w:tc>
        <w:tc>
          <w:tcPr>
            <w:tcW w:type="dxa" w:w="73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 citation link, but contact/diffusion plausible</w:t>
            </w:r>
          </w:p>
        </w:tc>
      </w:tr>
      <w:tr>
        <w:tc>
          <w:tcPr>
            <w:tcW w:type="dxa" w:w="2016"/>
            <w:tcMar>
              <w:top w:w="90" w:type="dxa"/>
              <w:start w:w="120" w:type="dxa"/>
              <w:bottom w:w="90" w:type="dxa"/>
              <w:end w:w="120" w:type="dxa"/>
            </w:tcMar>
            <w:vAlign w:val="center"/>
          </w:tcPr>
          <w:p>
            <w:pPr>
              <w:spacing w:after="0" w:line="264" w:lineRule="auto"/>
            </w:pPr>
            <w:r>
              <w:rPr>
                <w:rFonts w:ascii="Aptos" w:hAnsi="Aptos"/>
                <w:b w:val="0"/>
                <w:i w:val="0"/>
                <w:color w:val="222620"/>
                <w:sz w:val="17"/>
              </w:rPr>
              <w:t>Derived</w:t>
            </w:r>
          </w:p>
        </w:tc>
        <w:tc>
          <w:tcPr>
            <w:tcW w:type="dxa" w:w="7344"/>
            <w:tcMar>
              <w:top w:w="90" w:type="dxa"/>
              <w:start w:w="120" w:type="dxa"/>
              <w:bottom w:w="90" w:type="dxa"/>
              <w:end w:w="120" w:type="dxa"/>
            </w:tcMar>
            <w:vAlign w:val="center"/>
          </w:tcPr>
          <w:p>
            <w:pPr>
              <w:spacing w:after="0" w:line="264" w:lineRule="auto"/>
            </w:pPr>
            <w:r>
              <w:rPr>
                <w:rFonts w:ascii="Aptos" w:hAnsi="Aptos"/>
                <w:b w:val="0"/>
                <w:i w:val="0"/>
                <w:color w:val="222620"/>
                <w:sz w:val="17"/>
              </w:rPr>
              <w:t>Direct citation, translation, paraphrase or product-copy lineage</w:t>
            </w:r>
          </w:p>
        </w:tc>
      </w:tr>
      <w:tr>
        <w:tc>
          <w:tcPr>
            <w:tcW w:type="dxa" w:w="20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Unknown</w:t>
            </w:r>
          </w:p>
        </w:tc>
        <w:tc>
          <w:tcPr>
            <w:tcW w:type="dxa" w:w="73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Insufficient provenance</w:t>
            </w:r>
          </w:p>
        </w:tc>
      </w:tr>
    </w:tbl>
    <w:p>
      <w:pPr>
        <w:spacing w:after="20"/>
      </w:pPr>
    </w:p>
    <w:p>
      <w:pPr>
        <w:pStyle w:val="Heading1"/>
        <w:keepNext/>
      </w:pPr>
      <w:r>
        <w:t>Book VII — Evidence Architecture</w:t>
      </w:r>
    </w:p>
    <w:p>
      <w:pPr>
        <w:pStyle w:val="Heading2"/>
        <w:keepNext/>
      </w:pPr>
      <w:r>
        <w:t>18. Six axes—not one ladder</w:t>
      </w:r>
    </w:p>
    <w:tbl>
      <w:tblPr>
        <w:tblStyle w:val="TableGrid"/>
        <w:tblW w:type="dxa" w:w="9360"/>
        <w:jc w:val="left"/>
        <w:tblLayout w:type="fixed"/>
        <w:tblLook w:firstColumn="1" w:firstRow="1" w:lastColumn="0" w:lastRow="0" w:noHBand="0" w:noVBand="1" w:val="04A0"/>
        <w:tblInd w:w="120" w:type="dxa"/>
      </w:tblPr>
      <w:tblGrid>
        <w:gridCol w:w="2232"/>
        <w:gridCol w:w="5904"/>
        <w:gridCol w:w="1224"/>
      </w:tblGrid>
      <w:tr>
        <w:trPr>
          <w:tblHeader w:val="true"/>
        </w:trPr>
        <w:tc>
          <w:tcPr>
            <w:tcW w:type="dxa" w:w="2232"/>
            <w:shd w:fill="20352D"/>
            <w:tcMar>
              <w:top w:w="90" w:type="dxa"/>
              <w:start w:w="120" w:type="dxa"/>
              <w:bottom w:w="90" w:type="dxa"/>
              <w:end w:w="120" w:type="dxa"/>
            </w:tcMar>
            <w:vAlign w:val="center"/>
          </w:tcPr>
          <w:p>
            <w:r>
              <w:rPr>
                <w:rFonts w:ascii="Aptos" w:hAnsi="Aptos"/>
                <w:b/>
                <w:i w:val="0"/>
                <w:color w:val="FFFFFF"/>
                <w:sz w:val="18"/>
              </w:rPr>
              <w:t>Axis</w:t>
            </w:r>
          </w:p>
        </w:tc>
        <w:tc>
          <w:tcPr>
            <w:tcW w:type="dxa" w:w="5904"/>
            <w:shd w:fill="20352D"/>
            <w:tcMar>
              <w:top w:w="90" w:type="dxa"/>
              <w:start w:w="120" w:type="dxa"/>
              <w:bottom w:w="90" w:type="dxa"/>
              <w:end w:w="120" w:type="dxa"/>
            </w:tcMar>
            <w:vAlign w:val="center"/>
          </w:tcPr>
          <w:p>
            <w:r>
              <w:rPr>
                <w:rFonts w:ascii="Aptos" w:hAnsi="Aptos"/>
                <w:b/>
                <w:i w:val="0"/>
                <w:color w:val="FFFFFF"/>
                <w:sz w:val="18"/>
              </w:rPr>
              <w:t>Question</w:t>
            </w:r>
          </w:p>
        </w:tc>
        <w:tc>
          <w:tcPr>
            <w:tcW w:type="dxa" w:w="1224"/>
            <w:shd w:fill="20352D"/>
            <w:tcMar>
              <w:top w:w="90" w:type="dxa"/>
              <w:start w:w="120" w:type="dxa"/>
              <w:bottom w:w="90" w:type="dxa"/>
              <w:end w:w="120" w:type="dxa"/>
            </w:tcMar>
            <w:vAlign w:val="center"/>
          </w:tcPr>
          <w:p>
            <w:r>
              <w:rPr>
                <w:rFonts w:ascii="Aptos" w:hAnsi="Aptos"/>
                <w:b/>
                <w:i w:val="0"/>
                <w:color w:val="FFFFFF"/>
                <w:sz w:val="18"/>
              </w:rPr>
              <w:t>Score</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Cultural authenticity</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Is this practice represented faithfully and with authority?</w:t>
            </w:r>
          </w:p>
        </w:tc>
        <w:tc>
          <w:tcPr>
            <w:tcW w:type="dxa" w:w="122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Source integrity</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Can the report be traced, dated and interpreted?</w:t>
            </w:r>
          </w:p>
        </w:tc>
        <w:tc>
          <w:tcPr>
            <w:tcW w:type="dxa" w:w="122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Material identity</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Do we know the organism, part and preparation?</w:t>
            </w:r>
          </w:p>
        </w:tc>
        <w:tc>
          <w:tcPr>
            <w:tcW w:type="dxa" w:w="122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Cross-cultural replication</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How many independent traditions report a comparable use?</w:t>
            </w:r>
          </w:p>
        </w:tc>
        <w:tc>
          <w:tcPr>
            <w:tcW w:type="dxa" w:w="122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Biological plausibility</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Do chemistry and experimental models support a mechanism?</w:t>
            </w:r>
          </w:p>
        </w:tc>
        <w:tc>
          <w:tcPr>
            <w:tcW w:type="dxa" w:w="122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Clinical evidence</w:t>
            </w:r>
          </w:p>
        </w:tc>
        <w:tc>
          <w:tcPr>
            <w:tcW w:type="dxa" w:w="59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What happens in appropriately matched human use?</w:t>
            </w:r>
          </w:p>
        </w:tc>
        <w:tc>
          <w:tcPr>
            <w:tcW w:type="dxa" w:w="122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Safety certainty</w:t>
            </w:r>
          </w:p>
        </w:tc>
        <w:tc>
          <w:tcPr>
            <w:tcW w:type="dxa" w:w="5904"/>
            <w:tcMar>
              <w:top w:w="90" w:type="dxa"/>
              <w:start w:w="120" w:type="dxa"/>
              <w:bottom w:w="90" w:type="dxa"/>
              <w:end w:w="120" w:type="dxa"/>
            </w:tcMar>
            <w:vAlign w:val="center"/>
          </w:tcPr>
          <w:p>
            <w:pPr>
              <w:spacing w:after="0" w:line="264" w:lineRule="auto"/>
            </w:pPr>
            <w:r>
              <w:rPr>
                <w:rFonts w:ascii="Aptos" w:hAnsi="Aptos"/>
                <w:b w:val="0"/>
                <w:i w:val="0"/>
                <w:color w:val="222620"/>
                <w:sz w:val="17"/>
              </w:rPr>
              <w:t>Can harms, interactions and vulnerable groups be characterized?</w:t>
            </w:r>
          </w:p>
        </w:tc>
        <w:tc>
          <w:tcPr>
            <w:tcW w:type="dxa" w:w="1224"/>
            <w:tcMar>
              <w:top w:w="90" w:type="dxa"/>
              <w:start w:w="120" w:type="dxa"/>
              <w:bottom w:w="90" w:type="dxa"/>
              <w:end w:w="120" w:type="dxa"/>
            </w:tcMar>
            <w:vAlign w:val="center"/>
          </w:tcPr>
          <w:p>
            <w:pPr>
              <w:spacing w:after="0" w:line="264" w:lineRule="auto"/>
            </w:pPr>
            <w:r>
              <w:rPr>
                <w:rFonts w:ascii="Aptos" w:hAnsi="Aptos"/>
                <w:b w:val="0"/>
                <w:i w:val="0"/>
                <w:color w:val="222620"/>
                <w:sz w:val="17"/>
              </w:rPr>
              <w:t>0–4</w:t>
            </w:r>
          </w:p>
        </w:tc>
      </w:tr>
    </w:tbl>
    <w:p>
      <w:pPr>
        <w:spacing w:after="20"/>
      </w:pPr>
    </w:p>
    <w:p>
      <w:pPr>
        <w:pStyle w:val="Heading2"/>
        <w:keepNext/>
      </w:pPr>
      <w:r>
        <w:t>19. Interpretation bands</w:t>
      </w:r>
    </w:p>
    <w:tbl>
      <w:tblPr>
        <w:tblStyle w:val="TableGrid"/>
        <w:tblW w:type="dxa" w:w="9360"/>
        <w:jc w:val="left"/>
        <w:tblLayout w:type="fixed"/>
        <w:tblLook w:firstColumn="1" w:firstRow="1" w:lastColumn="0" w:lastRow="0" w:noHBand="0" w:noVBand="1" w:val="04A0"/>
        <w:tblInd w:w="120" w:type="dxa"/>
      </w:tblPr>
      <w:tblGrid>
        <w:gridCol w:w="936"/>
        <w:gridCol w:w="5760"/>
        <w:gridCol w:w="2664"/>
      </w:tblGrid>
      <w:tr>
        <w:trPr>
          <w:tblHeader w:val="true"/>
        </w:trPr>
        <w:tc>
          <w:tcPr>
            <w:tcW w:type="dxa" w:w="936"/>
            <w:shd w:fill="20352D"/>
            <w:tcMar>
              <w:top w:w="90" w:type="dxa"/>
              <w:start w:w="120" w:type="dxa"/>
              <w:bottom w:w="90" w:type="dxa"/>
              <w:end w:w="120" w:type="dxa"/>
            </w:tcMar>
            <w:vAlign w:val="center"/>
          </w:tcPr>
          <w:p>
            <w:r>
              <w:rPr>
                <w:rFonts w:ascii="Aptos" w:hAnsi="Aptos"/>
                <w:b/>
                <w:i w:val="0"/>
                <w:color w:val="FFFFFF"/>
                <w:sz w:val="18"/>
              </w:rPr>
              <w:t>Band</w:t>
            </w:r>
          </w:p>
        </w:tc>
        <w:tc>
          <w:tcPr>
            <w:tcW w:type="dxa" w:w="5760"/>
            <w:shd w:fill="20352D"/>
            <w:tcMar>
              <w:top w:w="90" w:type="dxa"/>
              <w:start w:w="120" w:type="dxa"/>
              <w:bottom w:w="90" w:type="dxa"/>
              <w:end w:w="120" w:type="dxa"/>
            </w:tcMar>
            <w:vAlign w:val="center"/>
          </w:tcPr>
          <w:p>
            <w:r>
              <w:rPr>
                <w:rFonts w:ascii="Aptos" w:hAnsi="Aptos"/>
                <w:b/>
                <w:i w:val="0"/>
                <w:color w:val="FFFFFF"/>
                <w:sz w:val="18"/>
              </w:rPr>
              <w:t>Meaning</w:t>
            </w:r>
          </w:p>
        </w:tc>
        <w:tc>
          <w:tcPr>
            <w:tcW w:type="dxa" w:w="2664"/>
            <w:shd w:fill="20352D"/>
            <w:tcMar>
              <w:top w:w="90" w:type="dxa"/>
              <w:start w:w="120" w:type="dxa"/>
              <w:bottom w:w="90" w:type="dxa"/>
              <w:end w:w="120" w:type="dxa"/>
            </w:tcMar>
            <w:vAlign w:val="center"/>
          </w:tcPr>
          <w:p>
            <w:r>
              <w:rPr>
                <w:rFonts w:ascii="Aptos" w:hAnsi="Aptos"/>
                <w:b/>
                <w:i w:val="0"/>
                <w:color w:val="FFFFFF"/>
                <w:sz w:val="18"/>
              </w:rPr>
              <w:t>Editorial wording</w:t>
            </w:r>
          </w:p>
        </w:tc>
      </w:tr>
      <w:tr>
        <w:tc>
          <w:tcPr>
            <w:tcW w:type="dxa" w:w="936"/>
            <w:tcMar>
              <w:top w:w="90" w:type="dxa"/>
              <w:start w:w="120" w:type="dxa"/>
              <w:bottom w:w="90" w:type="dxa"/>
              <w:end w:w="120" w:type="dxa"/>
            </w:tcMar>
            <w:vAlign w:val="center"/>
          </w:tcPr>
          <w:p>
            <w:pPr>
              <w:spacing w:after="0" w:line="264" w:lineRule="auto"/>
            </w:pPr>
            <w:r>
              <w:rPr>
                <w:rFonts w:ascii="Aptos" w:hAnsi="Aptos"/>
                <w:b w:val="0"/>
                <w:i w:val="0"/>
                <w:color w:val="222620"/>
                <w:sz w:val="17"/>
              </w:rPr>
              <w:t>A</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Replicated, preparation-matched human evidence with characterized safety</w:t>
            </w:r>
          </w:p>
        </w:tc>
        <w:tc>
          <w:tcPr>
            <w:tcW w:type="dxa" w:w="2664"/>
            <w:tcMar>
              <w:top w:w="90" w:type="dxa"/>
              <w:start w:w="120" w:type="dxa"/>
              <w:bottom w:w="90" w:type="dxa"/>
              <w:end w:w="120" w:type="dxa"/>
            </w:tcMar>
            <w:vAlign w:val="center"/>
          </w:tcPr>
          <w:p>
            <w:pPr>
              <w:spacing w:after="0" w:line="264" w:lineRule="auto"/>
            </w:pPr>
            <w:r>
              <w:rPr>
                <w:rFonts w:ascii="Aptos" w:hAnsi="Aptos"/>
                <w:b w:val="0"/>
                <w:i w:val="0"/>
                <w:color w:val="222620"/>
                <w:sz w:val="17"/>
              </w:rPr>
              <w:t>‘Evidence supports…’</w:t>
            </w:r>
          </w:p>
        </w:tc>
      </w:tr>
      <w:tr>
        <w:tc>
          <w:tcPr>
            <w:tcW w:type="dxa" w:w="93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w:t>
            </w:r>
          </w:p>
        </w:tc>
        <w:tc>
          <w:tcPr>
            <w:tcW w:type="dxa" w:w="57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Promising human evidence with important limitations</w:t>
            </w:r>
          </w:p>
        </w:tc>
        <w:tc>
          <w:tcPr>
            <w:tcW w:type="dxa" w:w="26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‘May…; evidence remains limited’</w:t>
            </w:r>
          </w:p>
        </w:tc>
      </w:tr>
      <w:tr>
        <w:tc>
          <w:tcPr>
            <w:tcW w:type="dxa" w:w="936"/>
            <w:tcMar>
              <w:top w:w="90" w:type="dxa"/>
              <w:start w:w="120" w:type="dxa"/>
              <w:bottom w:w="90" w:type="dxa"/>
              <w:end w:w="120" w:type="dxa"/>
            </w:tcMar>
            <w:vAlign w:val="center"/>
          </w:tcPr>
          <w:p>
            <w:pPr>
              <w:spacing w:after="0" w:line="264" w:lineRule="auto"/>
            </w:pPr>
            <w:r>
              <w:rPr>
                <w:rFonts w:ascii="Aptos" w:hAnsi="Aptos"/>
                <w:b w:val="0"/>
                <w:i w:val="0"/>
                <w:color w:val="222620"/>
                <w:sz w:val="17"/>
              </w:rPr>
              <w:t>C</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Convergent tradition plus plausible experimental support</w:t>
            </w:r>
          </w:p>
        </w:tc>
        <w:tc>
          <w:tcPr>
            <w:tcW w:type="dxa" w:w="2664"/>
            <w:tcMar>
              <w:top w:w="90" w:type="dxa"/>
              <w:start w:w="120" w:type="dxa"/>
              <w:bottom w:w="90" w:type="dxa"/>
              <w:end w:w="120" w:type="dxa"/>
            </w:tcMar>
            <w:vAlign w:val="center"/>
          </w:tcPr>
          <w:p>
            <w:pPr>
              <w:spacing w:after="0" w:line="264" w:lineRule="auto"/>
            </w:pPr>
            <w:r>
              <w:rPr>
                <w:rFonts w:ascii="Aptos" w:hAnsi="Aptos"/>
                <w:b w:val="0"/>
                <w:i w:val="0"/>
                <w:color w:val="222620"/>
                <w:sz w:val="17"/>
              </w:rPr>
              <w:t>‘Traditionally used; biologically plausible; unconfirmed clinically’</w:t>
            </w:r>
          </w:p>
        </w:tc>
      </w:tr>
      <w:tr>
        <w:tc>
          <w:tcPr>
            <w:tcW w:type="dxa" w:w="93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w:t>
            </w:r>
          </w:p>
        </w:tc>
        <w:tc>
          <w:tcPr>
            <w:tcW w:type="dxa" w:w="57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Authentic use report without adequate experimental or human evidence</w:t>
            </w:r>
          </w:p>
        </w:tc>
        <w:tc>
          <w:tcPr>
            <w:tcW w:type="dxa" w:w="26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‘Recorded as a traditional use’</w:t>
            </w:r>
          </w:p>
        </w:tc>
      </w:tr>
      <w:tr>
        <w:tc>
          <w:tcPr>
            <w:tcW w:type="dxa" w:w="936"/>
            <w:tcMar>
              <w:top w:w="90" w:type="dxa"/>
              <w:start w:w="120" w:type="dxa"/>
              <w:bottom w:w="90" w:type="dxa"/>
              <w:end w:w="120" w:type="dxa"/>
            </w:tcMar>
            <w:vAlign w:val="center"/>
          </w:tcPr>
          <w:p>
            <w:pPr>
              <w:spacing w:after="0" w:line="264" w:lineRule="auto"/>
            </w:pPr>
            <w:r>
              <w:rPr>
                <w:rFonts w:ascii="Aptos" w:hAnsi="Aptos"/>
                <w:b w:val="0"/>
                <w:i w:val="0"/>
                <w:color w:val="222620"/>
                <w:sz w:val="17"/>
              </w:rPr>
              <w:t>E</w:t>
            </w:r>
          </w:p>
        </w:tc>
        <w:tc>
          <w:tcPr>
            <w:tcW w:type="dxa" w:w="5760"/>
            <w:tcMar>
              <w:top w:w="90" w:type="dxa"/>
              <w:start w:w="120" w:type="dxa"/>
              <w:bottom w:w="90" w:type="dxa"/>
              <w:end w:w="120" w:type="dxa"/>
            </w:tcMar>
            <w:vAlign w:val="center"/>
          </w:tcPr>
          <w:p>
            <w:pPr>
              <w:spacing w:after="0" w:line="264" w:lineRule="auto"/>
            </w:pPr>
            <w:r>
              <w:rPr>
                <w:rFonts w:ascii="Aptos" w:hAnsi="Aptos"/>
                <w:b w:val="0"/>
                <w:i w:val="0"/>
                <w:color w:val="222620"/>
                <w:sz w:val="17"/>
              </w:rPr>
              <w:t>Ambiguous, derived, mismatched or contradicted claim</w:t>
            </w:r>
          </w:p>
        </w:tc>
        <w:tc>
          <w:tcPr>
            <w:tcW w:type="dxa" w:w="2664"/>
            <w:tcMar>
              <w:top w:w="90" w:type="dxa"/>
              <w:start w:w="120" w:type="dxa"/>
              <w:bottom w:w="90" w:type="dxa"/>
              <w:end w:w="120" w:type="dxa"/>
            </w:tcMar>
            <w:vAlign w:val="center"/>
          </w:tcPr>
          <w:p>
            <w:pPr>
              <w:spacing w:after="0" w:line="264" w:lineRule="auto"/>
            </w:pPr>
            <w:r>
              <w:rPr>
                <w:rFonts w:ascii="Aptos" w:hAnsi="Aptos"/>
                <w:b w:val="0"/>
                <w:i w:val="0"/>
                <w:color w:val="222620"/>
                <w:sz w:val="17"/>
              </w:rPr>
              <w:t>‘Claim reported, but currently unreliable’</w:t>
            </w:r>
          </w:p>
        </w:tc>
      </w:tr>
      <w:tr>
        <w:tc>
          <w:tcPr>
            <w:tcW w:type="dxa" w:w="93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X</w:t>
            </w:r>
          </w:p>
        </w:tc>
        <w:tc>
          <w:tcPr>
            <w:tcW w:type="dxa" w:w="57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Restricted, hazardous or ethically unsuitable for public synthesis</w:t>
            </w:r>
          </w:p>
        </w:tc>
        <w:tc>
          <w:tcPr>
            <w:tcW w:type="dxa" w:w="26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Metadata/restriction notice only</w:t>
            </w:r>
          </w:p>
        </w:tc>
      </w:tr>
    </w:tbl>
    <w:p>
      <w:pPr>
        <w:spacing w:after="20"/>
      </w:pPr>
    </w:p>
    <w:p>
      <w:pPr>
        <w:pStyle w:val="Heading2"/>
        <w:keepNext/>
      </w:pPr>
      <w:r>
        <w:t>20. No arithmetic laundering</w:t>
      </w:r>
    </w:p>
    <w:p>
      <w:pPr>
        <w:spacing w:after="120" w:line="293" w:lineRule="auto"/>
      </w:pPr>
      <w:r>
        <w:rPr>
          <w:rFonts w:ascii="Aptos" w:hAnsi="Aptos"/>
          <w:b w:val="0"/>
          <w:i w:val="0"/>
          <w:color w:val="222620"/>
          <w:sz w:val="21"/>
        </w:rPr>
        <w:t>Axis scores may support transparent comparison, but they are not averaged into a pseudo-scientific universal number. A culturally authentic practice can have no clinical evidence. A pharmacologically active extract can be culturally inauthentic. A strong efficacy signal can coexist with unacceptable ecological or safety risk.</w:t>
      </w:r>
    </w:p>
    <w:p>
      <w:pPr>
        <w:pStyle w:val="Heading2"/>
        <w:keepNext/>
      </w:pPr>
      <w:r>
        <w:t>21. Statistical synthesis gate</w:t>
      </w:r>
    </w:p>
    <w:p>
      <w:pPr>
        <w:pStyle w:val="ListBullet"/>
        <w:spacing w:after="80" w:line="283" w:lineRule="auto"/>
      </w:pPr>
      <w:r>
        <w:rPr>
          <w:rFonts w:ascii="Aptos" w:hAnsi="Aptos"/>
          <w:b w:val="0"/>
          <w:i w:val="0"/>
          <w:color w:val="222620"/>
          <w:sz w:val="21"/>
        </w:rPr>
        <w:t>Same or justifiably equivalent taxon and authenticated material.</w:t>
      </w:r>
    </w:p>
    <w:p>
      <w:pPr>
        <w:pStyle w:val="ListBullet"/>
        <w:spacing w:after="80" w:line="283" w:lineRule="auto"/>
      </w:pPr>
      <w:r>
        <w:rPr>
          <w:rFonts w:ascii="Aptos" w:hAnsi="Aptos"/>
          <w:b w:val="0"/>
          <w:i w:val="0"/>
          <w:color w:val="222620"/>
          <w:sz w:val="21"/>
        </w:rPr>
        <w:t>Comparable preparation, route and exposure.</w:t>
      </w:r>
    </w:p>
    <w:p>
      <w:pPr>
        <w:pStyle w:val="ListBullet"/>
        <w:spacing w:after="80" w:line="283" w:lineRule="auto"/>
      </w:pPr>
      <w:r>
        <w:rPr>
          <w:rFonts w:ascii="Aptos" w:hAnsi="Aptos"/>
          <w:b w:val="0"/>
          <w:i w:val="0"/>
          <w:color w:val="222620"/>
          <w:sz w:val="21"/>
        </w:rPr>
        <w:t>Comparable population and condition.</w:t>
      </w:r>
    </w:p>
    <w:p>
      <w:pPr>
        <w:pStyle w:val="ListBullet"/>
        <w:spacing w:after="80" w:line="283" w:lineRule="auto"/>
      </w:pPr>
      <w:r>
        <w:rPr>
          <w:rFonts w:ascii="Aptos" w:hAnsi="Aptos"/>
          <w:b w:val="0"/>
          <w:i w:val="0"/>
          <w:color w:val="222620"/>
          <w:sz w:val="21"/>
        </w:rPr>
        <w:t>Compatible outcomes and timepoints.</w:t>
      </w:r>
    </w:p>
    <w:p>
      <w:pPr>
        <w:pStyle w:val="ListBullet"/>
        <w:spacing w:after="80" w:line="283" w:lineRule="auto"/>
      </w:pPr>
      <w:r>
        <w:rPr>
          <w:rFonts w:ascii="Aptos" w:hAnsi="Aptos"/>
          <w:b w:val="0"/>
          <w:i w:val="0"/>
          <w:color w:val="222620"/>
          <w:sz w:val="21"/>
        </w:rPr>
        <w:t>Controlled human data with extractable estimates.</w:t>
      </w:r>
    </w:p>
    <w:p>
      <w:pPr>
        <w:pStyle w:val="ListBullet"/>
        <w:spacing w:after="80" w:line="283" w:lineRule="auto"/>
      </w:pPr>
      <w:r>
        <w:rPr>
          <w:rFonts w:ascii="Aptos" w:hAnsi="Aptos"/>
          <w:b w:val="0"/>
          <w:i w:val="0"/>
          <w:color w:val="222620"/>
          <w:sz w:val="21"/>
        </w:rPr>
        <w:t>Heterogeneity and publication-bias plan specified before pooling.</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F5F1E8"/>
          </w:tcPr>
          <w:p>
            <w:pPr>
              <w:spacing w:after="40"/>
            </w:pPr>
            <w:r>
              <w:rPr>
                <w:rFonts w:ascii="Aptos" w:hAnsi="Aptos"/>
                <w:b/>
                <w:i w:val="0"/>
                <w:color w:val="B18A3E"/>
                <w:sz w:val="18"/>
              </w:rPr>
              <w:t xml:space="preserve">IF THE GATE FAILS  </w:t>
            </w:r>
            <w:r>
              <w:rPr>
                <w:rFonts w:ascii="Aptos" w:hAnsi="Aptos"/>
                <w:b w:val="0"/>
                <w:i w:val="0"/>
                <w:color w:val="222620"/>
                <w:sz w:val="21"/>
              </w:rPr>
              <w:t>Perform a structured evidence synthesis. Never create a pooled effect size from ethnography, cell assays, animal studies and unrelated clinical extracts.</w:t>
            </w:r>
          </w:p>
        </w:tc>
      </w:tr>
    </w:tbl>
    <w:p>
      <w:pPr>
        <w:spacing w:after="0"/>
      </w:pPr>
    </w:p>
    <w:p>
      <w:pPr>
        <w:pStyle w:val="Heading1"/>
        <w:keepNext/>
      </w:pPr>
      <w:r>
        <w:t>Book VIII — Safety, Ecology and Misuse</w:t>
      </w:r>
    </w:p>
    <w:p>
      <w:pPr>
        <w:pStyle w:val="Heading2"/>
        <w:keepNext/>
      </w:pPr>
      <w:r>
        <w:t>22. Hazard domains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20352D"/>
            <w:tcMar>
              <w:top w:w="90" w:type="dxa"/>
              <w:start w:w="120" w:type="dxa"/>
              <w:bottom w:w="90" w:type="dxa"/>
              <w:end w:w="120" w:type="dxa"/>
            </w:tcMar>
            <w:vAlign w:val="center"/>
          </w:tcPr>
          <w:p>
            <w:r>
              <w:rPr>
                <w:rFonts w:ascii="Aptos" w:hAnsi="Aptos"/>
                <w:b/>
                <w:i w:val="0"/>
                <w:color w:val="FFFFFF"/>
                <w:sz w:val="18"/>
              </w:rPr>
              <w:t>Domain</w:t>
            </w:r>
          </w:p>
        </w:tc>
        <w:tc>
          <w:tcPr>
            <w:tcW w:type="dxa" w:w="7416"/>
            <w:shd w:fill="20352D"/>
            <w:tcMar>
              <w:top w:w="90" w:type="dxa"/>
              <w:start w:w="120" w:type="dxa"/>
              <w:bottom w:w="90" w:type="dxa"/>
              <w:end w:w="120" w:type="dxa"/>
            </w:tcMar>
            <w:vAlign w:val="center"/>
          </w:tcPr>
          <w:p>
            <w:r>
              <w:rPr>
                <w:rFonts w:ascii="Aptos" w:hAnsi="Aptos"/>
                <w:b/>
                <w:i w:val="0"/>
                <w:color w:val="FFFFFF"/>
                <w:sz w:val="18"/>
              </w:rPr>
              <w:t>Examples</w:t>
            </w:r>
          </w:p>
        </w:tc>
      </w:tr>
      <w:tr>
        <w:tc>
          <w:tcPr>
            <w:tcW w:type="dxa" w:w="1944"/>
            <w:tcMar>
              <w:top w:w="90" w:type="dxa"/>
              <w:start w:w="120" w:type="dxa"/>
              <w:bottom w:w="90" w:type="dxa"/>
              <w:end w:w="120" w:type="dxa"/>
            </w:tcMar>
            <w:vAlign w:val="center"/>
          </w:tcPr>
          <w:p>
            <w:pPr>
              <w:spacing w:after="0" w:line="264" w:lineRule="auto"/>
            </w:pPr>
            <w:r>
              <w:rPr>
                <w:rFonts w:ascii="Aptos" w:hAnsi="Aptos"/>
                <w:b w:val="0"/>
                <w:i w:val="0"/>
                <w:color w:val="222620"/>
                <w:sz w:val="17"/>
              </w:rPr>
              <w:t>Intrinsic toxicity</w:t>
            </w:r>
          </w:p>
        </w:tc>
        <w:tc>
          <w:tcPr>
            <w:tcW w:type="dxa" w:w="7416"/>
            <w:tcMar>
              <w:top w:w="90" w:type="dxa"/>
              <w:start w:w="120" w:type="dxa"/>
              <w:bottom w:w="90" w:type="dxa"/>
              <w:end w:w="120" w:type="dxa"/>
            </w:tcMar>
            <w:vAlign w:val="center"/>
          </w:tcPr>
          <w:p>
            <w:pPr>
              <w:spacing w:after="0" w:line="264" w:lineRule="auto"/>
            </w:pPr>
            <w:r>
              <w:rPr>
                <w:rFonts w:ascii="Aptos" w:hAnsi="Aptos"/>
                <w:b w:val="0"/>
                <w:i w:val="0"/>
                <w:color w:val="222620"/>
                <w:sz w:val="17"/>
              </w:rPr>
              <w:t>Hepatic, renal, neurological, cardiac, reproductive, carcinogenic</w:t>
            </w:r>
          </w:p>
        </w:tc>
      </w:tr>
      <w:tr>
        <w:tc>
          <w:tcPr>
            <w:tcW w:type="dxa" w:w="19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Identification</w:t>
            </w:r>
          </w:p>
        </w:tc>
        <w:tc>
          <w:tcPr>
            <w:tcW w:type="dxa" w:w="74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Look-alikes, toxic congeners, traded substitutions</w:t>
            </w:r>
          </w:p>
        </w:tc>
      </w:tr>
      <w:tr>
        <w:tc>
          <w:tcPr>
            <w:tcW w:type="dxa" w:w="1944"/>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w:t>
            </w:r>
          </w:p>
        </w:tc>
        <w:tc>
          <w:tcPr>
            <w:tcW w:type="dxa" w:w="7416"/>
            <w:tcMar>
              <w:top w:w="90" w:type="dxa"/>
              <w:start w:w="120" w:type="dxa"/>
              <w:bottom w:w="90" w:type="dxa"/>
              <w:end w:w="120" w:type="dxa"/>
            </w:tcMar>
            <w:vAlign w:val="center"/>
          </w:tcPr>
          <w:p>
            <w:pPr>
              <w:spacing w:after="0" w:line="264" w:lineRule="auto"/>
            </w:pPr>
            <w:r>
              <w:rPr>
                <w:rFonts w:ascii="Aptos" w:hAnsi="Aptos"/>
                <w:b w:val="0"/>
                <w:i w:val="0"/>
                <w:color w:val="222620"/>
                <w:sz w:val="17"/>
              </w:rPr>
              <w:t>Concentration, fermentation, smoke, essential-oil distillation, solvent residues</w:t>
            </w:r>
          </w:p>
        </w:tc>
      </w:tr>
      <w:tr>
        <w:tc>
          <w:tcPr>
            <w:tcW w:type="dxa" w:w="19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Interaction</w:t>
            </w:r>
          </w:p>
        </w:tc>
        <w:tc>
          <w:tcPr>
            <w:tcW w:type="dxa" w:w="74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Medicines, alcohol, other botanicals, anaesthesia</w:t>
            </w:r>
          </w:p>
        </w:tc>
      </w:tr>
      <w:tr>
        <w:tc>
          <w:tcPr>
            <w:tcW w:type="dxa" w:w="1944"/>
            <w:tcMar>
              <w:top w:w="90" w:type="dxa"/>
              <w:start w:w="120" w:type="dxa"/>
              <w:bottom w:w="90" w:type="dxa"/>
              <w:end w:w="120" w:type="dxa"/>
            </w:tcMar>
            <w:vAlign w:val="center"/>
          </w:tcPr>
          <w:p>
            <w:pPr>
              <w:spacing w:after="0" w:line="264" w:lineRule="auto"/>
            </w:pPr>
            <w:r>
              <w:rPr>
                <w:rFonts w:ascii="Aptos" w:hAnsi="Aptos"/>
                <w:b w:val="0"/>
                <w:i w:val="0"/>
                <w:color w:val="222620"/>
                <w:sz w:val="17"/>
              </w:rPr>
              <w:t>Context</w:t>
            </w:r>
          </w:p>
        </w:tc>
        <w:tc>
          <w:tcPr>
            <w:tcW w:type="dxa" w:w="7416"/>
            <w:tcMar>
              <w:top w:w="90" w:type="dxa"/>
              <w:start w:w="120" w:type="dxa"/>
              <w:bottom w:w="90" w:type="dxa"/>
              <w:end w:w="120" w:type="dxa"/>
            </w:tcMar>
            <w:vAlign w:val="center"/>
          </w:tcPr>
          <w:p>
            <w:pPr>
              <w:spacing w:after="0" w:line="264" w:lineRule="auto"/>
            </w:pPr>
            <w:r>
              <w:rPr>
                <w:rFonts w:ascii="Aptos" w:hAnsi="Aptos"/>
                <w:b w:val="0"/>
                <w:i w:val="0"/>
                <w:color w:val="222620"/>
                <w:sz w:val="17"/>
              </w:rPr>
              <w:t>Pregnancy, children, frailty, psychiatric vulnerability, liver/kidney disease</w:t>
            </w:r>
          </w:p>
        </w:tc>
      </w:tr>
      <w:tr>
        <w:tc>
          <w:tcPr>
            <w:tcW w:type="dxa" w:w="19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Contamination</w:t>
            </w:r>
          </w:p>
        </w:tc>
        <w:tc>
          <w:tcPr>
            <w:tcW w:type="dxa" w:w="74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Pesticide, heavy metal, pathogen, mould, road/industrial pollution</w:t>
            </w:r>
          </w:p>
        </w:tc>
      </w:tr>
      <w:tr>
        <w:tc>
          <w:tcPr>
            <w:tcW w:type="dxa" w:w="1944"/>
            <w:tcMar>
              <w:top w:w="90" w:type="dxa"/>
              <w:start w:w="120" w:type="dxa"/>
              <w:bottom w:w="90" w:type="dxa"/>
              <w:end w:w="120" w:type="dxa"/>
            </w:tcMar>
            <w:vAlign w:val="center"/>
          </w:tcPr>
          <w:p>
            <w:pPr>
              <w:spacing w:after="0" w:line="264" w:lineRule="auto"/>
            </w:pPr>
            <w:r>
              <w:rPr>
                <w:rFonts w:ascii="Aptos" w:hAnsi="Aptos"/>
                <w:b w:val="0"/>
                <w:i w:val="0"/>
                <w:color w:val="222620"/>
                <w:sz w:val="17"/>
              </w:rPr>
              <w:t>Ecology</w:t>
            </w:r>
          </w:p>
        </w:tc>
        <w:tc>
          <w:tcPr>
            <w:tcW w:type="dxa" w:w="7416"/>
            <w:tcMar>
              <w:top w:w="90" w:type="dxa"/>
              <w:start w:w="120" w:type="dxa"/>
              <w:bottom w:w="90" w:type="dxa"/>
              <w:end w:w="120" w:type="dxa"/>
            </w:tcMar>
            <w:vAlign w:val="center"/>
          </w:tcPr>
          <w:p>
            <w:pPr>
              <w:spacing w:after="0" w:line="264" w:lineRule="auto"/>
            </w:pPr>
            <w:r>
              <w:rPr>
                <w:rFonts w:ascii="Aptos" w:hAnsi="Aptos"/>
                <w:b w:val="0"/>
                <w:i w:val="0"/>
                <w:color w:val="222620"/>
                <w:sz w:val="17"/>
              </w:rPr>
              <w:t>Threatened species, destructive harvest, habitat pressure</w:t>
            </w:r>
          </w:p>
        </w:tc>
      </w:tr>
      <w:tr>
        <w:tc>
          <w:tcPr>
            <w:tcW w:type="dxa" w:w="194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Information hazard</w:t>
            </w:r>
          </w:p>
        </w:tc>
        <w:tc>
          <w:tcPr>
            <w:tcW w:type="dxa" w:w="741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Instructions enabling poisoning, intoxication, illegal harvest or exploitation</w:t>
            </w:r>
          </w:p>
        </w:tc>
      </w:tr>
    </w:tbl>
    <w:p>
      <w:pPr>
        <w:spacing w:after="20"/>
      </w:pPr>
    </w:p>
    <w:p>
      <w:pPr>
        <w:pStyle w:val="Heading2"/>
        <w:keepNext/>
      </w:pPr>
      <w:r>
        <w:t>23. Safety language</w:t>
      </w:r>
    </w:p>
    <w:p>
      <w:pPr>
        <w:spacing w:after="120" w:line="293" w:lineRule="auto"/>
      </w:pPr>
      <w:r>
        <w:rPr>
          <w:rFonts w:ascii="Aptos" w:hAnsi="Aptos"/>
          <w:b w:val="0"/>
          <w:i w:val="0"/>
          <w:color w:val="222620"/>
          <w:sz w:val="21"/>
        </w:rPr>
        <w:t>Absence of reported harm is recorded as ‘no harm located in the searched sources,’ never ‘safe.’ Traditional longevity is relevant exposure information, not a substitute for surveillance. A preparation’s hazard cannot be inferred from the safety of another plant part or standardized extract.</w:t>
      </w:r>
    </w:p>
    <w:p>
      <w:pPr>
        <w:pStyle w:val="Heading2"/>
        <w:keepNext/>
      </w:pPr>
      <w:r>
        <w:t>24. Conservation brake</w:t>
      </w:r>
    </w:p>
    <w:p>
      <w:pPr>
        <w:spacing w:after="120" w:line="293" w:lineRule="auto"/>
      </w:pPr>
      <w:r>
        <w:rPr>
          <w:rFonts w:ascii="Aptos" w:hAnsi="Aptos"/>
          <w:b w:val="0"/>
          <w:i w:val="0"/>
          <w:color w:val="222620"/>
          <w:sz w:val="21"/>
        </w:rPr>
        <w:t>Public attention must not turn rare medicine into an extinction market. Records include conservation status, harvest impact, cultivation feasibility, substitute traditions, location obfuscation and a publication-risk decision.</w:t>
      </w:r>
    </w:p>
    <w:p>
      <w:pPr>
        <w:pStyle w:val="Heading1"/>
        <w:keepNext/>
      </w:pPr>
      <w:r>
        <w:t>Book IX — Comparative Method</w:t>
      </w:r>
    </w:p>
    <w:p>
      <w:pPr>
        <w:pStyle w:val="Heading2"/>
        <w:keepNext/>
      </w:pPr>
      <w:r>
        <w:t>25. Units of comparison</w:t>
      </w:r>
    </w:p>
    <w:p>
      <w:pPr>
        <w:spacing w:after="120" w:line="293" w:lineRule="auto"/>
      </w:pPr>
      <w:r>
        <w:rPr>
          <w:rFonts w:ascii="Aptos" w:hAnsi="Aptos"/>
          <w:b w:val="0"/>
          <w:i w:val="0"/>
          <w:color w:val="222620"/>
          <w:sz w:val="21"/>
        </w:rPr>
        <w:t>Compare complete practice complexes, not plant names alone:</w:t>
      </w:r>
    </w:p>
    <w:p>
      <w:pPr>
        <w:pStyle w:val="ListBullet"/>
        <w:spacing w:after="80" w:line="283" w:lineRule="auto"/>
      </w:pPr>
      <w:r>
        <w:rPr>
          <w:rFonts w:ascii="Aptos" w:hAnsi="Aptos"/>
          <w:b w:val="0"/>
          <w:i w:val="0"/>
          <w:color w:val="222620"/>
          <w:sz w:val="21"/>
        </w:rPr>
        <w:t>Organism + part + preparation + route + purpose + explanatory model + setting + authority.</w:t>
      </w:r>
    </w:p>
    <w:p>
      <w:pPr>
        <w:pStyle w:val="Heading2"/>
        <w:keepNext/>
      </w:pPr>
      <w:r>
        <w:t>26. Convergence classes</w:t>
      </w:r>
    </w:p>
    <w:tbl>
      <w:tblPr>
        <w:tblStyle w:val="TableGrid"/>
        <w:tblW w:type="dxa" w:w="9360"/>
        <w:jc w:val="left"/>
        <w:tblLayout w:type="fixed"/>
        <w:tblLook w:firstColumn="1" w:firstRow="1" w:lastColumn="0" w:lastRow="0" w:noHBand="0" w:noVBand="1" w:val="04A0"/>
        <w:tblInd w:w="120" w:type="dxa"/>
      </w:tblPr>
      <w:tblGrid>
        <w:gridCol w:w="2088"/>
        <w:gridCol w:w="4464"/>
        <w:gridCol w:w="2808"/>
      </w:tblGrid>
      <w:tr>
        <w:trPr>
          <w:tblHeader w:val="true"/>
        </w:trPr>
        <w:tc>
          <w:tcPr>
            <w:tcW w:type="dxa" w:w="2088"/>
            <w:shd w:fill="20352D"/>
            <w:tcMar>
              <w:top w:w="90" w:type="dxa"/>
              <w:start w:w="120" w:type="dxa"/>
              <w:bottom w:w="90" w:type="dxa"/>
              <w:end w:w="120" w:type="dxa"/>
            </w:tcMar>
            <w:vAlign w:val="center"/>
          </w:tcPr>
          <w:p>
            <w:r>
              <w:rPr>
                <w:rFonts w:ascii="Aptos" w:hAnsi="Aptos"/>
                <w:b/>
                <w:i w:val="0"/>
                <w:color w:val="FFFFFF"/>
                <w:sz w:val="18"/>
              </w:rPr>
              <w:t>Class</w:t>
            </w:r>
          </w:p>
        </w:tc>
        <w:tc>
          <w:tcPr>
            <w:tcW w:type="dxa" w:w="4464"/>
            <w:shd w:fill="20352D"/>
            <w:tcMar>
              <w:top w:w="90" w:type="dxa"/>
              <w:start w:w="120" w:type="dxa"/>
              <w:bottom w:w="90" w:type="dxa"/>
              <w:end w:w="120" w:type="dxa"/>
            </w:tcMar>
            <w:vAlign w:val="center"/>
          </w:tcPr>
          <w:p>
            <w:r>
              <w:rPr>
                <w:rFonts w:ascii="Aptos" w:hAnsi="Aptos"/>
                <w:b/>
                <w:i w:val="0"/>
                <w:color w:val="FFFFFF"/>
                <w:sz w:val="18"/>
              </w:rPr>
              <w:t>Description</w:t>
            </w:r>
          </w:p>
        </w:tc>
        <w:tc>
          <w:tcPr>
            <w:tcW w:type="dxa" w:w="2808"/>
            <w:shd w:fill="20352D"/>
            <w:tcMar>
              <w:top w:w="90" w:type="dxa"/>
              <w:start w:w="120" w:type="dxa"/>
              <w:bottom w:w="90" w:type="dxa"/>
              <w:end w:w="120" w:type="dxa"/>
            </w:tcMar>
            <w:vAlign w:val="center"/>
          </w:tcPr>
          <w:p>
            <w:r>
              <w:rPr>
                <w:rFonts w:ascii="Aptos" w:hAnsi="Aptos"/>
                <w:b/>
                <w:i w:val="0"/>
                <w:color w:val="FFFFFF"/>
                <w:sz w:val="18"/>
              </w:rPr>
              <w:t>Inference</w:t>
            </w:r>
          </w:p>
        </w:tc>
      </w:tr>
      <w:tr>
        <w:tc>
          <w:tcPr>
            <w:tcW w:type="dxa" w:w="2088"/>
            <w:tcMar>
              <w:top w:w="90" w:type="dxa"/>
              <w:start w:w="120" w:type="dxa"/>
              <w:bottom w:w="90" w:type="dxa"/>
              <w:end w:w="120" w:type="dxa"/>
            </w:tcMar>
            <w:vAlign w:val="center"/>
          </w:tcPr>
          <w:p>
            <w:pPr>
              <w:spacing w:after="0" w:line="264" w:lineRule="auto"/>
            </w:pPr>
            <w:r>
              <w:rPr>
                <w:rFonts w:ascii="Aptos" w:hAnsi="Aptos"/>
                <w:b w:val="0"/>
                <w:i w:val="0"/>
                <w:color w:val="222620"/>
                <w:sz w:val="17"/>
              </w:rPr>
              <w:t>Material convergence</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t>Same/similar taxon and part</w:t>
            </w:r>
          </w:p>
        </w:tc>
        <w:tc>
          <w:tcPr>
            <w:tcW w:type="dxa" w:w="2808"/>
            <w:tcMar>
              <w:top w:w="90" w:type="dxa"/>
              <w:start w:w="120" w:type="dxa"/>
              <w:bottom w:w="90" w:type="dxa"/>
              <w:end w:w="120" w:type="dxa"/>
            </w:tcMar>
            <w:vAlign w:val="center"/>
          </w:tcPr>
          <w:p>
            <w:pPr>
              <w:spacing w:after="0" w:line="264" w:lineRule="auto"/>
            </w:pPr>
            <w:r>
              <w:rPr>
                <w:rFonts w:ascii="Aptos" w:hAnsi="Aptos"/>
                <w:b w:val="0"/>
                <w:i w:val="0"/>
                <w:color w:val="222620"/>
                <w:sz w:val="17"/>
              </w:rPr>
              <w:t>Shared chemistry possible</w:t>
            </w:r>
          </w:p>
        </w:tc>
      </w:tr>
      <w:tr>
        <w:tc>
          <w:tcPr>
            <w:tcW w:type="dxa" w:w="20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Functional convergence</w:t>
            </w:r>
          </w:p>
        </w:tc>
        <w:tc>
          <w:tcPr>
            <w:tcW w:type="dxa" w:w="44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Different taxa used for similar purpose</w:t>
            </w:r>
          </w:p>
        </w:tc>
        <w:tc>
          <w:tcPr>
            <w:tcW w:type="dxa" w:w="280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Search for shared properties or ecology</w:t>
            </w:r>
          </w:p>
        </w:tc>
      </w:tr>
      <w:tr>
        <w:tc>
          <w:tcPr>
            <w:tcW w:type="dxa" w:w="2088"/>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 convergence</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t>Similar transformations across taxa</w:t>
            </w:r>
          </w:p>
        </w:tc>
        <w:tc>
          <w:tcPr>
            <w:tcW w:type="dxa" w:w="2808"/>
            <w:tcMar>
              <w:top w:w="90" w:type="dxa"/>
              <w:start w:w="120" w:type="dxa"/>
              <w:bottom w:w="90" w:type="dxa"/>
              <w:end w:w="120" w:type="dxa"/>
            </w:tcMar>
            <w:vAlign w:val="center"/>
          </w:tcPr>
          <w:p>
            <w:pPr>
              <w:spacing w:after="0" w:line="264" w:lineRule="auto"/>
            </w:pPr>
            <w:r>
              <w:rPr>
                <w:rFonts w:ascii="Aptos" w:hAnsi="Aptos"/>
                <w:b w:val="0"/>
                <w:i w:val="0"/>
                <w:color w:val="222620"/>
                <w:sz w:val="17"/>
              </w:rPr>
              <w:t>Technique may drive effect or safety</w:t>
            </w:r>
          </w:p>
        </w:tc>
      </w:tr>
      <w:tr>
        <w:tc>
          <w:tcPr>
            <w:tcW w:type="dxa" w:w="20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Symbolic convergence</w:t>
            </w:r>
          </w:p>
        </w:tc>
        <w:tc>
          <w:tcPr>
            <w:tcW w:type="dxa" w:w="44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Parallel ritual role or doctrine</w:t>
            </w:r>
          </w:p>
        </w:tc>
        <w:tc>
          <w:tcPr>
            <w:tcW w:type="dxa" w:w="280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Do not reduce automatically to pharmacology</w:t>
            </w:r>
          </w:p>
        </w:tc>
      </w:tr>
      <w:tr>
        <w:tc>
          <w:tcPr>
            <w:tcW w:type="dxa" w:w="2088"/>
            <w:tcMar>
              <w:top w:w="90" w:type="dxa"/>
              <w:start w:w="120" w:type="dxa"/>
              <w:bottom w:w="90" w:type="dxa"/>
              <w:end w:w="120" w:type="dxa"/>
            </w:tcMar>
            <w:vAlign w:val="center"/>
          </w:tcPr>
          <w:p>
            <w:pPr>
              <w:spacing w:after="0" w:line="264" w:lineRule="auto"/>
            </w:pPr>
            <w:r>
              <w:rPr>
                <w:rFonts w:ascii="Aptos" w:hAnsi="Aptos"/>
                <w:b w:val="0"/>
                <w:i w:val="0"/>
                <w:color w:val="222620"/>
                <w:sz w:val="17"/>
              </w:rPr>
              <w:t>Transmission convergence</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t>Practice spread through trade, migration or texts</w:t>
            </w:r>
          </w:p>
        </w:tc>
        <w:tc>
          <w:tcPr>
            <w:tcW w:type="dxa" w:w="2808"/>
            <w:tcMar>
              <w:top w:w="90" w:type="dxa"/>
              <w:start w:w="120" w:type="dxa"/>
              <w:bottom w:w="90" w:type="dxa"/>
              <w:end w:w="120" w:type="dxa"/>
            </w:tcMar>
            <w:vAlign w:val="center"/>
          </w:tcPr>
          <w:p>
            <w:pPr>
              <w:spacing w:after="0" w:line="264" w:lineRule="auto"/>
            </w:pPr>
            <w:r>
              <w:rPr>
                <w:rFonts w:ascii="Aptos" w:hAnsi="Aptos"/>
                <w:b w:val="0"/>
                <w:i w:val="0"/>
                <w:color w:val="222620"/>
                <w:sz w:val="17"/>
              </w:rPr>
              <w:t>Historically meaningful, not independent replication</w:t>
            </w:r>
          </w:p>
        </w:tc>
      </w:tr>
    </w:tbl>
    <w:p>
      <w:pPr>
        <w:spacing w:after="20"/>
      </w:pPr>
    </w:p>
    <w:p>
      <w:pPr>
        <w:pStyle w:val="Heading2"/>
        <w:keepNext/>
      </w:pPr>
      <w:r>
        <w:t>27. Comparative fallacies</w:t>
      </w:r>
    </w:p>
    <w:p>
      <w:pPr>
        <w:pStyle w:val="ListBullet"/>
        <w:spacing w:after="80" w:line="283" w:lineRule="auto"/>
      </w:pPr>
      <w:r>
        <w:rPr>
          <w:rFonts w:ascii="Aptos" w:hAnsi="Aptos"/>
          <w:b w:val="0"/>
          <w:i w:val="0"/>
          <w:color w:val="222620"/>
          <w:sz w:val="21"/>
        </w:rPr>
        <w:t>Doctrine of signatures presented as universal causality.</w:t>
      </w:r>
    </w:p>
    <w:p>
      <w:pPr>
        <w:pStyle w:val="ListBullet"/>
        <w:spacing w:after="80" w:line="283" w:lineRule="auto"/>
      </w:pPr>
      <w:r>
        <w:rPr>
          <w:rFonts w:ascii="Aptos" w:hAnsi="Aptos"/>
          <w:b w:val="0"/>
          <w:i w:val="0"/>
          <w:color w:val="222620"/>
          <w:sz w:val="21"/>
        </w:rPr>
        <w:t>One vernacular name assumed to indicate one species.</w:t>
      </w:r>
    </w:p>
    <w:p>
      <w:pPr>
        <w:pStyle w:val="ListBullet"/>
        <w:spacing w:after="80" w:line="283" w:lineRule="auto"/>
      </w:pPr>
      <w:r>
        <w:rPr>
          <w:rFonts w:ascii="Aptos" w:hAnsi="Aptos"/>
          <w:b w:val="0"/>
          <w:i w:val="0"/>
          <w:color w:val="222620"/>
          <w:sz w:val="21"/>
        </w:rPr>
        <w:t>One species assumed to have one stable chemistry across climate and soil.</w:t>
      </w:r>
    </w:p>
    <w:p>
      <w:pPr>
        <w:pStyle w:val="ListBullet"/>
        <w:spacing w:after="80" w:line="283" w:lineRule="auto"/>
      </w:pPr>
      <w:r>
        <w:rPr>
          <w:rFonts w:ascii="Aptos" w:hAnsi="Aptos"/>
          <w:b w:val="0"/>
          <w:i w:val="0"/>
          <w:color w:val="222620"/>
          <w:sz w:val="21"/>
        </w:rPr>
        <w:t>Similar symptom words assumed to denote the same illness.</w:t>
      </w:r>
    </w:p>
    <w:p>
      <w:pPr>
        <w:pStyle w:val="ListBullet"/>
        <w:spacing w:after="80" w:line="283" w:lineRule="auto"/>
      </w:pPr>
      <w:r>
        <w:rPr>
          <w:rFonts w:ascii="Aptos" w:hAnsi="Aptos"/>
          <w:b w:val="0"/>
          <w:i w:val="0"/>
          <w:color w:val="222620"/>
          <w:sz w:val="21"/>
        </w:rPr>
        <w:t>Colonial silence interpreted as cultural absence.</w:t>
      </w:r>
    </w:p>
    <w:p>
      <w:pPr>
        <w:pStyle w:val="ListBullet"/>
        <w:spacing w:after="80" w:line="283" w:lineRule="auto"/>
      </w:pPr>
      <w:r>
        <w:rPr>
          <w:rFonts w:ascii="Aptos" w:hAnsi="Aptos"/>
          <w:b w:val="0"/>
          <w:i w:val="0"/>
          <w:color w:val="222620"/>
          <w:sz w:val="21"/>
        </w:rPr>
        <w:t>Ritual context stripped away as pharmacologically irrelevant without testing.</w:t>
      </w:r>
    </w:p>
    <w:p>
      <w:pPr>
        <w:pStyle w:val="Heading1"/>
        <w:keepNext/>
      </w:pPr>
      <w:r>
        <w:t>Book X — Claim Adjudication and Editorial Canon</w:t>
      </w:r>
    </w:p>
    <w:p>
      <w:pPr>
        <w:pStyle w:val="Heading2"/>
        <w:keepNext/>
      </w:pPr>
      <w:r>
        <w:t>28. Claim workflow</w:t>
      </w:r>
    </w:p>
    <w:p>
      <w:pPr>
        <w:pStyle w:val="ListNumber"/>
        <w:spacing w:after="80" w:line="283" w:lineRule="auto"/>
      </w:pPr>
      <w:r>
        <w:rPr>
          <w:rFonts w:ascii="Aptos" w:hAnsi="Aptos"/>
          <w:b w:val="0"/>
          <w:i w:val="0"/>
          <w:color w:val="222620"/>
          <w:sz w:val="21"/>
        </w:rPr>
        <w:t>Atomize the assertion into taxon, material, action, population, condition and outcome.</w:t>
      </w:r>
    </w:p>
    <w:p>
      <w:pPr>
        <w:pStyle w:val="ListNumber"/>
        <w:spacing w:after="80" w:line="283" w:lineRule="auto"/>
      </w:pPr>
      <w:r>
        <w:rPr>
          <w:rFonts w:ascii="Aptos" w:hAnsi="Aptos"/>
          <w:b w:val="0"/>
          <w:i w:val="0"/>
          <w:color w:val="222620"/>
          <w:sz w:val="21"/>
        </w:rPr>
        <w:t>Locate the earliest traceable use report and map its descendants.</w:t>
      </w:r>
    </w:p>
    <w:p>
      <w:pPr>
        <w:pStyle w:val="ListNumber"/>
        <w:spacing w:after="80" w:line="283" w:lineRule="auto"/>
      </w:pPr>
      <w:r>
        <w:rPr>
          <w:rFonts w:ascii="Aptos" w:hAnsi="Aptos"/>
          <w:b w:val="0"/>
          <w:i w:val="0"/>
          <w:color w:val="222620"/>
          <w:sz w:val="21"/>
        </w:rPr>
        <w:t>Resolve cultural authority, consent and access conditions.</w:t>
      </w:r>
    </w:p>
    <w:p>
      <w:pPr>
        <w:pStyle w:val="ListNumber"/>
        <w:spacing w:after="80" w:line="283" w:lineRule="auto"/>
      </w:pPr>
      <w:r>
        <w:rPr>
          <w:rFonts w:ascii="Aptos" w:hAnsi="Aptos"/>
          <w:b w:val="0"/>
          <w:i w:val="0"/>
          <w:color w:val="222620"/>
          <w:sz w:val="21"/>
        </w:rPr>
        <w:t>Authenticate the organism and preparation; mark unresolved elements.</w:t>
      </w:r>
    </w:p>
    <w:p>
      <w:pPr>
        <w:pStyle w:val="ListNumber"/>
        <w:spacing w:after="80" w:line="283" w:lineRule="auto"/>
      </w:pPr>
      <w:r>
        <w:rPr>
          <w:rFonts w:ascii="Aptos" w:hAnsi="Aptos"/>
          <w:b w:val="0"/>
          <w:i w:val="0"/>
          <w:color w:val="222620"/>
          <w:sz w:val="21"/>
        </w:rPr>
        <w:t>Search independently for tradition, mechanism, clinical outcome and harm.</w:t>
      </w:r>
    </w:p>
    <w:p>
      <w:pPr>
        <w:pStyle w:val="ListNumber"/>
        <w:spacing w:after="80" w:line="283" w:lineRule="auto"/>
      </w:pPr>
      <w:r>
        <w:rPr>
          <w:rFonts w:ascii="Aptos" w:hAnsi="Aptos"/>
          <w:b w:val="0"/>
          <w:i w:val="0"/>
          <w:color w:val="222620"/>
          <w:sz w:val="21"/>
        </w:rPr>
        <w:t>Assess transmission independence and preparation match.</w:t>
      </w:r>
    </w:p>
    <w:p>
      <w:pPr>
        <w:pStyle w:val="ListNumber"/>
        <w:spacing w:after="80" w:line="283" w:lineRule="auto"/>
      </w:pPr>
      <w:r>
        <w:rPr>
          <w:rFonts w:ascii="Aptos" w:hAnsi="Aptos"/>
          <w:b w:val="0"/>
          <w:i w:val="0"/>
          <w:color w:val="222620"/>
          <w:sz w:val="21"/>
        </w:rPr>
        <w:t>Grade each evidence axis and record dissent.</w:t>
      </w:r>
    </w:p>
    <w:p>
      <w:pPr>
        <w:pStyle w:val="ListNumber"/>
        <w:spacing w:after="80" w:line="283" w:lineRule="auto"/>
      </w:pPr>
      <w:r>
        <w:rPr>
          <w:rFonts w:ascii="Aptos" w:hAnsi="Aptos"/>
          <w:b w:val="0"/>
          <w:i w:val="0"/>
          <w:color w:val="222620"/>
          <w:sz w:val="21"/>
        </w:rPr>
        <w:t>Write a calibrated conclusion and community-review version.</w:t>
      </w:r>
    </w:p>
    <w:p>
      <w:pPr>
        <w:pStyle w:val="ListNumber"/>
        <w:spacing w:after="80" w:line="283" w:lineRule="auto"/>
      </w:pPr>
      <w:r>
        <w:rPr>
          <w:rFonts w:ascii="Aptos" w:hAnsi="Aptos"/>
          <w:b w:val="0"/>
          <w:i w:val="0"/>
          <w:color w:val="222620"/>
          <w:sz w:val="21"/>
        </w:rPr>
        <w:t>Set review triggers: new trial, taxonomic revision, custodian correction or safety signal.</w:t>
      </w:r>
    </w:p>
    <w:p>
      <w:pPr>
        <w:pStyle w:val="Heading2"/>
        <w:keepNext/>
      </w:pPr>
      <w:r>
        <w:t>29. House language</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trPr>
        <w:tc>
          <w:tcPr>
            <w:tcW w:type="dxa" w:w="3384"/>
            <w:shd w:fill="20352D"/>
            <w:tcMar>
              <w:top w:w="90" w:type="dxa"/>
              <w:start w:w="120" w:type="dxa"/>
              <w:bottom w:w="90" w:type="dxa"/>
              <w:end w:w="120" w:type="dxa"/>
            </w:tcMar>
            <w:vAlign w:val="center"/>
          </w:tcPr>
          <w:p>
            <w:r>
              <w:rPr>
                <w:rFonts w:ascii="Aptos" w:hAnsi="Aptos"/>
                <w:b/>
                <w:i w:val="0"/>
                <w:color w:val="FFFFFF"/>
                <w:sz w:val="18"/>
              </w:rPr>
              <w:t>Avoid</w:t>
            </w:r>
          </w:p>
        </w:tc>
        <w:tc>
          <w:tcPr>
            <w:tcW w:type="dxa" w:w="5976"/>
            <w:shd w:fill="20352D"/>
            <w:tcMar>
              <w:top w:w="90" w:type="dxa"/>
              <w:start w:w="120" w:type="dxa"/>
              <w:bottom w:w="90" w:type="dxa"/>
              <w:end w:w="120" w:type="dxa"/>
            </w:tcMar>
            <w:vAlign w:val="center"/>
          </w:tcPr>
          <w:p>
            <w:r>
              <w:rPr>
                <w:rFonts w:ascii="Aptos" w:hAnsi="Aptos"/>
                <w:b/>
                <w:i w:val="0"/>
                <w:color w:val="FFFFFF"/>
                <w:sz w:val="18"/>
              </w:rPr>
              <w:t>Prefer</w:t>
            </w:r>
          </w:p>
        </w:tc>
      </w:tr>
      <w:tr>
        <w:tc>
          <w:tcPr>
            <w:tcW w:type="dxa" w:w="3384"/>
            <w:tcMar>
              <w:top w:w="90" w:type="dxa"/>
              <w:start w:w="120" w:type="dxa"/>
              <w:bottom w:w="90" w:type="dxa"/>
              <w:end w:w="120" w:type="dxa"/>
            </w:tcMar>
            <w:vAlign w:val="center"/>
          </w:tcPr>
          <w:p>
            <w:pPr>
              <w:spacing w:after="0" w:line="264" w:lineRule="auto"/>
            </w:pPr>
            <w:r>
              <w:rPr>
                <w:rFonts w:ascii="Aptos" w:hAnsi="Aptos"/>
                <w:b w:val="0"/>
                <w:i w:val="0"/>
                <w:color w:val="222620"/>
                <w:sz w:val="17"/>
              </w:rPr>
              <w:t>‘The X tribe believed…’</w:t>
            </w:r>
          </w:p>
        </w:tc>
        <w:tc>
          <w:tcPr>
            <w:tcW w:type="dxa" w:w="5976"/>
            <w:tcMar>
              <w:top w:w="90" w:type="dxa"/>
              <w:start w:w="120" w:type="dxa"/>
              <w:bottom w:w="90" w:type="dxa"/>
              <w:end w:w="120" w:type="dxa"/>
            </w:tcMar>
            <w:vAlign w:val="center"/>
          </w:tcPr>
          <w:p>
            <w:pPr>
              <w:spacing w:after="0" w:line="264" w:lineRule="auto"/>
            </w:pPr>
            <w:r>
              <w:rPr>
                <w:rFonts w:ascii="Aptos" w:hAnsi="Aptos"/>
                <w:b w:val="0"/>
                <w:i w:val="0"/>
                <w:color w:val="222620"/>
                <w:sz w:val="17"/>
              </w:rPr>
              <w:t>‘A [date/source] record attributed this practice to [precise people/community]…’</w:t>
            </w:r>
          </w:p>
        </w:tc>
      </w:tr>
      <w:tr>
        <w:tc>
          <w:tcPr>
            <w:tcW w:type="dxa" w:w="33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‘Proven for centuries’</w:t>
            </w:r>
          </w:p>
        </w:tc>
        <w:tc>
          <w:tcPr>
            <w:tcW w:type="dxa" w:w="59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‘Documented over [period]; clinical efficacy has/has not been tested.’</w:t>
            </w:r>
          </w:p>
        </w:tc>
      </w:tr>
      <w:tr>
        <w:tc>
          <w:tcPr>
            <w:tcW w:type="dxa" w:w="3384"/>
            <w:tcMar>
              <w:top w:w="90" w:type="dxa"/>
              <w:start w:w="120" w:type="dxa"/>
              <w:bottom w:w="90" w:type="dxa"/>
              <w:end w:w="120" w:type="dxa"/>
            </w:tcMar>
            <w:vAlign w:val="center"/>
          </w:tcPr>
          <w:p>
            <w:pPr>
              <w:spacing w:after="0" w:line="264" w:lineRule="auto"/>
            </w:pPr>
            <w:r>
              <w:rPr>
                <w:rFonts w:ascii="Aptos" w:hAnsi="Aptos"/>
                <w:b w:val="0"/>
                <w:i w:val="0"/>
                <w:color w:val="222620"/>
                <w:sz w:val="17"/>
              </w:rPr>
              <w:t>‘Contains anti-inflammatory properties’</w:t>
            </w:r>
          </w:p>
        </w:tc>
        <w:tc>
          <w:tcPr>
            <w:tcW w:type="dxa" w:w="5976"/>
            <w:tcMar>
              <w:top w:w="90" w:type="dxa"/>
              <w:start w:w="120" w:type="dxa"/>
              <w:bottom w:w="90" w:type="dxa"/>
              <w:end w:w="120" w:type="dxa"/>
            </w:tcMar>
            <w:vAlign w:val="center"/>
          </w:tcPr>
          <w:p>
            <w:pPr>
              <w:spacing w:after="0" w:line="264" w:lineRule="auto"/>
            </w:pPr>
            <w:r>
              <w:rPr>
                <w:rFonts w:ascii="Aptos" w:hAnsi="Aptos"/>
                <w:b w:val="0"/>
                <w:i w:val="0"/>
                <w:color w:val="222620"/>
                <w:sz w:val="17"/>
              </w:rPr>
              <w:t>‘Specified constituents affected specified inflammatory markers in [model].’</w:t>
            </w:r>
          </w:p>
        </w:tc>
      </w:tr>
      <w:tr>
        <w:tc>
          <w:tcPr>
            <w:tcW w:type="dxa" w:w="33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 evidence’</w:t>
            </w:r>
          </w:p>
        </w:tc>
        <w:tc>
          <w:tcPr>
            <w:tcW w:type="dxa" w:w="59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 eligible controlled human evidence was located in this search.’</w:t>
            </w:r>
          </w:p>
        </w:tc>
      </w:tr>
      <w:tr>
        <w:tc>
          <w:tcPr>
            <w:tcW w:type="dxa" w:w="3384"/>
            <w:tcMar>
              <w:top w:w="90" w:type="dxa"/>
              <w:start w:w="120" w:type="dxa"/>
              <w:bottom w:w="90" w:type="dxa"/>
              <w:end w:w="120" w:type="dxa"/>
            </w:tcMar>
            <w:vAlign w:val="center"/>
          </w:tcPr>
          <w:p>
            <w:pPr>
              <w:spacing w:after="0" w:line="264" w:lineRule="auto"/>
            </w:pPr>
            <w:r>
              <w:rPr>
                <w:rFonts w:ascii="Aptos" w:hAnsi="Aptos"/>
                <w:b w:val="0"/>
                <w:i w:val="0"/>
                <w:color w:val="222620"/>
                <w:sz w:val="17"/>
              </w:rPr>
              <w:t>‘Safe and natural’</w:t>
            </w:r>
          </w:p>
        </w:tc>
        <w:tc>
          <w:tcPr>
            <w:tcW w:type="dxa" w:w="5976"/>
            <w:tcMar>
              <w:top w:w="90" w:type="dxa"/>
              <w:start w:w="120" w:type="dxa"/>
              <w:bottom w:w="90" w:type="dxa"/>
              <w:end w:w="120" w:type="dxa"/>
            </w:tcMar>
            <w:vAlign w:val="center"/>
          </w:tcPr>
          <w:p>
            <w:pPr>
              <w:spacing w:after="0" w:line="264" w:lineRule="auto"/>
            </w:pPr>
            <w:r>
              <w:rPr>
                <w:rFonts w:ascii="Aptos" w:hAnsi="Aptos"/>
                <w:b w:val="0"/>
                <w:i w:val="0"/>
                <w:color w:val="222620"/>
                <w:sz w:val="17"/>
              </w:rPr>
              <w:t>‘Safety evidence is limited/characterized for this preparation and exposure.’</w:t>
            </w:r>
          </w:p>
        </w:tc>
      </w:tr>
      <w:tr>
        <w:tc>
          <w:tcPr>
            <w:tcW w:type="dxa" w:w="33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‘The active ingredient’</w:t>
            </w:r>
          </w:p>
        </w:tc>
        <w:tc>
          <w:tcPr>
            <w:tcW w:type="dxa" w:w="59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 candidate constituent or mixture associated with the observed effect.’</w:t>
            </w:r>
          </w:p>
        </w:tc>
      </w:tr>
    </w:tbl>
    <w:p>
      <w:pPr>
        <w:spacing w:after="20"/>
      </w:pPr>
    </w:p>
    <w:p>
      <w:pPr>
        <w:pStyle w:val="Heading2"/>
        <w:keepNext/>
      </w:pPr>
      <w:r>
        <w:t>30. Citation canon</w:t>
      </w:r>
    </w:p>
    <w:p>
      <w:pPr>
        <w:spacing w:after="120" w:line="293" w:lineRule="auto"/>
      </w:pPr>
      <w:r>
        <w:rPr>
          <w:rFonts w:ascii="Aptos" w:hAnsi="Aptos"/>
          <w:b w:val="0"/>
          <w:i w:val="0"/>
          <w:color w:val="222620"/>
          <w:sz w:val="21"/>
        </w:rPr>
        <w:t>Cite the closest source to the claim. A database entry should point to its underlying ethnography; a review should not replace the original trial when numerical results are discussed. Preserve page, passage, edition, translator, archive identifier and access date.</w:t>
      </w:r>
    </w:p>
    <w:p>
      <w:pPr>
        <w:pStyle w:val="Heading1"/>
        <w:keepNext/>
      </w:pPr>
      <w:r>
        <w:t>Book XI — Computational Architecture</w:t>
      </w:r>
    </w:p>
    <w:p>
      <w:pPr>
        <w:pStyle w:val="Heading2"/>
        <w:keepNext/>
      </w:pPr>
      <w:r>
        <w:t>31. Core relationship model</w:t>
      </w:r>
    </w:p>
    <w:p>
      <w:pPr>
        <w:spacing w:after="120" w:line="293" w:lineRule="auto"/>
      </w:pPr>
      <w:r>
        <w:rPr>
          <w:rFonts w:ascii="Aptos" w:hAnsi="Aptos"/>
          <w:b w:val="0"/>
          <w:i w:val="0"/>
          <w:color w:val="222620"/>
          <w:sz w:val="21"/>
        </w:rPr>
        <w:t>Knowledge Holder → asserts → Use Report → concerns → Taxon/Material → uses → Preparation → for → Indication. Evidence Items support, contradict or contextualize Claims. Restrictions govern every node and edge; they are not a final document-level checkbox.</w:t>
      </w:r>
    </w:p>
    <w:p>
      <w:pPr>
        <w:pStyle w:val="Heading2"/>
        <w:keepNext/>
      </w:pPr>
      <w:r>
        <w:t>32. Minimal claim record</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20352D"/>
            <w:tcMar>
              <w:top w:w="90" w:type="dxa"/>
              <w:start w:w="120" w:type="dxa"/>
              <w:bottom w:w="90" w:type="dxa"/>
              <w:end w:w="120" w:type="dxa"/>
            </w:tcMar>
            <w:vAlign w:val="center"/>
          </w:tcPr>
          <w:p>
            <w:r>
              <w:rPr>
                <w:rFonts w:ascii="Aptos" w:hAnsi="Aptos"/>
                <w:b/>
                <w:i w:val="0"/>
                <w:color w:val="FFFFFF"/>
                <w:sz w:val="18"/>
              </w:rPr>
              <w:t>Field</w:t>
            </w:r>
          </w:p>
        </w:tc>
        <w:tc>
          <w:tcPr>
            <w:tcW w:type="dxa" w:w="6480"/>
            <w:shd w:fill="20352D"/>
            <w:tcMar>
              <w:top w:w="90" w:type="dxa"/>
              <w:start w:w="120" w:type="dxa"/>
              <w:bottom w:w="90" w:type="dxa"/>
              <w:end w:w="120" w:type="dxa"/>
            </w:tcMar>
            <w:vAlign w:val="center"/>
          </w:tcPr>
          <w:p>
            <w:r>
              <w:rPr>
                <w:rFonts w:ascii="Aptos" w:hAnsi="Aptos"/>
                <w:b/>
                <w:i w:val="0"/>
                <w:color w:val="FFFFFF"/>
                <w:sz w:val="18"/>
              </w:rPr>
              <w:t>Example</w:t>
            </w:r>
          </w:p>
        </w:tc>
      </w:tr>
      <w:tr>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claim_id</w:t>
            </w:r>
          </w:p>
        </w:tc>
        <w:tc>
          <w:tcPr>
            <w:tcW w:type="dxa" w:w="6480"/>
            <w:tcMar>
              <w:top w:w="90" w:type="dxa"/>
              <w:start w:w="120" w:type="dxa"/>
              <w:bottom w:w="90" w:type="dxa"/>
              <w:end w:w="120" w:type="dxa"/>
            </w:tcMar>
            <w:vAlign w:val="center"/>
          </w:tcPr>
          <w:p>
            <w:pPr>
              <w:spacing w:after="0" w:line="264" w:lineRule="auto"/>
            </w:pPr>
            <w:r>
              <w:rPr>
                <w:rFonts w:ascii="Aptos" w:hAnsi="Aptos"/>
                <w:b w:val="0"/>
                <w:i w:val="0"/>
                <w:color w:val="222620"/>
                <w:sz w:val="17"/>
              </w:rPr>
              <w:t>CLM-PIN-SAB-ANTIRHEUM-001</w:t>
            </w:r>
          </w:p>
        </w:tc>
      </w:tr>
      <w:tr>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proposition</w:t>
            </w:r>
          </w:p>
        </w:tc>
        <w:tc>
          <w:tcPr>
            <w:tcW w:type="dxa" w:w="64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Pitch of identified foothill pine was chewed for rheumatism</w:t>
            </w:r>
          </w:p>
        </w:tc>
      </w:tr>
      <w:tr>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source_term</w:t>
            </w:r>
          </w:p>
        </w:tc>
        <w:tc>
          <w:tcPr>
            <w:tcW w:type="dxa" w:w="6480"/>
            <w:tcMar>
              <w:top w:w="90" w:type="dxa"/>
              <w:start w:w="120" w:type="dxa"/>
              <w:bottom w:w="90" w:type="dxa"/>
              <w:end w:w="120" w:type="dxa"/>
            </w:tcMar>
            <w:vAlign w:val="center"/>
          </w:tcPr>
          <w:p>
            <w:pPr>
              <w:spacing w:after="0" w:line="264" w:lineRule="auto"/>
            </w:pPr>
            <w:r>
              <w:rPr>
                <w:rFonts w:ascii="Aptos" w:hAnsi="Aptos"/>
                <w:b w:val="0"/>
                <w:i w:val="0"/>
                <w:color w:val="222620"/>
                <w:sz w:val="17"/>
              </w:rPr>
              <w:t>Rheumatism</w:t>
            </w:r>
          </w:p>
        </w:tc>
      </w:tr>
      <w:tr>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normalized_condition</w:t>
            </w:r>
          </w:p>
        </w:tc>
        <w:tc>
          <w:tcPr>
            <w:tcW w:type="dxa" w:w="64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Historical musculoskeletal/rheumatic complaint; not diagnostically resolved</w:t>
            </w:r>
          </w:p>
        </w:tc>
      </w:tr>
      <w:tr>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taxon_id / confidence</w:t>
            </w:r>
          </w:p>
        </w:tc>
        <w:tc>
          <w:tcPr>
            <w:tcW w:type="dxa" w:w="6480"/>
            <w:tcMar>
              <w:top w:w="90" w:type="dxa"/>
              <w:start w:w="120" w:type="dxa"/>
              <w:bottom w:w="90" w:type="dxa"/>
              <w:end w:w="120" w:type="dxa"/>
            </w:tcMar>
            <w:vAlign w:val="center"/>
          </w:tcPr>
          <w:p>
            <w:pPr>
              <w:spacing w:after="0" w:line="264" w:lineRule="auto"/>
            </w:pPr>
            <w:r>
              <w:rPr>
                <w:rFonts w:ascii="Aptos" w:hAnsi="Aptos"/>
                <w:b w:val="0"/>
                <w:i w:val="0"/>
                <w:color w:val="222620"/>
                <w:sz w:val="17"/>
              </w:rPr>
              <w:t>TAX-PIN-SAB / ID-3</w:t>
            </w:r>
          </w:p>
        </w:tc>
      </w:tr>
      <w:tr>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 / route</w:t>
            </w:r>
          </w:p>
        </w:tc>
        <w:tc>
          <w:tcPr>
            <w:tcW w:type="dxa" w:w="64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Hardened pitch; chewed; buccal/oral exposure</w:t>
            </w:r>
          </w:p>
        </w:tc>
      </w:tr>
      <w:tr>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transmission_lineage</w:t>
            </w:r>
          </w:p>
        </w:tc>
        <w:tc>
          <w:tcPr>
            <w:tcW w:type="dxa" w:w="6480"/>
            <w:tcMar>
              <w:top w:w="90" w:type="dxa"/>
              <w:start w:w="120" w:type="dxa"/>
              <w:bottom w:w="90" w:type="dxa"/>
              <w:end w:w="120" w:type="dxa"/>
            </w:tcMar>
            <w:vAlign w:val="center"/>
          </w:tcPr>
          <w:p>
            <w:pPr>
              <w:spacing w:after="0" w:line="264" w:lineRule="auto"/>
            </w:pPr>
            <w:r>
              <w:rPr>
                <w:rFonts w:ascii="Aptos" w:hAnsi="Aptos"/>
                <w:b w:val="0"/>
                <w:i w:val="0"/>
                <w:color w:val="222620"/>
                <w:sz w:val="17"/>
              </w:rPr>
              <w:t>Primary ethnobotanical record → database → derivative web pages</w:t>
            </w:r>
          </w:p>
        </w:tc>
      </w:tr>
      <w:tr>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authority / restriction</w:t>
            </w:r>
          </w:p>
        </w:tc>
        <w:tc>
          <w:tcPr>
            <w:tcW w:type="dxa" w:w="64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To be verified with appropriate Ohlone community authority</w:t>
            </w:r>
          </w:p>
        </w:tc>
      </w:tr>
      <w:tr>
        <w:tc>
          <w:tcPr>
            <w:tcW w:type="dxa" w:w="2880"/>
            <w:tcMar>
              <w:top w:w="90" w:type="dxa"/>
              <w:start w:w="120" w:type="dxa"/>
              <w:bottom w:w="90" w:type="dxa"/>
              <w:end w:w="120" w:type="dxa"/>
            </w:tcMar>
            <w:vAlign w:val="center"/>
          </w:tcPr>
          <w:p>
            <w:pPr>
              <w:spacing w:after="0" w:line="264" w:lineRule="auto"/>
            </w:pPr>
            <w:r>
              <w:rPr>
                <w:rFonts w:ascii="Aptos" w:hAnsi="Aptos"/>
                <w:b w:val="0"/>
                <w:i w:val="0"/>
                <w:color w:val="222620"/>
                <w:sz w:val="17"/>
              </w:rPr>
              <w:t>axis_scores</w:t>
            </w:r>
          </w:p>
        </w:tc>
        <w:tc>
          <w:tcPr>
            <w:tcW w:type="dxa" w:w="6480"/>
            <w:tcMar>
              <w:top w:w="90" w:type="dxa"/>
              <w:start w:w="120" w:type="dxa"/>
              <w:bottom w:w="90" w:type="dxa"/>
              <w:end w:w="120" w:type="dxa"/>
            </w:tcMar>
            <w:vAlign w:val="center"/>
          </w:tcPr>
          <w:p>
            <w:pPr>
              <w:spacing w:after="0" w:line="264" w:lineRule="auto"/>
            </w:pPr>
            <w:r>
              <w:rPr>
                <w:rFonts w:ascii="Aptos" w:hAnsi="Aptos"/>
                <w:b w:val="0"/>
                <w:i w:val="0"/>
                <w:color w:val="222620"/>
                <w:sz w:val="17"/>
              </w:rPr>
              <w:t>Separate authenticity, source, identity, replication, plausibility, clinical and safety assessments</w:t>
            </w:r>
          </w:p>
        </w:tc>
      </w:tr>
      <w:tr>
        <w:tc>
          <w:tcPr>
            <w:tcW w:type="dxa" w:w="28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editorial_band</w:t>
            </w:r>
          </w:p>
        </w:tc>
        <w:tc>
          <w:tcPr>
            <w:tcW w:type="dxa" w:w="648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D/C boundary; traditional use with mechanistic plausibility, no direct trial</w:t>
            </w:r>
          </w:p>
        </w:tc>
      </w:tr>
    </w:tbl>
    <w:p>
      <w:pPr>
        <w:spacing w:after="20"/>
      </w:pPr>
    </w:p>
    <w:p>
      <w:pPr>
        <w:pStyle w:val="Heading2"/>
        <w:keepNext/>
      </w:pPr>
      <w:r>
        <w:t>33. Versioning</w:t>
      </w:r>
    </w:p>
    <w:p>
      <w:pPr>
        <w:pStyle w:val="ListBullet"/>
        <w:spacing w:after="80" w:line="283" w:lineRule="auto"/>
      </w:pPr>
      <w:r>
        <w:rPr>
          <w:rFonts w:ascii="Aptos" w:hAnsi="Aptos"/>
          <w:b w:val="0"/>
          <w:i w:val="0"/>
          <w:color w:val="222620"/>
          <w:sz w:val="21"/>
        </w:rPr>
        <w:t>Every correction creates a new version with reason, author and authority.</w:t>
      </w:r>
    </w:p>
    <w:p>
      <w:pPr>
        <w:pStyle w:val="ListBullet"/>
        <w:spacing w:after="80" w:line="283" w:lineRule="auto"/>
      </w:pPr>
      <w:r>
        <w:rPr>
          <w:rFonts w:ascii="Aptos" w:hAnsi="Aptos"/>
          <w:b w:val="0"/>
          <w:i w:val="0"/>
          <w:color w:val="222620"/>
          <w:sz w:val="21"/>
        </w:rPr>
        <w:t>Community corrections outrank editorial convenience and remain visible according to requested policy.</w:t>
      </w:r>
    </w:p>
    <w:p>
      <w:pPr>
        <w:pStyle w:val="ListBullet"/>
        <w:spacing w:after="80" w:line="283" w:lineRule="auto"/>
      </w:pPr>
      <w:r>
        <w:rPr>
          <w:rFonts w:ascii="Aptos" w:hAnsi="Aptos"/>
          <w:b w:val="0"/>
          <w:i w:val="0"/>
          <w:color w:val="222620"/>
          <w:sz w:val="21"/>
        </w:rPr>
        <w:t>Retractions preserve a tombstone record unless the knowledge holder requires erasure.</w:t>
      </w:r>
    </w:p>
    <w:p>
      <w:pPr>
        <w:pStyle w:val="ListBullet"/>
        <w:spacing w:after="80" w:line="283" w:lineRule="auto"/>
      </w:pPr>
      <w:r>
        <w:rPr>
          <w:rFonts w:ascii="Aptos" w:hAnsi="Aptos"/>
          <w:b w:val="0"/>
          <w:i w:val="0"/>
          <w:color w:val="222620"/>
          <w:sz w:val="21"/>
        </w:rPr>
        <w:t>Computational models may suggest links but may never relax restrictions or infer consent.</w:t>
      </w:r>
    </w:p>
    <w:p>
      <w:pPr>
        <w:pStyle w:val="Heading1"/>
        <w:keepNext/>
      </w:pPr>
      <w:r>
        <w:t>Book XII — Monograph Blueprint</w:t>
      </w:r>
    </w:p>
    <w:p>
      <w:pPr>
        <w:pStyle w:val="Heading2"/>
        <w:keepNext/>
      </w:pPr>
      <w:r>
        <w:t>34. Standard monograph</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20352D"/>
            <w:tcMar>
              <w:top w:w="90" w:type="dxa"/>
              <w:start w:w="120" w:type="dxa"/>
              <w:bottom w:w="90" w:type="dxa"/>
              <w:end w:w="120" w:type="dxa"/>
            </w:tcMar>
            <w:vAlign w:val="center"/>
          </w:tcPr>
          <w:p>
            <w:r>
              <w:rPr>
                <w:rFonts w:ascii="Aptos" w:hAnsi="Aptos"/>
                <w:b/>
                <w:i w:val="0"/>
                <w:color w:val="FFFFFF"/>
                <w:sz w:val="18"/>
              </w:rPr>
              <w:t>Section</w:t>
            </w:r>
          </w:p>
        </w:tc>
        <w:tc>
          <w:tcPr>
            <w:tcW w:type="dxa" w:w="7128"/>
            <w:shd w:fill="20352D"/>
            <w:tcMar>
              <w:top w:w="90" w:type="dxa"/>
              <w:start w:w="120" w:type="dxa"/>
              <w:bottom w:w="90" w:type="dxa"/>
              <w:end w:w="120" w:type="dxa"/>
            </w:tcMar>
            <w:vAlign w:val="center"/>
          </w:tcPr>
          <w:p>
            <w:r>
              <w:rPr>
                <w:rFonts w:ascii="Aptos" w:hAnsi="Aptos"/>
                <w:b/>
                <w:i w:val="0"/>
                <w:color w:val="FFFFFF"/>
                <w:sz w:val="18"/>
              </w:rPr>
              <w:t>Contents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Identity</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Accepted taxonomy, synonyms, vernacular names, language, voucher and uncertainty</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Ecology</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Range, habitat, seasonality, cultivation, conservation and harvest impact</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Knowledge authorities</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Named communities/traditions, attribution, consent and restrictions</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Historical record</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Chronological source map and transmission lineages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Practice complexes</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Part, preparation, route, purpose, context and explanatory model</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Cross-cultural comparison</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Independent convergence, diffusion and meaningful differences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Chemistry</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Preparation-matched constituents, variation and analytical methods</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Pharmacology</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Models, pathways, doses and translational limits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Human evidence</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Case evidence, observational studies, trials and synthesis eligibility</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Safety</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Adverse events, toxicity, interactions, contraindications and identification hazards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Adjudicated claims</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Calibrated conclusions with evidence-axis profiles</w:t>
            </w:r>
          </w:p>
        </w:tc>
      </w:tr>
      <w:tr>
        <w:tc>
          <w:tcPr>
            <w:tcW w:type="dxa" w:w="223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Custodian commentary</w:t>
            </w:r>
          </w:p>
        </w:tc>
        <w:tc>
          <w:tcPr>
            <w:tcW w:type="dxa" w:w="712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Authorized interpretation, corrections, restrictions and unresolved questions</w:t>
            </w:r>
          </w:p>
        </w:tc>
      </w:tr>
      <w:tr>
        <w:tc>
          <w:tcPr>
            <w:tcW w:type="dxa" w:w="2232"/>
            <w:tcMar>
              <w:top w:w="90" w:type="dxa"/>
              <w:start w:w="120" w:type="dxa"/>
              <w:bottom w:w="90" w:type="dxa"/>
              <w:end w:w="120" w:type="dxa"/>
            </w:tcMar>
            <w:vAlign w:val="center"/>
          </w:tcPr>
          <w:p>
            <w:pPr>
              <w:spacing w:after="0" w:line="264" w:lineRule="auto"/>
            </w:pPr>
            <w:r>
              <w:rPr>
                <w:rFonts w:ascii="Aptos" w:hAnsi="Aptos"/>
                <w:b w:val="0"/>
                <w:i w:val="0"/>
                <w:color w:val="222620"/>
                <w:sz w:val="17"/>
              </w:rPr>
              <w:t>Research agenda</w:t>
            </w:r>
          </w:p>
        </w:tc>
        <w:tc>
          <w:tcPr>
            <w:tcW w:type="dxa" w:w="7128"/>
            <w:tcMar>
              <w:top w:w="90" w:type="dxa"/>
              <w:start w:w="120" w:type="dxa"/>
              <w:bottom w:w="90" w:type="dxa"/>
              <w:end w:w="120" w:type="dxa"/>
            </w:tcMar>
            <w:vAlign w:val="center"/>
          </w:tcPr>
          <w:p>
            <w:pPr>
              <w:spacing w:after="0" w:line="264" w:lineRule="auto"/>
            </w:pPr>
            <w:r>
              <w:rPr>
                <w:rFonts w:ascii="Aptos" w:hAnsi="Aptos"/>
                <w:b w:val="0"/>
                <w:i w:val="0"/>
                <w:color w:val="222620"/>
                <w:sz w:val="17"/>
              </w:rPr>
              <w:t>Ethically permissible next studies and benefit-sharing plan</w:t>
            </w:r>
          </w:p>
        </w:tc>
      </w:tr>
    </w:tbl>
    <w:p>
      <w:pPr>
        <w:spacing w:after="20"/>
      </w:pPr>
    </w:p>
    <w:p>
      <w:pPr>
        <w:pStyle w:val="Heading1"/>
        <w:keepNext/>
      </w:pPr>
      <w:r>
        <w:t>Book XIII — Worked Specimen: Chewed Conifer Resin</w:t>
      </w:r>
    </w:p>
    <w:p>
      <w:pPr>
        <w:pStyle w:val="Heading2"/>
        <w:keepNext/>
      </w:pPr>
      <w:r>
        <w:t>35. Atomized research question</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F5F1E8"/>
          </w:tcPr>
          <w:p>
            <w:pPr>
              <w:spacing w:after="40"/>
            </w:pPr>
            <w:r>
              <w:rPr>
                <w:rFonts w:ascii="Aptos" w:hAnsi="Aptos"/>
                <w:b/>
                <w:i w:val="0"/>
                <w:color w:val="B18A3E"/>
                <w:sz w:val="18"/>
              </w:rPr>
              <w:t xml:space="preserve">QUESTION  </w:t>
            </w:r>
            <w:r>
              <w:rPr>
                <w:rFonts w:ascii="Aptos" w:hAnsi="Aptos"/>
                <w:b w:val="0"/>
                <w:i w:val="0"/>
                <w:color w:val="222620"/>
                <w:sz w:val="21"/>
              </w:rPr>
              <w:t>Does chewing authenticated raw conifer resin reduce local or systemic inflammation in humans?</w:t>
            </w:r>
          </w:p>
        </w:tc>
      </w:tr>
    </w:tbl>
    <w:p>
      <w:pPr>
        <w:spacing w:after="0"/>
      </w:pPr>
    </w:p>
    <w:p>
      <w:pPr>
        <w:pStyle w:val="Heading2"/>
        <w:keepNext/>
      </w:pPr>
      <w:r>
        <w:t>36. Evidence map</w:t>
      </w:r>
    </w:p>
    <w:tbl>
      <w:tblPr>
        <w:tblStyle w:val="TableGrid"/>
        <w:tblW w:type="dxa" w:w="9360"/>
        <w:jc w:val="left"/>
        <w:tblLayout w:type="fixed"/>
        <w:tblLook w:firstColumn="1" w:firstRow="1" w:lastColumn="0" w:lastRow="0" w:noHBand="0" w:noVBand="1" w:val="04A0"/>
        <w:tblInd w:w="120" w:type="dxa"/>
      </w:tblPr>
      <w:tblGrid>
        <w:gridCol w:w="1800"/>
        <w:gridCol w:w="5400"/>
        <w:gridCol w:w="2160"/>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Layer</w:t>
            </w:r>
          </w:p>
        </w:tc>
        <w:tc>
          <w:tcPr>
            <w:tcW w:type="dxa" w:w="5400"/>
            <w:shd w:fill="20352D"/>
            <w:tcMar>
              <w:top w:w="90" w:type="dxa"/>
              <w:start w:w="120" w:type="dxa"/>
              <w:bottom w:w="90" w:type="dxa"/>
              <w:end w:w="120" w:type="dxa"/>
            </w:tcMar>
            <w:vAlign w:val="center"/>
          </w:tcPr>
          <w:p>
            <w:r>
              <w:rPr>
                <w:rFonts w:ascii="Aptos" w:hAnsi="Aptos"/>
                <w:b/>
                <w:i w:val="0"/>
                <w:color w:val="FFFFFF"/>
                <w:sz w:val="18"/>
              </w:rPr>
              <w:t>Finding</w:t>
            </w:r>
          </w:p>
        </w:tc>
        <w:tc>
          <w:tcPr>
            <w:tcW w:type="dxa" w:w="2160"/>
            <w:shd w:fill="20352D"/>
            <w:tcMar>
              <w:top w:w="90" w:type="dxa"/>
              <w:start w:w="120" w:type="dxa"/>
              <w:bottom w:w="90" w:type="dxa"/>
              <w:end w:w="120" w:type="dxa"/>
            </w:tcMar>
            <w:vAlign w:val="center"/>
          </w:tcPr>
          <w:p>
            <w:r>
              <w:rPr>
                <w:rFonts w:ascii="Aptos" w:hAnsi="Aptos"/>
                <w:b/>
                <w:i w:val="0"/>
                <w:color w:val="FFFFFF"/>
                <w:sz w:val="18"/>
              </w:rPr>
              <w:t>Judgment</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Direct tradition</w:t>
            </w:r>
          </w:p>
        </w:tc>
        <w:tc>
          <w:tcPr>
            <w:tcW w:type="dxa" w:w="5400"/>
            <w:tcMar>
              <w:top w:w="90" w:type="dxa"/>
              <w:start w:w="120" w:type="dxa"/>
              <w:bottom w:w="90" w:type="dxa"/>
              <w:end w:w="120" w:type="dxa"/>
            </w:tcMar>
            <w:vAlign w:val="center"/>
          </w:tcPr>
          <w:p>
            <w:pPr>
              <w:spacing w:after="0" w:line="264" w:lineRule="auto"/>
            </w:pPr>
            <w:r>
              <w:rPr>
                <w:rFonts w:ascii="Aptos" w:hAnsi="Aptos"/>
                <w:b w:val="0"/>
                <w:i w:val="0"/>
                <w:color w:val="222620"/>
                <w:sz w:val="17"/>
              </w:rPr>
              <w:t>One traceable Costanoan/Ohlone-attributed record: Pinus sabiniana pitch chewed for rheumatism</w:t>
            </w:r>
          </w:p>
        </w:tc>
        <w:tc>
          <w:tcPr>
            <w:tcW w:type="dxa" w:w="2160"/>
            <w:tcMar>
              <w:top w:w="90" w:type="dxa"/>
              <w:start w:w="120" w:type="dxa"/>
              <w:bottom w:w="90" w:type="dxa"/>
              <w:end w:w="120" w:type="dxa"/>
            </w:tcMar>
            <w:vAlign w:val="center"/>
          </w:tcPr>
          <w:p>
            <w:pPr>
              <w:spacing w:after="0" w:line="264" w:lineRule="auto"/>
            </w:pPr>
            <w:r>
              <w:rPr>
                <w:rFonts w:ascii="Aptos" w:hAnsi="Aptos"/>
                <w:b w:val="0"/>
                <w:i w:val="0"/>
                <w:color w:val="222620"/>
                <w:sz w:val="17"/>
              </w:rPr>
              <w:t>Authentic record pending contemporary authority review</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Related traditions</w:t>
            </w:r>
          </w:p>
        </w:tc>
        <w:tc>
          <w:tcPr>
            <w:tcW w:type="dxa" w:w="54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Spruce/fir/pine resin chewed as gum and for dental, digestive or respiratory purposes</w:t>
            </w:r>
          </w:p>
        </w:tc>
        <w:tc>
          <w:tcPr>
            <w:tcW w:type="dxa" w:w="21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Contextual, not replication of rheumatism claim</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Topical tradition</w:t>
            </w:r>
          </w:p>
        </w:tc>
        <w:tc>
          <w:tcPr>
            <w:tcW w:type="dxa" w:w="5400"/>
            <w:tcMar>
              <w:top w:w="90" w:type="dxa"/>
              <w:start w:w="120" w:type="dxa"/>
              <w:bottom w:w="90" w:type="dxa"/>
              <w:end w:w="120" w:type="dxa"/>
            </w:tcMar>
            <w:vAlign w:val="center"/>
          </w:tcPr>
          <w:p>
            <w:pPr>
              <w:spacing w:after="0" w:line="264" w:lineRule="auto"/>
            </w:pPr>
            <w:r>
              <w:rPr>
                <w:rFonts w:ascii="Aptos" w:hAnsi="Aptos"/>
                <w:b w:val="0"/>
                <w:i w:val="0"/>
                <w:color w:val="222620"/>
                <w:sz w:val="17"/>
              </w:rPr>
              <w:t>Widespread use for wounds, sores and painful areas</w:t>
            </w:r>
          </w:p>
        </w:tc>
        <w:tc>
          <w:tcPr>
            <w:tcW w:type="dxa" w:w="2160"/>
            <w:tcMar>
              <w:top w:w="90" w:type="dxa"/>
              <w:start w:w="120" w:type="dxa"/>
              <w:bottom w:w="90" w:type="dxa"/>
              <w:end w:w="120" w:type="dxa"/>
            </w:tcMar>
            <w:vAlign w:val="center"/>
          </w:tcPr>
          <w:p>
            <w:pPr>
              <w:spacing w:after="0" w:line="264" w:lineRule="auto"/>
            </w:pPr>
            <w:r>
              <w:rPr>
                <w:rFonts w:ascii="Aptos" w:hAnsi="Aptos"/>
                <w:b w:val="0"/>
                <w:i w:val="0"/>
                <w:color w:val="222620"/>
                <w:sz w:val="17"/>
              </w:rPr>
              <w:t>Supports biological interest, not oral efficacy</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Mechanism</w:t>
            </w:r>
          </w:p>
        </w:tc>
        <w:tc>
          <w:tcPr>
            <w:tcW w:type="dxa" w:w="54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Abietane and related diterpenes affect inflammatory signalling in experimental models</w:t>
            </w:r>
          </w:p>
        </w:tc>
        <w:tc>
          <w:tcPr>
            <w:tcW w:type="dxa" w:w="21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Plausible; exposure and absorption unknown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Human topical evidence</w:t>
            </w:r>
          </w:p>
        </w:tc>
        <w:tc>
          <w:tcPr>
            <w:tcW w:type="dxa" w:w="5400"/>
            <w:tcMar>
              <w:top w:w="90" w:type="dxa"/>
              <w:start w:w="120" w:type="dxa"/>
              <w:bottom w:w="90" w:type="dxa"/>
              <w:end w:w="120" w:type="dxa"/>
            </w:tcMar>
            <w:vAlign w:val="center"/>
          </w:tcPr>
          <w:p>
            <w:pPr>
              <w:spacing w:after="0" w:line="264" w:lineRule="auto"/>
            </w:pPr>
            <w:r>
              <w:rPr>
                <w:rFonts w:ascii="Aptos" w:hAnsi="Aptos"/>
                <w:b w:val="0"/>
                <w:i w:val="0"/>
                <w:color w:val="222620"/>
                <w:sz w:val="17"/>
              </w:rPr>
              <w:t>Refined spruce-resin preparations studied in wound care</w:t>
            </w:r>
          </w:p>
        </w:tc>
        <w:tc>
          <w:tcPr>
            <w:tcW w:type="dxa" w:w="2160"/>
            <w:tcMar>
              <w:top w:w="90" w:type="dxa"/>
              <w:start w:w="120" w:type="dxa"/>
              <w:bottom w:w="90" w:type="dxa"/>
              <w:end w:w="120" w:type="dxa"/>
            </w:tcMar>
            <w:vAlign w:val="center"/>
          </w:tcPr>
          <w:p>
            <w:pPr>
              <w:spacing w:after="0" w:line="264" w:lineRule="auto"/>
            </w:pPr>
            <w:r>
              <w:rPr>
                <w:rFonts w:ascii="Aptos" w:hAnsi="Aptos"/>
                <w:b w:val="0"/>
                <w:i w:val="0"/>
                <w:color w:val="222620"/>
                <w:sz w:val="17"/>
              </w:rPr>
              <w:t>Preparation/route mismatch</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Direct human oral evidence</w:t>
            </w:r>
          </w:p>
        </w:tc>
        <w:tc>
          <w:tcPr>
            <w:tcW w:type="dxa" w:w="54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No eligible controlled trial of raw chewed conifer resin located</w:t>
            </w:r>
          </w:p>
        </w:tc>
        <w:tc>
          <w:tcPr>
            <w:tcW w:type="dxa" w:w="216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Effect unknown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Safety</w:t>
            </w:r>
          </w:p>
        </w:tc>
        <w:tc>
          <w:tcPr>
            <w:tcW w:type="dxa" w:w="5400"/>
            <w:tcMar>
              <w:top w:w="90" w:type="dxa"/>
              <w:start w:w="120" w:type="dxa"/>
              <w:bottom w:w="90" w:type="dxa"/>
              <w:end w:w="120" w:type="dxa"/>
            </w:tcMar>
            <w:vAlign w:val="center"/>
          </w:tcPr>
          <w:p>
            <w:pPr>
              <w:spacing w:after="0" w:line="264" w:lineRule="auto"/>
            </w:pPr>
            <w:r>
              <w:rPr>
                <w:rFonts w:ascii="Aptos" w:hAnsi="Aptos"/>
                <w:b w:val="0"/>
                <w:i w:val="0"/>
                <w:color w:val="222620"/>
                <w:sz w:val="17"/>
              </w:rPr>
              <w:t>Raw composition variable; resin acids/rosin can sensitize; species and contamination matter</w:t>
            </w:r>
          </w:p>
        </w:tc>
        <w:tc>
          <w:tcPr>
            <w:tcW w:type="dxa" w:w="2160"/>
            <w:tcMar>
              <w:top w:w="90" w:type="dxa"/>
              <w:start w:w="120" w:type="dxa"/>
              <w:bottom w:w="90" w:type="dxa"/>
              <w:end w:w="120" w:type="dxa"/>
            </w:tcMar>
            <w:vAlign w:val="center"/>
          </w:tcPr>
          <w:p>
            <w:pPr>
              <w:spacing w:after="0" w:line="264" w:lineRule="auto"/>
            </w:pPr>
            <w:r>
              <w:rPr>
                <w:rFonts w:ascii="Aptos" w:hAnsi="Aptos"/>
                <w:b w:val="0"/>
                <w:i w:val="0"/>
                <w:color w:val="222620"/>
                <w:sz w:val="17"/>
              </w:rPr>
              <w:t>Repeated-use safety unresolved</w:t>
            </w:r>
          </w:p>
        </w:tc>
      </w:tr>
    </w:tbl>
    <w:p>
      <w:pPr>
        <w:spacing w:after="20"/>
      </w:pPr>
    </w:p>
    <w:p>
      <w:pPr>
        <w:pStyle w:val="Heading2"/>
        <w:keepNext/>
      </w:pPr>
      <w:r>
        <w:t>37. Adjudication</w:t>
      </w:r>
    </w:p>
    <w:p>
      <w:pPr>
        <w:spacing w:after="120" w:line="293" w:lineRule="auto"/>
      </w:pPr>
      <w:r>
        <w:rPr>
          <w:rFonts w:ascii="Aptos" w:hAnsi="Aptos"/>
          <w:b w:val="0"/>
          <w:i w:val="0"/>
          <w:color w:val="222620"/>
          <w:sz w:val="21"/>
        </w:rPr>
        <w:t>Provisional band: D/C boundary. The practice is historically attested and mechanistically plausible, but direct clinical efficacy, exposure, absorption, preparation standardization and repeated-use safety are unknown.</w:t>
      </w:r>
    </w:p>
    <w:p>
      <w:pPr>
        <w:pStyle w:val="Heading2"/>
        <w:keepNext/>
      </w:pPr>
      <w:r>
        <w:t>38. Best next study</w:t>
      </w:r>
    </w:p>
    <w:p>
      <w:pPr>
        <w:spacing w:after="120" w:line="293" w:lineRule="auto"/>
      </w:pPr>
      <w:r>
        <w:rPr>
          <w:rFonts w:ascii="Aptos" w:hAnsi="Aptos"/>
          <w:b w:val="0"/>
          <w:i w:val="0"/>
          <w:color w:val="222620"/>
          <w:sz w:val="21"/>
        </w:rPr>
        <w:t>Begin locally, not systemically: a community-governed, chemically characterized, food-grade resin gum studied first for oral tolerability and gingival inflammatory outcomes. Only proceed after species authentication, contaminant testing, allergen assessment, regulatory review, benefit-sharing terms and independent ethics approval. A systemic arthritis claim would require a longer chain of evidence.</w:t>
      </w:r>
    </w:p>
    <w:p>
      <w:pPr>
        <w:pStyle w:val="Heading1"/>
        <w:keepNext/>
      </w:pPr>
      <w:r>
        <w:t>Book XIV — Research Programme</w:t>
      </w:r>
    </w:p>
    <w:p>
      <w:pPr>
        <w:pStyle w:val="Heading2"/>
        <w:keepNext/>
      </w:pPr>
      <w:r>
        <w:t>39. Phased build</w:t>
      </w:r>
    </w:p>
    <w:tbl>
      <w:tblPr>
        <w:tblStyle w:val="TableGrid"/>
        <w:tblW w:type="dxa" w:w="9360"/>
        <w:jc w:val="left"/>
        <w:tblLayout w:type="fixed"/>
        <w:tblLook w:firstColumn="1" w:firstRow="1" w:lastColumn="0" w:lastRow="0" w:noHBand="0" w:noVBand="1" w:val="04A0"/>
        <w:tblInd w:w="120" w:type="dxa"/>
      </w:tblPr>
      <w:tblGrid>
        <w:gridCol w:w="1800"/>
        <w:gridCol w:w="5184"/>
        <w:gridCol w:w="2376"/>
      </w:tblGrid>
      <w:tr>
        <w:trPr>
          <w:tblHeader w:val="true"/>
        </w:trPr>
        <w:tc>
          <w:tcPr>
            <w:tcW w:type="dxa" w:w="1800"/>
            <w:shd w:fill="20352D"/>
            <w:tcMar>
              <w:top w:w="90" w:type="dxa"/>
              <w:start w:w="120" w:type="dxa"/>
              <w:bottom w:w="90" w:type="dxa"/>
              <w:end w:w="120" w:type="dxa"/>
            </w:tcMar>
            <w:vAlign w:val="center"/>
          </w:tcPr>
          <w:p>
            <w:r>
              <w:rPr>
                <w:rFonts w:ascii="Aptos" w:hAnsi="Aptos"/>
                <w:b/>
                <w:i w:val="0"/>
                <w:color w:val="FFFFFF"/>
                <w:sz w:val="18"/>
              </w:rPr>
              <w:t>Phase</w:t>
            </w:r>
          </w:p>
        </w:tc>
        <w:tc>
          <w:tcPr>
            <w:tcW w:type="dxa" w:w="5184"/>
            <w:shd w:fill="20352D"/>
            <w:tcMar>
              <w:top w:w="90" w:type="dxa"/>
              <w:start w:w="120" w:type="dxa"/>
              <w:bottom w:w="90" w:type="dxa"/>
              <w:end w:w="120" w:type="dxa"/>
            </w:tcMar>
            <w:vAlign w:val="center"/>
          </w:tcPr>
          <w:p>
            <w:r>
              <w:rPr>
                <w:rFonts w:ascii="Aptos" w:hAnsi="Aptos"/>
                <w:b/>
                <w:i w:val="0"/>
                <w:color w:val="FFFFFF"/>
                <w:sz w:val="18"/>
              </w:rPr>
              <w:t>Deliverable</w:t>
            </w:r>
          </w:p>
        </w:tc>
        <w:tc>
          <w:tcPr>
            <w:tcW w:type="dxa" w:w="2376"/>
            <w:shd w:fill="20352D"/>
            <w:tcMar>
              <w:top w:w="90" w:type="dxa"/>
              <w:start w:w="120" w:type="dxa"/>
              <w:bottom w:w="90" w:type="dxa"/>
              <w:end w:w="120" w:type="dxa"/>
            </w:tcMar>
            <w:vAlign w:val="center"/>
          </w:tcPr>
          <w:p>
            <w:r>
              <w:rPr>
                <w:rFonts w:ascii="Aptos" w:hAnsi="Aptos"/>
                <w:b/>
                <w:i w:val="0"/>
                <w:color w:val="FFFFFF"/>
                <w:sz w:val="18"/>
              </w:rPr>
              <w:t>Exit criterion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0 • Constitution</w:t>
            </w:r>
          </w:p>
        </w:tc>
        <w:tc>
          <w:tcPr>
            <w:tcW w:type="dxa" w:w="5184"/>
            <w:tcMar>
              <w:top w:w="90" w:type="dxa"/>
              <w:start w:w="120" w:type="dxa"/>
              <w:bottom w:w="90" w:type="dxa"/>
              <w:end w:w="120" w:type="dxa"/>
            </w:tcMar>
            <w:vAlign w:val="center"/>
          </w:tcPr>
          <w:p>
            <w:pPr>
              <w:spacing w:after="0" w:line="264" w:lineRule="auto"/>
            </w:pPr>
            <w:r>
              <w:rPr>
                <w:rFonts w:ascii="Aptos" w:hAnsi="Aptos"/>
                <w:b w:val="0"/>
                <w:i w:val="0"/>
                <w:color w:val="222620"/>
                <w:sz w:val="17"/>
              </w:rPr>
              <w:t>This research bible, governance board and controlled vocabularies</w:t>
            </w:r>
          </w:p>
        </w:tc>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Custodian and scientific review</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1 • Pilot corpus</w:t>
            </w:r>
          </w:p>
        </w:tc>
        <w:tc>
          <w:tcPr>
            <w:tcW w:type="dxa" w:w="51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50 deeply sourced monographs across 5 cultural/ecological regions</w:t>
            </w:r>
          </w:p>
        </w:tc>
        <w:tc>
          <w:tcPr>
            <w:tcW w:type="dxa" w:w="23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≥90% provenance completeness</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2 • Comparative atlas</w:t>
            </w:r>
          </w:p>
        </w:tc>
        <w:tc>
          <w:tcPr>
            <w:tcW w:type="dxa" w:w="5184"/>
            <w:tcMar>
              <w:top w:w="90" w:type="dxa"/>
              <w:start w:w="120" w:type="dxa"/>
              <w:bottom w:w="90" w:type="dxa"/>
              <w:end w:w="120" w:type="dxa"/>
            </w:tcMar>
            <w:vAlign w:val="center"/>
          </w:tcPr>
          <w:p>
            <w:pPr>
              <w:spacing w:after="0" w:line="264" w:lineRule="auto"/>
            </w:pPr>
            <w:r>
              <w:rPr>
                <w:rFonts w:ascii="Aptos" w:hAnsi="Aptos"/>
                <w:b w:val="0"/>
                <w:i w:val="0"/>
                <w:color w:val="222620"/>
                <w:sz w:val="17"/>
              </w:rPr>
              <w:t>Claim lineages, convergence maps and safety registry</w:t>
            </w:r>
          </w:p>
        </w:tc>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No unresolved public restrictions</w:t>
            </w:r>
          </w:p>
        </w:tc>
      </w:tr>
      <w:tr>
        <w:tc>
          <w:tcPr>
            <w:tcW w:type="dxa" w:w="180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3 • Research engine</w:t>
            </w:r>
          </w:p>
        </w:tc>
        <w:tc>
          <w:tcPr>
            <w:tcW w:type="dxa" w:w="518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Prioritized validation studies with community partners</w:t>
            </w:r>
          </w:p>
        </w:tc>
        <w:tc>
          <w:tcPr>
            <w:tcW w:type="dxa" w:w="23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Benefit-sharing and preregistration</w:t>
            </w:r>
          </w:p>
        </w:tc>
      </w:tr>
      <w:tr>
        <w:tc>
          <w:tcPr>
            <w:tcW w:type="dxa" w:w="1800"/>
            <w:tcMar>
              <w:top w:w="90" w:type="dxa"/>
              <w:start w:w="120" w:type="dxa"/>
              <w:bottom w:w="90" w:type="dxa"/>
              <w:end w:w="120" w:type="dxa"/>
            </w:tcMar>
            <w:vAlign w:val="center"/>
          </w:tcPr>
          <w:p>
            <w:pPr>
              <w:spacing w:after="0" w:line="264" w:lineRule="auto"/>
            </w:pPr>
            <w:r>
              <w:rPr>
                <w:rFonts w:ascii="Aptos" w:hAnsi="Aptos"/>
                <w:b w:val="0"/>
                <w:i w:val="0"/>
                <w:color w:val="222620"/>
                <w:sz w:val="17"/>
              </w:rPr>
              <w:t>4 • Living edition</w:t>
            </w:r>
          </w:p>
        </w:tc>
        <w:tc>
          <w:tcPr>
            <w:tcW w:type="dxa" w:w="5184"/>
            <w:tcMar>
              <w:top w:w="90" w:type="dxa"/>
              <w:start w:w="120" w:type="dxa"/>
              <w:bottom w:w="90" w:type="dxa"/>
              <w:end w:w="120" w:type="dxa"/>
            </w:tcMar>
            <w:vAlign w:val="center"/>
          </w:tcPr>
          <w:p>
            <w:pPr>
              <w:spacing w:after="0" w:line="264" w:lineRule="auto"/>
            </w:pPr>
            <w:r>
              <w:rPr>
                <w:rFonts w:ascii="Aptos" w:hAnsi="Aptos"/>
                <w:b w:val="0"/>
                <w:i w:val="0"/>
                <w:color w:val="222620"/>
                <w:sz w:val="17"/>
              </w:rPr>
              <w:t>Public, community and restricted access layers</w:t>
            </w:r>
          </w:p>
        </w:tc>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Sustainable governance and review cycle</w:t>
            </w:r>
          </w:p>
        </w:tc>
      </w:tr>
    </w:tbl>
    <w:p>
      <w:pPr>
        <w:spacing w:after="20"/>
      </w:pPr>
    </w:p>
    <w:p>
      <w:pPr>
        <w:pStyle w:val="Heading2"/>
        <w:keepNext/>
      </w:pPr>
      <w:r>
        <w:t>40. Pilot portfolio design</w:t>
      </w:r>
    </w:p>
    <w:p>
      <w:pPr>
        <w:pStyle w:val="ListBullet"/>
        <w:spacing w:after="80" w:line="283" w:lineRule="auto"/>
      </w:pPr>
      <w:r>
        <w:rPr>
          <w:rFonts w:ascii="Aptos" w:hAnsi="Aptos"/>
          <w:b w:val="0"/>
          <w:i w:val="0"/>
          <w:color w:val="222620"/>
          <w:sz w:val="21"/>
        </w:rPr>
        <w:t>Select common, culturally important and ecologically secure taxa—not only exotic or psychoactive plants.</w:t>
      </w:r>
    </w:p>
    <w:p>
      <w:pPr>
        <w:pStyle w:val="ListBullet"/>
        <w:spacing w:after="80" w:line="283" w:lineRule="auto"/>
      </w:pPr>
      <w:r>
        <w:rPr>
          <w:rFonts w:ascii="Aptos" w:hAnsi="Aptos"/>
          <w:b w:val="0"/>
          <w:i w:val="0"/>
          <w:color w:val="222620"/>
          <w:sz w:val="21"/>
        </w:rPr>
        <w:t>Include positive, null, hazardous and abandoned practices to reduce survivorship bias.</w:t>
      </w:r>
    </w:p>
    <w:p>
      <w:pPr>
        <w:pStyle w:val="ListBullet"/>
        <w:spacing w:after="80" w:line="283" w:lineRule="auto"/>
      </w:pPr>
      <w:r>
        <w:rPr>
          <w:rFonts w:ascii="Aptos" w:hAnsi="Aptos"/>
          <w:b w:val="0"/>
          <w:i w:val="0"/>
          <w:color w:val="222620"/>
          <w:sz w:val="21"/>
        </w:rPr>
        <w:t>Represent oral and textual traditions, women’s knowledge, domestic medicine and specialist practice.</w:t>
      </w:r>
    </w:p>
    <w:p>
      <w:pPr>
        <w:pStyle w:val="ListBullet"/>
        <w:spacing w:after="80" w:line="283" w:lineRule="auto"/>
      </w:pPr>
      <w:r>
        <w:rPr>
          <w:rFonts w:ascii="Aptos" w:hAnsi="Aptos"/>
          <w:b w:val="0"/>
          <w:i w:val="0"/>
          <w:color w:val="222620"/>
          <w:sz w:val="21"/>
        </w:rPr>
        <w:t>Pair at least one African regional cluster with comparable but independently sourced traditions elsewhere.</w:t>
      </w:r>
    </w:p>
    <w:p>
      <w:pPr>
        <w:pStyle w:val="ListBullet"/>
        <w:spacing w:after="80" w:line="283" w:lineRule="auto"/>
      </w:pPr>
      <w:r>
        <w:rPr>
          <w:rFonts w:ascii="Aptos" w:hAnsi="Aptos"/>
          <w:b w:val="0"/>
          <w:i w:val="0"/>
          <w:color w:val="222620"/>
          <w:sz w:val="21"/>
        </w:rPr>
        <w:t>Include one deliberately difficult identity problem and one restricted-knowledge case to test governance.</w:t>
      </w:r>
    </w:p>
    <w:p>
      <w:pPr>
        <w:pStyle w:val="Heading2"/>
        <w:keepNext/>
      </w:pPr>
      <w:r>
        <w:t>41. Governance roles</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20352D"/>
            <w:tcMar>
              <w:top w:w="90" w:type="dxa"/>
              <w:start w:w="120" w:type="dxa"/>
              <w:bottom w:w="90" w:type="dxa"/>
              <w:end w:w="120" w:type="dxa"/>
            </w:tcMar>
            <w:vAlign w:val="center"/>
          </w:tcPr>
          <w:p>
            <w:r>
              <w:rPr>
                <w:rFonts w:ascii="Aptos" w:hAnsi="Aptos"/>
                <w:b/>
                <w:i w:val="0"/>
                <w:color w:val="FFFFFF"/>
                <w:sz w:val="18"/>
              </w:rPr>
              <w:t>Role</w:t>
            </w:r>
          </w:p>
        </w:tc>
        <w:tc>
          <w:tcPr>
            <w:tcW w:type="dxa" w:w="6840"/>
            <w:shd w:fill="20352D"/>
            <w:tcMar>
              <w:top w:w="90" w:type="dxa"/>
              <w:start w:w="120" w:type="dxa"/>
              <w:bottom w:w="90" w:type="dxa"/>
              <w:end w:w="120" w:type="dxa"/>
            </w:tcMar>
            <w:vAlign w:val="center"/>
          </w:tcPr>
          <w:p>
            <w:r>
              <w:rPr>
                <w:rFonts w:ascii="Aptos" w:hAnsi="Aptos"/>
                <w:b/>
                <w:i w:val="0"/>
                <w:color w:val="FFFFFF"/>
                <w:sz w:val="18"/>
              </w:rPr>
              <w:t>Authority</w:t>
            </w:r>
          </w:p>
        </w:tc>
      </w:tr>
      <w:tr>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Community council/custodians</w:t>
            </w:r>
          </w:p>
        </w:tc>
        <w:tc>
          <w:tcPr>
            <w:tcW w:type="dxa" w:w="6840"/>
            <w:tcMar>
              <w:top w:w="90" w:type="dxa"/>
              <w:start w:w="120" w:type="dxa"/>
              <w:bottom w:w="90" w:type="dxa"/>
              <w:end w:w="120" w:type="dxa"/>
            </w:tcMar>
            <w:vAlign w:val="center"/>
          </w:tcPr>
          <w:p>
            <w:pPr>
              <w:spacing w:after="0" w:line="264" w:lineRule="auto"/>
            </w:pPr>
            <w:r>
              <w:rPr>
                <w:rFonts w:ascii="Aptos" w:hAnsi="Aptos"/>
                <w:b w:val="0"/>
                <w:i w:val="0"/>
                <w:color w:val="222620"/>
                <w:sz w:val="17"/>
              </w:rPr>
              <w:t>Consent, attribution, restriction, interpretation and benefit-sharing</w:t>
            </w:r>
          </w:p>
        </w:tc>
      </w:tr>
      <w:tr>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Ethnobotany editor</w:t>
            </w:r>
          </w:p>
        </w:tc>
        <w:tc>
          <w:tcPr>
            <w:tcW w:type="dxa" w:w="68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Source fidelity, transmission mapping and comparative method</w:t>
            </w:r>
          </w:p>
        </w:tc>
      </w:tr>
      <w:tr>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Taxonomy lead</w:t>
            </w:r>
          </w:p>
        </w:tc>
        <w:tc>
          <w:tcPr>
            <w:tcW w:type="dxa" w:w="6840"/>
            <w:tcMar>
              <w:top w:w="90" w:type="dxa"/>
              <w:start w:w="120" w:type="dxa"/>
              <w:bottom w:w="90" w:type="dxa"/>
              <w:end w:w="120" w:type="dxa"/>
            </w:tcMar>
            <w:vAlign w:val="center"/>
          </w:tcPr>
          <w:p>
            <w:pPr>
              <w:spacing w:after="0" w:line="264" w:lineRule="auto"/>
            </w:pPr>
            <w:r>
              <w:rPr>
                <w:rFonts w:ascii="Aptos" w:hAnsi="Aptos"/>
                <w:b w:val="0"/>
                <w:i w:val="0"/>
                <w:color w:val="222620"/>
                <w:sz w:val="17"/>
              </w:rPr>
              <w:t>Identity, voucher and synonym resolution</w:t>
            </w:r>
          </w:p>
        </w:tc>
      </w:tr>
      <w:tr>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Clinical-methods lead</w:t>
            </w:r>
          </w:p>
        </w:tc>
        <w:tc>
          <w:tcPr>
            <w:tcW w:type="dxa" w:w="68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Evidence eligibility, bias and statistical synthesis</w:t>
            </w:r>
          </w:p>
        </w:tc>
      </w:tr>
      <w:tr>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Safety lead</w:t>
            </w:r>
          </w:p>
        </w:tc>
        <w:tc>
          <w:tcPr>
            <w:tcW w:type="dxa" w:w="6840"/>
            <w:tcMar>
              <w:top w:w="90" w:type="dxa"/>
              <w:start w:w="120" w:type="dxa"/>
              <w:bottom w:w="90" w:type="dxa"/>
              <w:end w:w="120" w:type="dxa"/>
            </w:tcMar>
            <w:vAlign w:val="center"/>
          </w:tcPr>
          <w:p>
            <w:pPr>
              <w:spacing w:after="0" w:line="264" w:lineRule="auto"/>
            </w:pPr>
            <w:r>
              <w:rPr>
                <w:rFonts w:ascii="Aptos" w:hAnsi="Aptos"/>
                <w:b w:val="0"/>
                <w:i w:val="0"/>
                <w:color w:val="222620"/>
                <w:sz w:val="17"/>
              </w:rPr>
              <w:t>Toxicology, interactions, misuse and escalation</w:t>
            </w:r>
          </w:p>
        </w:tc>
      </w:tr>
      <w:tr>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Conservation lead</w:t>
            </w:r>
          </w:p>
        </w:tc>
        <w:tc>
          <w:tcPr>
            <w:tcW w:type="dxa" w:w="68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Harvest impact, threatened taxa and publication risk</w:t>
            </w:r>
          </w:p>
        </w:tc>
      </w:tr>
      <w:tr>
        <w:tc>
          <w:tcPr>
            <w:tcW w:type="dxa" w:w="2520"/>
            <w:tcMar>
              <w:top w:w="90" w:type="dxa"/>
              <w:start w:w="120" w:type="dxa"/>
              <w:bottom w:w="90" w:type="dxa"/>
              <w:end w:w="120" w:type="dxa"/>
            </w:tcMar>
            <w:vAlign w:val="center"/>
          </w:tcPr>
          <w:p>
            <w:pPr>
              <w:spacing w:after="0" w:line="264" w:lineRule="auto"/>
            </w:pPr>
            <w:r>
              <w:rPr>
                <w:rFonts w:ascii="Aptos" w:hAnsi="Aptos"/>
                <w:b w:val="0"/>
                <w:i w:val="0"/>
                <w:color w:val="222620"/>
                <w:sz w:val="17"/>
              </w:rPr>
              <w:t>Data steward</w:t>
            </w:r>
          </w:p>
        </w:tc>
        <w:tc>
          <w:tcPr>
            <w:tcW w:type="dxa" w:w="6840"/>
            <w:tcMar>
              <w:top w:w="90" w:type="dxa"/>
              <w:start w:w="120" w:type="dxa"/>
              <w:bottom w:w="90" w:type="dxa"/>
              <w:end w:w="120" w:type="dxa"/>
            </w:tcMar>
            <w:vAlign w:val="center"/>
          </w:tcPr>
          <w:p>
            <w:pPr>
              <w:spacing w:after="0" w:line="264" w:lineRule="auto"/>
            </w:pPr>
            <w:r>
              <w:rPr>
                <w:rFonts w:ascii="Aptos" w:hAnsi="Aptos"/>
                <w:b w:val="0"/>
                <w:i w:val="0"/>
                <w:color w:val="222620"/>
                <w:sz w:val="17"/>
              </w:rPr>
              <w:t>CARE-aligned permissions, provenance, versioning and audit</w:t>
            </w:r>
          </w:p>
        </w:tc>
      </w:tr>
      <w:tr>
        <w:tc>
          <w:tcPr>
            <w:tcW w:type="dxa" w:w="252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Independent ombud</w:t>
            </w:r>
          </w:p>
        </w:tc>
        <w:tc>
          <w:tcPr>
            <w:tcW w:type="dxa" w:w="6840"/>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Grievance, correction, conflict and takedown pathway</w:t>
            </w:r>
          </w:p>
        </w:tc>
      </w:tr>
    </w:tbl>
    <w:p>
      <w:pPr>
        <w:spacing w:after="20"/>
      </w:pPr>
    </w:p>
    <w:p>
      <w:pPr>
        <w:pStyle w:val="Heading1"/>
        <w:keepNext/>
      </w:pPr>
      <w:r>
        <w:t>Appendix A — Intake Card</w:t>
      </w:r>
    </w:p>
    <w:tbl>
      <w:tblPr>
        <w:tblStyle w:val="TableGrid"/>
        <w:tblW w:type="dxa" w:w="9360"/>
        <w:jc w:val="left"/>
        <w:tblLayout w:type="fixed"/>
        <w:tblLook w:firstColumn="1" w:firstRow="1" w:lastColumn="0" w:lastRow="0" w:noHBand="0" w:noVBand="1" w:val="04A0"/>
        <w:tblInd w:w="120" w:type="dxa"/>
      </w:tblPr>
      <w:tblGrid>
        <w:gridCol w:w="3672"/>
        <w:gridCol w:w="5688"/>
      </w:tblGrid>
      <w:tr>
        <w:trPr>
          <w:tblHeader w:val="true"/>
        </w:trPr>
        <w:tc>
          <w:tcPr>
            <w:tcW w:type="dxa" w:w="3672"/>
            <w:shd w:fill="20352D"/>
            <w:tcMar>
              <w:top w:w="90" w:type="dxa"/>
              <w:start w:w="120" w:type="dxa"/>
              <w:bottom w:w="90" w:type="dxa"/>
              <w:end w:w="120" w:type="dxa"/>
            </w:tcMar>
            <w:vAlign w:val="center"/>
          </w:tcPr>
          <w:p>
            <w:r>
              <w:rPr>
                <w:rFonts w:ascii="Aptos" w:hAnsi="Aptos"/>
                <w:b/>
                <w:i w:val="0"/>
                <w:color w:val="FFFFFF"/>
                <w:sz w:val="18"/>
              </w:rPr>
              <w:t>Field</w:t>
            </w:r>
          </w:p>
        </w:tc>
        <w:tc>
          <w:tcPr>
            <w:tcW w:type="dxa" w:w="5688"/>
            <w:shd w:fill="20352D"/>
            <w:tcMar>
              <w:top w:w="90" w:type="dxa"/>
              <w:start w:w="120" w:type="dxa"/>
              <w:bottom w:w="90" w:type="dxa"/>
              <w:end w:w="120" w:type="dxa"/>
            </w:tcMar>
            <w:vAlign w:val="center"/>
          </w:tcPr>
          <w:p>
            <w:r>
              <w:rPr>
                <w:rFonts w:ascii="Aptos" w:hAnsi="Aptos"/>
                <w:b/>
                <w:i w:val="0"/>
                <w:color w:val="FFFFFF"/>
                <w:sz w:val="18"/>
              </w:rPr>
              <w:t>Entry</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Record ID</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Knowledge holder / requested attribution</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Authority and consent state</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Language / exact vernacular name</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Taxon proposal / confidence / voucher</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Part / preparation / route</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Purpose in source terms</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Context / explanatory model</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Outcome / adverse event / failure</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Source / date / page / transmission parent</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tcMar>
              <w:top w:w="90" w:type="dxa"/>
              <w:start w:w="120" w:type="dxa"/>
              <w:bottom w:w="90" w:type="dxa"/>
              <w:end w:w="120" w:type="dxa"/>
            </w:tcMar>
            <w:vAlign w:val="center"/>
          </w:tcPr>
          <w:p>
            <w:pPr>
              <w:spacing w:after="0" w:line="264" w:lineRule="auto"/>
            </w:pPr>
            <w:r>
              <w:rPr>
                <w:rFonts w:ascii="Aptos" w:hAnsi="Aptos"/>
                <w:b w:val="0"/>
                <w:i w:val="0"/>
                <w:color w:val="222620"/>
                <w:sz w:val="17"/>
              </w:rPr>
              <w:t>Restriction / Local Contexts notice or label</w:t>
            </w:r>
          </w:p>
        </w:tc>
        <w:tc>
          <w:tcPr>
            <w:tcW w:type="dxa" w:w="5688"/>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r>
        <w:tc>
          <w:tcPr>
            <w:tcW w:type="dxa" w:w="3672"/>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Benefit-sharing obligation / review date</w:t>
            </w:r>
          </w:p>
        </w:tc>
        <w:tc>
          <w:tcPr>
            <w:tcW w:type="dxa" w:w="5688"/>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____________________________________________</w:t>
            </w:r>
          </w:p>
        </w:tc>
      </w:tr>
    </w:tbl>
    <w:p>
      <w:pPr>
        <w:spacing w:after="20"/>
      </w:pPr>
    </w:p>
    <w:p>
      <w:pPr>
        <w:pStyle w:val="Heading1"/>
        <w:keepNext/>
      </w:pPr>
      <w:r>
        <w:t>Appendix B — Claim Adjudication Card</w:t>
      </w:r>
    </w:p>
    <w:tbl>
      <w:tblPr>
        <w:tblStyle w:val="TableGrid"/>
        <w:tblW w:type="dxa" w:w="9360"/>
        <w:jc w:val="left"/>
        <w:tblLayout w:type="fixed"/>
        <w:tblLook w:firstColumn="1" w:firstRow="1" w:lastColumn="0" w:lastRow="0" w:noHBand="0" w:noVBand="1" w:val="04A0"/>
        <w:tblInd w:w="120" w:type="dxa"/>
      </w:tblPr>
      <w:tblGrid>
        <w:gridCol w:w="2376"/>
        <w:gridCol w:w="504"/>
        <w:gridCol w:w="504"/>
        <w:gridCol w:w="504"/>
        <w:gridCol w:w="504"/>
        <w:gridCol w:w="504"/>
        <w:gridCol w:w="4464"/>
      </w:tblGrid>
      <w:tr>
        <w:trPr>
          <w:tblHeader w:val="true"/>
        </w:trPr>
        <w:tc>
          <w:tcPr>
            <w:tcW w:type="dxa" w:w="2376"/>
            <w:shd w:fill="20352D"/>
            <w:tcMar>
              <w:top w:w="90" w:type="dxa"/>
              <w:start w:w="120" w:type="dxa"/>
              <w:bottom w:w="90" w:type="dxa"/>
              <w:end w:w="120" w:type="dxa"/>
            </w:tcMar>
            <w:vAlign w:val="center"/>
          </w:tcPr>
          <w:p>
            <w:r>
              <w:rPr>
                <w:rFonts w:ascii="Aptos" w:hAnsi="Aptos"/>
                <w:b/>
                <w:i w:val="0"/>
                <w:color w:val="FFFFFF"/>
                <w:sz w:val="18"/>
              </w:rPr>
              <w:t>Axis</w:t>
            </w:r>
          </w:p>
        </w:tc>
        <w:tc>
          <w:tcPr>
            <w:tcW w:type="dxa" w:w="504"/>
            <w:shd w:fill="20352D"/>
            <w:tcMar>
              <w:top w:w="90" w:type="dxa"/>
              <w:start w:w="120" w:type="dxa"/>
              <w:bottom w:w="90" w:type="dxa"/>
              <w:end w:w="120" w:type="dxa"/>
            </w:tcMar>
            <w:vAlign w:val="center"/>
          </w:tcPr>
          <w:p>
            <w:r>
              <w:rPr>
                <w:rFonts w:ascii="Aptos" w:hAnsi="Aptos"/>
                <w:b/>
                <w:i w:val="0"/>
                <w:color w:val="FFFFFF"/>
                <w:sz w:val="18"/>
              </w:rPr>
              <w:t>0</w:t>
            </w:r>
          </w:p>
        </w:tc>
        <w:tc>
          <w:tcPr>
            <w:tcW w:type="dxa" w:w="504"/>
            <w:shd w:fill="20352D"/>
            <w:tcMar>
              <w:top w:w="90" w:type="dxa"/>
              <w:start w:w="120" w:type="dxa"/>
              <w:bottom w:w="90" w:type="dxa"/>
              <w:end w:w="120" w:type="dxa"/>
            </w:tcMar>
            <w:vAlign w:val="center"/>
          </w:tcPr>
          <w:p>
            <w:r>
              <w:rPr>
                <w:rFonts w:ascii="Aptos" w:hAnsi="Aptos"/>
                <w:b/>
                <w:i w:val="0"/>
                <w:color w:val="FFFFFF"/>
                <w:sz w:val="18"/>
              </w:rPr>
              <w:t>1</w:t>
            </w:r>
          </w:p>
        </w:tc>
        <w:tc>
          <w:tcPr>
            <w:tcW w:type="dxa" w:w="504"/>
            <w:shd w:fill="20352D"/>
            <w:tcMar>
              <w:top w:w="90" w:type="dxa"/>
              <w:start w:w="120" w:type="dxa"/>
              <w:bottom w:w="90" w:type="dxa"/>
              <w:end w:w="120" w:type="dxa"/>
            </w:tcMar>
            <w:vAlign w:val="center"/>
          </w:tcPr>
          <w:p>
            <w:r>
              <w:rPr>
                <w:rFonts w:ascii="Aptos" w:hAnsi="Aptos"/>
                <w:b/>
                <w:i w:val="0"/>
                <w:color w:val="FFFFFF"/>
                <w:sz w:val="18"/>
              </w:rPr>
              <w:t>2</w:t>
            </w:r>
          </w:p>
        </w:tc>
        <w:tc>
          <w:tcPr>
            <w:tcW w:type="dxa" w:w="504"/>
            <w:shd w:fill="20352D"/>
            <w:tcMar>
              <w:top w:w="90" w:type="dxa"/>
              <w:start w:w="120" w:type="dxa"/>
              <w:bottom w:w="90" w:type="dxa"/>
              <w:end w:w="120" w:type="dxa"/>
            </w:tcMar>
            <w:vAlign w:val="center"/>
          </w:tcPr>
          <w:p>
            <w:r>
              <w:rPr>
                <w:rFonts w:ascii="Aptos" w:hAnsi="Aptos"/>
                <w:b/>
                <w:i w:val="0"/>
                <w:color w:val="FFFFFF"/>
                <w:sz w:val="18"/>
              </w:rPr>
              <w:t>3</w:t>
            </w:r>
          </w:p>
        </w:tc>
        <w:tc>
          <w:tcPr>
            <w:tcW w:type="dxa" w:w="504"/>
            <w:shd w:fill="20352D"/>
            <w:tcMar>
              <w:top w:w="90" w:type="dxa"/>
              <w:start w:w="120" w:type="dxa"/>
              <w:bottom w:w="90" w:type="dxa"/>
              <w:end w:w="120" w:type="dxa"/>
            </w:tcMar>
            <w:vAlign w:val="center"/>
          </w:tcPr>
          <w:p>
            <w:r>
              <w:rPr>
                <w:rFonts w:ascii="Aptos" w:hAnsi="Aptos"/>
                <w:b/>
                <w:i w:val="0"/>
                <w:color w:val="FFFFFF"/>
                <w:sz w:val="18"/>
              </w:rPr>
              <w:t>4</w:t>
            </w:r>
          </w:p>
        </w:tc>
        <w:tc>
          <w:tcPr>
            <w:tcW w:type="dxa" w:w="4464"/>
            <w:shd w:fill="20352D"/>
            <w:tcMar>
              <w:top w:w="90" w:type="dxa"/>
              <w:start w:w="120" w:type="dxa"/>
              <w:bottom w:w="90" w:type="dxa"/>
              <w:end w:w="120" w:type="dxa"/>
            </w:tcMar>
            <w:vAlign w:val="center"/>
          </w:tcPr>
          <w:p>
            <w:r>
              <w:rPr>
                <w:rFonts w:ascii="Aptos" w:hAnsi="Aptos"/>
                <w:b/>
                <w:i w:val="0"/>
                <w:color w:val="FFFFFF"/>
                <w:sz w:val="18"/>
              </w:rPr>
              <w:t>Rationale</w:t>
            </w:r>
          </w:p>
        </w:tc>
      </w:tr>
      <w:tr>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Cultural authenticity</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Source integrity</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Material identity</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Independent convergence</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Biological plausibility</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Clinical evidence</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shd w:fill="F4F7F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r>
        <w:tc>
          <w:tcPr>
            <w:tcW w:type="dxa" w:w="2376"/>
            <w:tcMar>
              <w:top w:w="90" w:type="dxa"/>
              <w:start w:w="120" w:type="dxa"/>
              <w:bottom w:w="90" w:type="dxa"/>
              <w:end w:w="120" w:type="dxa"/>
            </w:tcMar>
            <w:vAlign w:val="center"/>
          </w:tcPr>
          <w:p>
            <w:pPr>
              <w:spacing w:after="0" w:line="264" w:lineRule="auto"/>
            </w:pPr>
            <w:r>
              <w:rPr>
                <w:rFonts w:ascii="Aptos" w:hAnsi="Aptos"/>
                <w:b w:val="0"/>
                <w:i w:val="0"/>
                <w:color w:val="222620"/>
                <w:sz w:val="17"/>
              </w:rPr>
              <w:t>Safety certainty</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504"/>
            <w:tcMar>
              <w:top w:w="90" w:type="dxa"/>
              <w:start w:w="120" w:type="dxa"/>
              <w:bottom w:w="90" w:type="dxa"/>
              <w:end w:w="120" w:type="dxa"/>
            </w:tcMar>
            <w:vAlign w:val="center"/>
          </w:tcPr>
          <w:p>
            <w:pPr>
              <w:spacing w:after="0" w:line="264" w:lineRule="auto"/>
            </w:pPr>
            <w:r>
              <w:rPr>
                <w:rFonts w:ascii="Aptos" w:hAnsi="Aptos"/>
                <w:b w:val="0"/>
                <w:i w:val="0"/>
                <w:color w:val="222620"/>
                <w:sz w:val="17"/>
              </w:rPr>
              <w:t>☐</w:t>
            </w:r>
          </w:p>
        </w:tc>
        <w:tc>
          <w:tcPr>
            <w:tcW w:type="dxa" w:w="4464"/>
            <w:tcMar>
              <w:top w:w="90" w:type="dxa"/>
              <w:start w:w="120" w:type="dxa"/>
              <w:bottom w:w="90" w:type="dxa"/>
              <w:end w:w="120" w:type="dxa"/>
            </w:tcMar>
            <w:vAlign w:val="center"/>
          </w:tcPr>
          <w:p>
            <w:pPr>
              <w:spacing w:after="0" w:line="264" w:lineRule="auto"/>
            </w:pPr>
            <w:r>
              <w:rPr>
                <w:rFonts w:ascii="Aptos" w:hAnsi="Aptos"/>
                <w:b w:val="0"/>
                <w:i w:val="0"/>
                <w:color w:val="222620"/>
                <w:sz w:val="17"/>
              </w:rPr>
            </w:r>
          </w:p>
        </w:tc>
      </w:tr>
    </w:tbl>
    <w:p>
      <w:pPr>
        <w:spacing w:after="20"/>
      </w:pPr>
    </w:p>
    <w:p>
      <w:pPr>
        <w:spacing w:after="120" w:line="293" w:lineRule="auto"/>
      </w:pPr>
      <w:r>
        <w:rPr>
          <w:rFonts w:ascii="Aptos" w:hAnsi="Aptos"/>
          <w:b w:val="0"/>
          <w:i w:val="0"/>
          <w:color w:val="222620"/>
          <w:sz w:val="21"/>
        </w:rPr>
        <w:t>Preparation match: ____________________   Transmission independence: ____________________</w:t>
      </w:r>
    </w:p>
    <w:p>
      <w:pPr>
        <w:spacing w:after="120" w:line="293" w:lineRule="auto"/>
      </w:pPr>
      <w:r>
        <w:rPr>
          <w:rFonts w:ascii="Aptos" w:hAnsi="Aptos"/>
          <w:b w:val="0"/>
          <w:i w:val="0"/>
          <w:color w:val="222620"/>
          <w:sz w:val="21"/>
        </w:rPr>
        <w:t>Restrictions: __________________________   Editorial band: ______________________________</w:t>
      </w:r>
    </w:p>
    <w:p>
      <w:pPr>
        <w:spacing w:after="120" w:line="293" w:lineRule="auto"/>
      </w:pPr>
      <w:r>
        <w:rPr>
          <w:rFonts w:ascii="Aptos" w:hAnsi="Aptos"/>
          <w:b w:val="0"/>
          <w:i w:val="0"/>
          <w:color w:val="222620"/>
          <w:sz w:val="21"/>
        </w:rPr>
        <w:t>Calibrated conclusion:</w:t>
      </w:r>
    </w:p>
    <w:p>
      <w:pPr>
        <w:spacing w:after="120" w:line="293" w:lineRule="auto"/>
      </w:pPr>
      <w:r>
        <w:rPr>
          <w:rFonts w:ascii="Aptos" w:hAnsi="Aptos"/>
          <w:b w:val="0"/>
          <w:i w:val="0"/>
          <w:color w:val="222620"/>
          <w:sz w:val="21"/>
        </w:rPr>
        <w:t>________________________________________________________________________________</w:t>
      </w:r>
    </w:p>
    <w:p>
      <w:pPr>
        <w:spacing w:after="120" w:line="293" w:lineRule="auto"/>
      </w:pPr>
      <w:r>
        <w:rPr>
          <w:rFonts w:ascii="Aptos" w:hAnsi="Aptos"/>
          <w:b w:val="0"/>
          <w:i w:val="0"/>
          <w:color w:val="222620"/>
          <w:sz w:val="21"/>
        </w:rPr>
        <w:t>Required custodian/scientific review and next trigger:</w:t>
      </w:r>
    </w:p>
    <w:p>
      <w:pPr>
        <w:spacing w:after="120" w:line="293" w:lineRule="auto"/>
      </w:pPr>
      <w:r>
        <w:rPr>
          <w:rFonts w:ascii="Aptos" w:hAnsi="Aptos"/>
          <w:b w:val="0"/>
          <w:i w:val="0"/>
          <w:color w:val="222620"/>
          <w:sz w:val="21"/>
        </w:rPr>
        <w:t>________________________________________________________________________________</w:t>
      </w:r>
    </w:p>
    <w:p>
      <w:pPr>
        <w:pStyle w:val="Heading1"/>
        <w:keepNext/>
      </w:pPr>
      <w:r>
        <w:t>Appendix C — Core Bibliography and Standards</w:t>
      </w:r>
    </w:p>
    <w:p>
      <w:pPr>
        <w:spacing w:after="100"/>
        <w:ind w:left="360" w:hanging="360"/>
      </w:pPr>
      <w:r>
        <w:rPr>
          <w:rFonts w:ascii="Aptos" w:hAnsi="Aptos"/>
          <w:b/>
          <w:i w:val="0"/>
          <w:color w:val="222620"/>
          <w:sz w:val="19"/>
        </w:rPr>
        <w:t xml:space="preserve">Convention on Biological Diversity. </w:t>
      </w:r>
      <w:r>
        <w:rPr>
          <w:rFonts w:ascii="Aptos" w:hAnsi="Aptos"/>
          <w:b w:val="0"/>
          <w:i w:val="0"/>
          <w:color w:val="222620"/>
          <w:sz w:val="19"/>
        </w:rPr>
        <w:t>Nagoya Protocol on Access and Benefit-sharing; Article 12 and associated traditional knowledge guidance. https://www.cbd.int/access-benefit-sharing</w:t>
      </w:r>
    </w:p>
    <w:p>
      <w:pPr>
        <w:spacing w:after="100"/>
        <w:ind w:left="360" w:hanging="360"/>
      </w:pPr>
      <w:r>
        <w:rPr>
          <w:rFonts w:ascii="Aptos" w:hAnsi="Aptos"/>
          <w:b/>
          <w:i w:val="0"/>
          <w:color w:val="222620"/>
          <w:sz w:val="19"/>
        </w:rPr>
        <w:t xml:space="preserve">Convention on Biological Diversity. </w:t>
      </w:r>
      <w:r>
        <w:rPr>
          <w:rFonts w:ascii="Aptos" w:hAnsi="Aptos"/>
          <w:b w:val="0"/>
          <w:i w:val="0"/>
          <w:color w:val="222620"/>
          <w:sz w:val="19"/>
        </w:rPr>
        <w:t>Traditional Knowledge, Innovations and Practices; Article 8(j) programme. https://www.cbd.int/traditional/intro.shtml</w:t>
      </w:r>
    </w:p>
    <w:p>
      <w:pPr>
        <w:spacing w:after="100"/>
        <w:ind w:left="360" w:hanging="360"/>
      </w:pPr>
      <w:r>
        <w:rPr>
          <w:rFonts w:ascii="Aptos" w:hAnsi="Aptos"/>
          <w:b/>
          <w:i w:val="0"/>
          <w:color w:val="222620"/>
          <w:sz w:val="19"/>
        </w:rPr>
        <w:t xml:space="preserve">Global Indigenous Data Alliance. </w:t>
      </w:r>
      <w:r>
        <w:rPr>
          <w:rFonts w:ascii="Aptos" w:hAnsi="Aptos"/>
          <w:b w:val="0"/>
          <w:i w:val="0"/>
          <w:color w:val="222620"/>
          <w:sz w:val="19"/>
        </w:rPr>
        <w:t>CARE Principles for Indigenous Data Governance. https://www.gida-global.org/careprinciples</w:t>
      </w:r>
    </w:p>
    <w:p>
      <w:pPr>
        <w:spacing w:after="100"/>
        <w:ind w:left="360" w:hanging="360"/>
      </w:pPr>
      <w:r>
        <w:rPr>
          <w:rFonts w:ascii="Aptos" w:hAnsi="Aptos"/>
          <w:b/>
          <w:i w:val="0"/>
          <w:color w:val="222620"/>
          <w:sz w:val="19"/>
        </w:rPr>
        <w:t xml:space="preserve">Local Contexts. </w:t>
      </w:r>
      <w:r>
        <w:rPr>
          <w:rFonts w:ascii="Aptos" w:hAnsi="Aptos"/>
          <w:b w:val="0"/>
          <w:i w:val="0"/>
          <w:color w:val="222620"/>
          <w:sz w:val="19"/>
        </w:rPr>
        <w:t>Traditional Knowledge and Biocultural Labels and Notices. https://localcontexts.org/labels/traditional-knowledge-labels/</w:t>
      </w:r>
    </w:p>
    <w:p>
      <w:pPr>
        <w:spacing w:after="100"/>
        <w:ind w:left="360" w:hanging="360"/>
      </w:pPr>
      <w:r>
        <w:rPr>
          <w:rFonts w:ascii="Aptos" w:hAnsi="Aptos"/>
          <w:b/>
          <w:i w:val="0"/>
          <w:color w:val="222620"/>
          <w:sz w:val="19"/>
        </w:rPr>
        <w:t xml:space="preserve">World Health Organization. </w:t>
      </w:r>
      <w:r>
        <w:rPr>
          <w:rFonts w:ascii="Aptos" w:hAnsi="Aptos"/>
          <w:b w:val="0"/>
          <w:i w:val="0"/>
          <w:color w:val="222620"/>
          <w:sz w:val="19"/>
        </w:rPr>
        <w:t>Global Traditional Medicine Strategy 2025–2034. https://www.who.int/publications/i/item/9789240113176</w:t>
      </w:r>
    </w:p>
    <w:p>
      <w:pPr>
        <w:spacing w:after="100"/>
        <w:ind w:left="360" w:hanging="360"/>
      </w:pPr>
      <w:r>
        <w:rPr>
          <w:rFonts w:ascii="Aptos" w:hAnsi="Aptos"/>
          <w:b/>
          <w:i w:val="0"/>
          <w:color w:val="222620"/>
          <w:sz w:val="19"/>
        </w:rPr>
        <w:t xml:space="preserve">Native American Ethnobotany Database. </w:t>
      </w:r>
      <w:r>
        <w:rPr>
          <w:rFonts w:ascii="Aptos" w:hAnsi="Aptos"/>
          <w:b w:val="0"/>
          <w:i w:val="0"/>
          <w:color w:val="222620"/>
          <w:sz w:val="19"/>
        </w:rPr>
        <w:t>Pinus sabiniana: Costanoan antirheumatic use record. https://naeb.brit.org/uses/search/?string=Pinus+sabiniana</w:t>
      </w:r>
    </w:p>
    <w:p>
      <w:pPr>
        <w:spacing w:after="100"/>
        <w:ind w:left="360" w:hanging="360"/>
      </w:pPr>
      <w:r>
        <w:rPr>
          <w:rFonts w:ascii="Aptos" w:hAnsi="Aptos"/>
          <w:b/>
          <w:i w:val="0"/>
          <w:color w:val="222620"/>
          <w:sz w:val="19"/>
        </w:rPr>
        <w:t xml:space="preserve">Batista et al. (2022). </w:t>
      </w:r>
      <w:r>
        <w:rPr>
          <w:rFonts w:ascii="Aptos" w:hAnsi="Aptos"/>
          <w:b w:val="0"/>
          <w:i w:val="0"/>
          <w:color w:val="222620"/>
          <w:sz w:val="19"/>
        </w:rPr>
        <w:t>A scoping review on the therapeutic potential of resin from Picea abies, Pinus nigra and Larix decidua. https://pmc.ncbi.nlm.nih.gov/articles/PMC9204203/</w:t>
      </w:r>
    </w:p>
    <w:p>
      <w:pPr>
        <w:spacing w:after="100"/>
        <w:ind w:left="360" w:hanging="360"/>
      </w:pPr>
      <w:r>
        <w:rPr>
          <w:rFonts w:ascii="Aptos" w:hAnsi="Aptos"/>
          <w:b/>
          <w:i w:val="0"/>
          <w:color w:val="222620"/>
          <w:sz w:val="19"/>
        </w:rPr>
        <w:t xml:space="preserve">Jokinen et al. (2016). </w:t>
      </w:r>
      <w:r>
        <w:rPr>
          <w:rFonts w:ascii="Aptos" w:hAnsi="Aptos"/>
          <w:b w:val="0"/>
          <w:i w:val="0"/>
          <w:color w:val="222620"/>
          <w:sz w:val="19"/>
        </w:rPr>
        <w:t>Refined spruce resin to treat chronic wounds: rebirth of an old folkloristic therapy. https://pmc.ncbi.nlm.nih.gov/articles/PMC4827294/</w:t>
      </w:r>
    </w:p>
    <w:p>
      <w:pPr>
        <w:spacing w:after="100"/>
        <w:ind w:left="360" w:hanging="360"/>
      </w:pPr>
      <w:r>
        <w:rPr>
          <w:rFonts w:ascii="Aptos" w:hAnsi="Aptos"/>
          <w:b/>
          <w:i w:val="0"/>
          <w:color w:val="222620"/>
          <w:sz w:val="19"/>
        </w:rPr>
        <w:t xml:space="preserve">Papp et al. (2022). </w:t>
      </w:r>
      <w:r>
        <w:rPr>
          <w:rFonts w:ascii="Aptos" w:hAnsi="Aptos"/>
          <w:b w:val="0"/>
          <w:i w:val="0"/>
          <w:color w:val="222620"/>
          <w:sz w:val="19"/>
        </w:rPr>
        <w:t>The importance of pine species in ethnomedicine, pharmacology and trade. https://pmc.ncbi.nlm.nih.gov/articles/PMC9506106/</w:t>
      </w:r>
    </w:p>
    <w:p>
      <w:pPr>
        <w:spacing w:after="100"/>
        <w:ind w:left="360" w:hanging="360"/>
      </w:pPr>
      <w:r>
        <w:rPr>
          <w:rFonts w:ascii="Aptos" w:hAnsi="Aptos"/>
          <w:b/>
          <w:i w:val="0"/>
          <w:color w:val="222620"/>
          <w:sz w:val="19"/>
        </w:rPr>
        <w:t xml:space="preserve">Yamileva et al. (2025). </w:t>
      </w:r>
      <w:r>
        <w:rPr>
          <w:rFonts w:ascii="Aptos" w:hAnsi="Aptos"/>
          <w:b w:val="0"/>
          <w:i w:val="0"/>
          <w:color w:val="222620"/>
          <w:sz w:val="19"/>
        </w:rPr>
        <w:t>In-vitro evaluation of spruce-resin extract for oral inflammatory and plaque-related markers. https://pubmed.ncbi.nlm.nih.gov/39922393/</w:t>
      </w:r>
    </w:p>
    <w:p>
      <w:pPr>
        <w:pStyle w:val="Heading1"/>
        <w:keepNext/>
      </w:pPr>
      <w:r>
        <w:t>Appendix D — Decisions Still to Make</w:t>
      </w:r>
    </w:p>
    <w:p>
      <w:pPr>
        <w:pStyle w:val="ListBullet"/>
        <w:spacing w:after="80" w:line="283" w:lineRule="auto"/>
      </w:pPr>
      <w:r>
        <w:rPr>
          <w:rFonts w:ascii="Aptos" w:hAnsi="Aptos"/>
          <w:b w:val="0"/>
          <w:i w:val="0"/>
          <w:color w:val="222620"/>
          <w:sz w:val="21"/>
        </w:rPr>
        <w:t>Geographic centre of gravity: Southern Africa first, pan-African first, or deliberately global from volume one.</w:t>
      </w:r>
    </w:p>
    <w:p>
      <w:pPr>
        <w:pStyle w:val="ListBullet"/>
        <w:spacing w:after="80" w:line="283" w:lineRule="auto"/>
      </w:pPr>
      <w:r>
        <w:rPr>
          <w:rFonts w:ascii="Aptos" w:hAnsi="Aptos"/>
          <w:b w:val="0"/>
          <w:i w:val="0"/>
          <w:color w:val="222620"/>
          <w:sz w:val="21"/>
        </w:rPr>
        <w:t>Public title and subtitle; whether ‘Medica’ implies a clinical authority the project does not claim.</w:t>
      </w:r>
    </w:p>
    <w:p>
      <w:pPr>
        <w:pStyle w:val="ListBullet"/>
        <w:spacing w:after="80" w:line="283" w:lineRule="auto"/>
      </w:pPr>
      <w:r>
        <w:rPr>
          <w:rFonts w:ascii="Aptos" w:hAnsi="Aptos"/>
          <w:b w:val="0"/>
          <w:i w:val="0"/>
          <w:color w:val="222620"/>
          <w:sz w:val="21"/>
        </w:rPr>
        <w:t>Community governance model and the first invited custodians.</w:t>
      </w:r>
    </w:p>
    <w:p>
      <w:pPr>
        <w:pStyle w:val="ListBullet"/>
        <w:spacing w:after="80" w:line="283" w:lineRule="auto"/>
      </w:pPr>
      <w:r>
        <w:rPr>
          <w:rFonts w:ascii="Aptos" w:hAnsi="Aptos"/>
          <w:b w:val="0"/>
          <w:i w:val="0"/>
          <w:color w:val="222620"/>
          <w:sz w:val="21"/>
        </w:rPr>
        <w:t>Languages of record and translation priority.</w:t>
      </w:r>
    </w:p>
    <w:p>
      <w:pPr>
        <w:pStyle w:val="ListBullet"/>
        <w:spacing w:after="80" w:line="283" w:lineRule="auto"/>
      </w:pPr>
      <w:r>
        <w:rPr>
          <w:rFonts w:ascii="Aptos" w:hAnsi="Aptos"/>
          <w:b w:val="0"/>
          <w:i w:val="0"/>
          <w:color w:val="222620"/>
          <w:sz w:val="21"/>
        </w:rPr>
        <w:t>Database license boundaries and treatment of restricted metadata.</w:t>
      </w:r>
    </w:p>
    <w:p>
      <w:pPr>
        <w:pStyle w:val="ListBullet"/>
        <w:spacing w:after="80" w:line="283" w:lineRule="auto"/>
      </w:pPr>
      <w:r>
        <w:rPr>
          <w:rFonts w:ascii="Aptos" w:hAnsi="Aptos"/>
          <w:b w:val="0"/>
          <w:i w:val="0"/>
          <w:color w:val="222620"/>
          <w:sz w:val="21"/>
        </w:rPr>
        <w:t>Whether the published form is encyclopaedic, narrative, database-first or a linked family of editions.</w:t>
      </w:r>
    </w:p>
    <w:p>
      <w:pPr>
        <w:pStyle w:val="ListBullet"/>
        <w:spacing w:after="80" w:line="283" w:lineRule="auto"/>
      </w:pPr>
      <w:r>
        <w:rPr>
          <w:rFonts w:ascii="Aptos" w:hAnsi="Aptos"/>
          <w:b w:val="0"/>
          <w:i w:val="0"/>
          <w:color w:val="222620"/>
          <w:sz w:val="21"/>
        </w:rPr>
        <w:t>Pilot plant portfolio and exclusion criteria for high-risk entries.</w:t>
      </w:r>
    </w:p>
    <w:tbl>
      <w:tblPr>
        <w:tblW w:type="dxa" w:w="9360"/>
        <w:tblLayout w:type="fixed"/>
        <w:tblLook w:firstColumn="1" w:firstRow="1" w:lastColumn="0" w:lastRow="0" w:noHBand="0" w:noVBand="1" w:val="04A0"/>
        <w:jc w:val="left"/>
        <w:tblInd w:w="120" w:type="dxa"/>
      </w:tblPr>
      <w:tblGrid>
        <w:gridCol w:w="9360"/>
      </w:tblGrid>
      <w:tr>
        <w:tc>
          <w:tcPr>
            <w:tcW w:type="dxa" w:w="9360"/>
            <w:tcMar>
              <w:top w:w="90" w:type="dxa"/>
              <w:start w:w="120" w:type="dxa"/>
              <w:bottom w:w="90" w:type="dxa"/>
              <w:end w:w="120" w:type="dxa"/>
            </w:tcMar>
            <w:vAlign w:val="center"/>
            <w:shd w:fill="DDE6DE"/>
          </w:tcPr>
          <w:p>
            <w:pPr>
              <w:spacing w:after="40"/>
            </w:pPr>
            <w:r>
              <w:rPr>
                <w:rFonts w:ascii="Aptos" w:hAnsi="Aptos"/>
                <w:b/>
                <w:i w:val="0"/>
                <w:color w:val="4C6655"/>
                <w:sz w:val="18"/>
              </w:rPr>
              <w:t xml:space="preserve">CLOSING AXIOM  </w:t>
            </w:r>
            <w:r>
              <w:rPr>
                <w:rFonts w:ascii="Aptos" w:hAnsi="Aptos"/>
                <w:b w:val="0"/>
                <w:i w:val="0"/>
                <w:color w:val="222620"/>
                <w:sz w:val="21"/>
              </w:rPr>
              <w:t>The unit of knowledge is not the plant. It is the relationship: organism, people, place, preparation, purpose, authority and consequence.</w:t>
            </w:r>
          </w:p>
        </w:tc>
      </w:tr>
    </w:tbl>
    <w:p>
      <w:pPr>
        <w:spacing w:after="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69"/>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069"/>
        <w:sz w:val="17"/>
      </w:rPr>
      <w:t>CODEX MEDICA  /  RESEARCH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olor w:val="2226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20352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4C665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8B3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Medica — An Ethnobotanical Cross-Cultural Study Bible</dc:title>
  <dc:subject>Research constitution and scaffold for a community-governed ethnobotanical corpus</dc:subject>
  <dc:creator>Codex Medica Editorial Project</dc:creator>
  <cp:keywords>ethnobotany, traditional medicine, evidence, indigenous data governance, CARE, Nagoya</cp:keywords>
  <dc:description>generated by python-docx</dc:description>
  <cp:lastModifiedBy/>
  <cp:revision>1</cp:revision>
  <dcterms:created xsi:type="dcterms:W3CDTF">2013-12-23T23:15:00Z</dcterms:created>
  <dcterms:modified xsi:type="dcterms:W3CDTF">2013-12-23T23:15:00Z</dcterms:modified>
  <cp:category/>
</cp:coreProperties>
</file>