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val="false"/>
          <w:bCs w:val="false"/>
          <w:i/>
          <w:iCs/>
          <w:sz w:val="22"/>
          <w:szCs w:val="22"/>
        </w:rPr>
        <w:t xml:space="preserve">[ Eye of the Universe ]</w:t>
      </w:r>
    </w:p>
    <w:p>
      <w:pPr>
        <w:spacing w:after="60"/>
        <w:jc w:val="center"/>
      </w:pPr>
      <w:r>
        <w:rPr>
          <w:rFonts w:ascii="Garamond" w:cs="Garamond" w:eastAsia="Garamond" w:hAnsi="Garamond"/>
          <w:b w:val="false"/>
          <w:bCs w:val="false"/>
          <w:i/>
          <w:iCs/>
          <w:sz w:val="22"/>
          <w:szCs w:val="22"/>
        </w:rPr>
        <w:t xml:space="preserve">The 420 Code</w:t>
      </w:r>
    </w:p>
    <w:p>
      <w:pPr>
        <w:spacing w:after="200"/>
        <w:jc w:val="center"/>
      </w:pPr>
      <w:r>
        <w:rPr>
          <w:rFonts w:ascii="Garamond" w:cs="Garamond" w:eastAsia="Garamond" w:hAnsi="Garamond"/>
          <w:b w:val="false"/>
          <w:bCs w:val="false"/>
          <w:i/>
          <w:iCs/>
          <w:sz w:val="22"/>
          <w:szCs w:val="22"/>
        </w:rPr>
        <w:t xml:space="preserve">Ø Artist’s Proofs</w:t>
      </w:r>
    </w:p>
    <w:p>
      <w:pPr>
        <w:spacing w:after="60"/>
        <w:jc w:val="center"/>
      </w:pPr>
      <w:r>
        <w:rPr>
          <w:rFonts w:ascii="Garamond" w:cs="Garamond" w:eastAsia="Garamond" w:hAnsi="Garamond"/>
          <w:b/>
          <w:bCs/>
          <w:i w:val="false"/>
          <w:iCs w:val="false"/>
          <w:sz w:val="30"/>
          <w:szCs w:val="30"/>
        </w:rPr>
        <w:t xml:space="preserve">Artist’s Proof 44</w:t>
      </w:r>
    </w:p>
    <w:p>
      <w:pPr>
        <w:spacing w:after="120"/>
        <w:jc w:val="center"/>
      </w:pPr>
      <w:r>
        <w:rPr>
          <w:rFonts w:ascii="Garamond" w:cs="Garamond" w:eastAsia="Garamond" w:hAnsi="Garamond"/>
          <w:b/>
          <w:bCs/>
          <w:i w:val="false"/>
          <w:iCs w:val="false"/>
          <w:sz w:val="40"/>
          <w:szCs w:val="40"/>
        </w:rPr>
        <w:t xml:space="preserve">The Snap</w:t>
      </w:r>
    </w:p>
    <w:p>
      <w:pPr>
        <w:spacing w:after="60"/>
        <w:jc w:val="center"/>
      </w:pPr>
      <w:r>
        <w:rPr>
          <w:rFonts w:ascii="Garamond" w:cs="Garamond" w:eastAsia="Garamond" w:hAnsi="Garamond"/>
          <w:b w:val="false"/>
          <w:bCs w:val="false"/>
          <w:i/>
          <w:iCs/>
          <w:sz w:val="22"/>
          <w:szCs w:val="22"/>
        </w:rPr>
        <w:t xml:space="preserve">Forces and Constants</w:t>
      </w:r>
    </w:p>
    <w:p>
      <w:pPr>
        <w:spacing w:after="60"/>
        <w:jc w:val="center"/>
      </w:pPr>
      <w:r>
        <w:rPr>
          <w:rFonts w:ascii="Garamond" w:cs="Garamond" w:eastAsia="Garamond" w:hAnsi="Garamond"/>
          <w:b w:val="false"/>
          <w:bCs w:val="false"/>
          <w:i/>
          <w:iCs/>
          <w:sz w:val="22"/>
          <w:szCs w:val="22"/>
        </w:rPr>
        <w:t xml:space="preserve">The configuration cost — the arena’s once-held commitment that realises the gravitational coupling</w:t>
      </w:r>
    </w:p>
    <w:p>
      <w:pPr>
        <w:spacing w:after="160"/>
        <w:jc w:val="center"/>
      </w:pPr>
      <w:r>
        <w:rPr>
          <w:rFonts w:ascii="Garamond" w:cs="Garamond" w:eastAsia="Garamond" w:hAnsi="Garamond"/>
          <w:b w:val="false"/>
          <w:bCs w:val="false"/>
          <w:i/>
          <w:iCs/>
          <w:sz w:val="22"/>
          <w:szCs w:val="22"/>
        </w:rPr>
        <w:t xml:space="preserve">Studio G, Strand, Cape Town · 2026</w:t>
      </w:r>
    </w:p>
    <w:p>
      <w:pPr>
        <w:spacing w:after="200"/>
        <w:jc w:val="center"/>
      </w:pPr>
      <w:r>
        <w:rPr>
          <w:rFonts w:ascii="Garamond" w:cs="Garamond" w:eastAsia="Garamond" w:hAnsi="Garamond"/>
          <w:b/>
          <w:bCs/>
          <w:i w:val="false"/>
          <w:iCs w:val="false"/>
          <w:sz w:val="28"/>
          <w:szCs w:val="28"/>
        </w:rPr>
        <w:t xml:space="preserve">G</w:t>
      </w:r>
    </w:p>
    <w:p>
      <w:pPr>
        <w:spacing w:after="240"/>
        <w:jc w:val="center"/>
      </w:pPr>
      <w:r>
        <w:rPr>
          <w:rFonts w:ascii="Garamond" w:cs="Garamond" w:eastAsia="Garamond" w:hAnsi="Garamond"/>
          <w:b w:val="false"/>
          <w:bCs w:val="false"/>
          <w:i/>
          <w:iCs/>
          <w:sz w:val="18"/>
          <w:szCs w:val="18"/>
        </w:rPr>
        <w:t xml:space="preserve">Draft v0.3 — production draft for the author’s ruling. Number ruled: AP44. Title and lock status open. Provenance: PROV-CCC.1, published beside this draft.</w:t>
      </w:r>
    </w:p>
    <w:p>
      <w:pPr>
        <w:pStyle w:val="Heading1"/>
        <w:spacing w:after="160" w:before="320"/>
      </w:pPr>
      <w:r>
        <w:rPr>
          <w:rFonts w:ascii="Garamond" w:cs="Garamond" w:eastAsia="Garamond" w:hAnsi="Garamond"/>
          <w:b/>
          <w:bCs/>
          <w:color w:val="000000"/>
          <w:sz w:val="28"/>
          <w:szCs w:val="28"/>
        </w:rPr>
        <w:t xml:space="preserve">Artist’s Note</w:t>
      </w:r>
    </w:p>
    <w:p>
      <w:pPr>
        <w:spacing w:after="160" w:line="276"/>
        <w:jc w:val="both"/>
      </w:pPr>
      <w:r>
        <w:rPr>
          <w:rFonts w:ascii="Garamond" w:cs="Garamond" w:eastAsia="Garamond" w:hAnsi="Garamond"/>
          <w:i/>
          <w:iCs/>
          <w:sz w:val="22"/>
          <w:szCs w:val="22"/>
        </w:rPr>
        <w:t xml:space="preserve">What this paper does — and why.</w:t>
      </w:r>
    </w:p>
    <w:p>
      <w:pPr>
        <w:spacing w:after="160" w:line="276"/>
        <w:jc w:val="both"/>
      </w:pPr>
      <w:r>
        <w:rPr>
          <w:rFonts w:ascii="Garamond" w:cs="Garamond" w:eastAsia="Garamond" w:hAnsi="Garamond"/>
          <w:sz w:val="22"/>
          <w:szCs w:val="22"/>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Garamond" w:cs="Garamond" w:eastAsia="Garamond" w:hAnsi="Garamond"/>
          <w:sz w:val="22"/>
          <w:szCs w:val="22"/>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Garamond" w:cs="Garamond" w:eastAsia="Garamond" w:hAnsi="Garamond"/>
          <w:sz w:val="22"/>
          <w:szCs w:val="22"/>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Garamond" w:cs="Garamond" w:eastAsia="Garamond" w:hAnsi="Garamond"/>
          <w:sz w:val="22"/>
          <w:szCs w:val="22"/>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Six kill switches engage, and the first is aimed at the author: KS-CCC.1 fires if any commitment magnitude is ever published whose selection depended on comparison with measurement. Two clean fractions the data volunteered after the fact — 20/21 of ε and 17/18 of ε — are named in §10 for exactly one purpose: to be fenced. Seen, and refused.</w:t>
      </w:r>
    </w:p>
    <w:p>
      <w:pPr>
        <w:spacing w:after="160" w:line="276"/>
        <w:jc w:val="both"/>
      </w:pPr>
      <w:r>
        <w:rPr>
          <w:rFonts w:ascii="Garamond" w:cs="Garamond" w:eastAsia="Garamond" w:hAnsi="Garamond"/>
          <w:sz w:val="22"/>
          <w:szCs w:val="22"/>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120"/>
        <w:jc w:val="center"/>
      </w:pPr>
      <w:r>
        <w:rPr>
          <w:rFonts w:ascii="Garamond" w:cs="Garamond" w:eastAsia="Garamond" w:hAnsi="Garamond"/>
          <w:b w:val="false"/>
          <w:bCs w:val="false"/>
          <w:i w:val="false"/>
          <w:iCs w:val="false"/>
          <w:sz w:val="24"/>
          <w:szCs w:val="24"/>
        </w:rPr>
        <w:t xml:space="preserve">✨</w:t>
      </w:r>
    </w:p>
    <w:p>
      <w:pPr>
        <w:spacing w:after="40"/>
        <w:jc w:val="center"/>
      </w:pPr>
      <w:r>
        <w:rPr>
          <w:rFonts w:ascii="Garamond" w:cs="Garamond" w:eastAsia="Garamond" w:hAnsi="Garamond"/>
          <w:b w:val="false"/>
          <w:bCs w:val="false"/>
          <w:i/>
          <w:iCs/>
          <w:sz w:val="20"/>
          <w:szCs w:val="20"/>
        </w:rPr>
        <w:t xml:space="preserve">the420code.org</w:t>
      </w:r>
    </w:p>
    <w:p>
      <w:pPr>
        <w:spacing w:after="240"/>
        <w:jc w:val="center"/>
      </w:pPr>
      <w:r>
        <w:rPr>
          <w:rFonts w:ascii="Garamond" w:cs="Garamond" w:eastAsia="Garamond" w:hAnsi="Garamond"/>
          <w:b w:val="false"/>
          <w:bCs w:val="false"/>
          <w:i/>
          <w:iCs/>
          <w:sz w:val="20"/>
          <w:szCs w:val="20"/>
        </w:rPr>
        <w:t xml:space="preserve">Copyleft 2026</w:t>
      </w:r>
    </w:p>
    <w:p>
      <w:pPr>
        <w:pStyle w:val="Heading1"/>
        <w:spacing w:after="160" w:before="320"/>
      </w:pPr>
      <w:r>
        <w:rPr>
          <w:rFonts w:ascii="Garamond" w:cs="Garamond" w:eastAsia="Garamond" w:hAnsi="Garamond"/>
          <w:b/>
          <w:bCs/>
          <w:color w:val="000000"/>
          <w:sz w:val="28"/>
          <w:szCs w:val="28"/>
        </w:rPr>
        <w:t xml:space="preserve">Orientation</w:t>
      </w:r>
    </w:p>
    <w:p>
      <w:pPr>
        <w:pStyle w:val="Heading2"/>
        <w:spacing w:after="120" w:before="240"/>
      </w:pPr>
      <w:r>
        <w:rPr>
          <w:rFonts w:ascii="Garamond" w:cs="Garamond" w:eastAsia="Garamond" w:hAnsi="Garamond"/>
          <w:b/>
          <w:bCs/>
          <w:color w:val="000000"/>
          <w:sz w:val="24"/>
          <w:szCs w:val="24"/>
        </w:rPr>
        <w:t xml:space="preserve">Where this paper fits</w:t>
      </w:r>
    </w:p>
    <w:p>
      <w:pPr>
        <w:spacing w:after="160" w:line="276"/>
        <w:jc w:val="both"/>
      </w:pPr>
      <w:r>
        <w:rPr>
          <w:rFonts w:ascii="Garamond" w:cs="Garamond" w:eastAsia="Garamond" w:hAnsi="Garamond"/>
          <w:sz w:val="22"/>
          <w:szCs w:val="22"/>
        </w:rPr>
        <w:t xml:space="preserve">This paper is Artist’s Proof 44, shelved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Garamond" w:cs="Garamond" w:eastAsia="Garamond" w:hAnsi="Garamond"/>
          <w:sz w:val="22"/>
          <w:szCs w:val="22"/>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120" w:before="240"/>
      </w:pPr>
      <w:r>
        <w:rPr>
          <w:rFonts w:ascii="Garamond" w:cs="Garamond" w:eastAsia="Garamond" w:hAnsi="Garamond"/>
          <w:b/>
          <w:bCs/>
          <w:color w:val="000000"/>
          <w:sz w:val="24"/>
          <w:szCs w:val="24"/>
        </w:rPr>
        <w:t xml:space="preserve">Reading order within this paper</w:t>
      </w:r>
    </w:p>
    <w:p>
      <w:pPr>
        <w:spacing w:after="160" w:line="276"/>
        <w:jc w:val="both"/>
      </w:pPr>
      <w:r>
        <w:rPr>
          <w:rFonts w:ascii="Garamond" w:cs="Garamond" w:eastAsia="Garamond" w:hAnsi="Garamond"/>
          <w:sz w:val="22"/>
          <w:szCs w:val="22"/>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120" w:before="240"/>
      </w:pPr>
      <w:r>
        <w:rPr>
          <w:rFonts w:ascii="Garamond" w:cs="Garamond" w:eastAsia="Garamond" w:hAnsi="Garamond"/>
          <w:b/>
          <w:bCs/>
          <w:color w:val="000000"/>
          <w:sz w:val="24"/>
          <w:szCs w:val="24"/>
        </w:rPr>
        <w:t xml:space="preserve">How to read this paper</w:t>
      </w:r>
    </w:p>
    <w:p>
      <w:pPr>
        <w:spacing w:after="160" w:line="276"/>
        <w:jc w:val="both"/>
      </w:pPr>
      <w:r>
        <w:rPr>
          <w:rFonts w:ascii="Garamond" w:cs="Garamond" w:eastAsia="Garamond" w:hAnsi="Garamond"/>
          <w:sz w:val="22"/>
          <w:szCs w:val="22"/>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appears once, in §9, after the structure is complete, and §10 exists to keep it that way.</w:t>
      </w:r>
    </w:p>
    <w:p>
      <w:pPr>
        <w:pStyle w:val="Heading2"/>
        <w:spacing w:after="120" w:before="240"/>
      </w:pPr>
      <w:r>
        <w:rPr>
          <w:rFonts w:ascii="Garamond" w:cs="Garamond" w:eastAsia="Garamond" w:hAnsi="Garamond"/>
          <w:b/>
          <w:bCs/>
          <w:color w:val="000000"/>
          <w:sz w:val="24"/>
          <w:szCs w:val="24"/>
        </w:rPr>
        <w:t xml:space="preserve">A note on notation</w:t>
      </w:r>
    </w:p>
    <w:p>
      <w:pPr>
        <w:spacing w:after="160" w:line="276"/>
        <w:jc w:val="both"/>
      </w:pPr>
      <w:r>
        <w:rPr>
          <w:rFonts w:ascii="Garamond" w:cs="Garamond" w:eastAsia="Garamond" w:hAnsi="Garamond"/>
          <w:sz w:val="22"/>
          <w:szCs w:val="22"/>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spacing w:after="160" w:before="320"/>
      </w:pPr>
      <w:r>
        <w:rPr>
          <w:rFonts w:ascii="Garamond" w:cs="Garamond" w:eastAsia="Garamond" w:hAnsi="Garamond"/>
          <w:b/>
          <w:bCs/>
          <w:color w:val="000000"/>
          <w:sz w:val="28"/>
          <w:szCs w:val="28"/>
        </w:rPr>
        <w:t xml:space="preserve">Contents</w:t>
      </w:r>
    </w:p>
    <w:p>
      <w:pPr>
        <w:spacing w:after="160" w:line="276"/>
        <w:jc w:val="both"/>
      </w:pPr>
      <w:r>
        <w:rPr>
          <w:rFonts w:ascii="Garamond" w:cs="Garamond" w:eastAsia="Garamond" w:hAnsi="Garamond"/>
          <w:b/>
          <w:bCs/>
          <w:sz w:val="22"/>
          <w:szCs w:val="22"/>
        </w:rPr>
        <w:t xml:space="preserve">0 — Dependency and Scope</w:t>
      </w:r>
      <w:r>
        <w:rPr>
          <w:rFonts w:ascii="Garamond" w:cs="Garamond" w:eastAsia="Garamond" w:hAnsi="Garamond"/>
          <w:sz w:val="22"/>
          <w:szCs w:val="22"/>
        </w:rPr>
        <w:t xml:space="preserve">  ·  what this paper does · dependencies · axiom mapping · epistemic status · kill switch summary · debts · items held open · relationships</w:t>
      </w:r>
    </w:p>
    <w:p>
      <w:pPr>
        <w:spacing w:after="160" w:line="276"/>
        <w:jc w:val="both"/>
      </w:pPr>
      <w:r>
        <w:rPr>
          <w:rFonts w:ascii="Garamond" w:cs="Garamond" w:eastAsia="Garamond" w:hAnsi="Garamond"/>
          <w:b/>
          <w:bCs/>
          <w:sz w:val="22"/>
          <w:szCs w:val="22"/>
        </w:rPr>
        <w:t xml:space="preserve">1 — Definitions</w:t>
      </w:r>
      <w:r>
        <w:rPr>
          <w:rFonts w:ascii="Garamond" w:cs="Garamond" w:eastAsia="Garamond" w:hAnsi="Garamond"/>
          <w:sz w:val="22"/>
          <w:szCs w:val="22"/>
        </w:rPr>
        <w:t xml:space="preserve">  ·  the snap and The Snap · provisioned and realised · the two costs — commitment and leakage</w:t>
      </w:r>
    </w:p>
    <w:p>
      <w:pPr>
        <w:spacing w:after="160" w:line="276"/>
        <w:jc w:val="both"/>
      </w:pPr>
      <w:r>
        <w:rPr>
          <w:rFonts w:ascii="Garamond" w:cs="Garamond" w:eastAsia="Garamond" w:hAnsi="Garamond"/>
          <w:b/>
          <w:bCs/>
          <w:sz w:val="22"/>
          <w:szCs w:val="22"/>
        </w:rPr>
        <w:t xml:space="preserve">2 — The Constitution Record</w:t>
      </w:r>
      <w:r>
        <w:rPr>
          <w:rFonts w:ascii="Garamond" w:cs="Garamond" w:eastAsia="Garamond" w:hAnsi="Garamond"/>
          <w:sz w:val="22"/>
          <w:szCs w:val="22"/>
        </w:rPr>
        <w:t xml:space="preserve">  ·  Proposition 1: every persisting configuration has a unique first record</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  Proposition 2: a constitution instant’s ε is held as the persistence commitment — the load-bearing result</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  Proposition 3: the exponent is one because the count is of arenas · Corollary: matter’s commitments are already booked</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  Proposition 4: the quotient 1/(1 + ε) · the value of ε — a selection, argued and booked</w:t>
      </w:r>
    </w:p>
    <w:p>
      <w:pPr>
        <w:spacing w:after="160" w:line="276"/>
        <w:jc w:val="both"/>
      </w:pPr>
      <w:r>
        <w:rPr>
          <w:rFonts w:ascii="Garamond" w:cs="Garamond" w:eastAsia="Garamond" w:hAnsi="Garamond"/>
          <w:b/>
          <w:bCs/>
          <w:sz w:val="22"/>
          <w:szCs w:val="22"/>
        </w:rPr>
        <w:t xml:space="preserve">6 — The Placement</w:t>
      </w:r>
      <w:r>
        <w:rPr>
          <w:rFonts w:ascii="Garamond" w:cs="Garamond" w:eastAsia="Garamond" w:hAnsi="Garamond"/>
          <w:sz w:val="22"/>
          <w:szCs w:val="22"/>
        </w:rPr>
        <w:t xml:space="preserve">  ·  Proposition 5: the arena’s commitment lives in the arena’s coupling — forced</w:t>
      </w:r>
    </w:p>
    <w:p>
      <w:pPr>
        <w:spacing w:after="160" w:line="276"/>
        <w:jc w:val="both"/>
      </w:pPr>
      <w:r>
        <w:rPr>
          <w:rFonts w:ascii="Garamond" w:cs="Garamond" w:eastAsia="Garamond" w:hAnsi="Garamond"/>
          <w:b/>
          <w:bCs/>
          <w:sz w:val="22"/>
          <w:szCs w:val="22"/>
        </w:rPr>
        <w:t xml:space="preserve">7 — The Double Entry</w:t>
      </w:r>
      <w:r>
        <w:rPr>
          <w:rFonts w:ascii="Garamond" w:cs="Garamond" w:eastAsia="Garamond" w:hAnsi="Garamond"/>
          <w:sz w:val="22"/>
          <w:szCs w:val="22"/>
        </w:rPr>
        <w:t xml:space="preserve">  ·  Proposition 6: an extension of AP24’s licence, stated as an extension</w:t>
      </w:r>
    </w:p>
    <w:p>
      <w:pPr>
        <w:spacing w:after="160" w:line="276"/>
        <w:jc w:val="both"/>
      </w:pPr>
      <w:r>
        <w:rPr>
          <w:rFonts w:ascii="Garamond" w:cs="Garamond" w:eastAsia="Garamond" w:hAnsi="Garamond"/>
          <w:b/>
          <w:bCs/>
          <w:sz w:val="22"/>
          <w:szCs w:val="22"/>
        </w:rPr>
        <w:t xml:space="preserve">8 — The Vertices</w:t>
      </w:r>
      <w:r>
        <w:rPr>
          <w:rFonts w:ascii="Garamond" w:cs="Garamond" w:eastAsia="Garamond" w:hAnsi="Garamond"/>
          <w:sz w:val="22"/>
          <w:szCs w:val="22"/>
        </w:rPr>
        <w:t xml:space="preserve">  ·  ten vertices, twenty-one edges: constitution at nodes, flow along edges</w:t>
      </w:r>
    </w:p>
    <w:p>
      <w:pPr>
        <w:spacing w:after="160" w:line="276"/>
        <w:jc w:val="both"/>
      </w:pPr>
      <w:r>
        <w:rPr>
          <w:rFonts w:ascii="Garamond" w:cs="Garamond" w:eastAsia="Garamond" w:hAnsi="Garamond"/>
          <w:b/>
          <w:bCs/>
          <w:sz w:val="22"/>
          <w:szCs w:val="22"/>
        </w:rPr>
        <w:t xml:space="preserve">9 — The Prediction</w:t>
      </w:r>
      <w:r>
        <w:rPr>
          <w:rFonts w:ascii="Garamond" w:cs="Garamond" w:eastAsia="Garamond" w:hAnsi="Garamond"/>
          <w:sz w:val="22"/>
          <w:szCs w:val="22"/>
        </w:rPr>
        <w:t xml:space="preserve">  ·  the realised G, stated once, as non-exclusion</w:t>
      </w:r>
    </w:p>
    <w:p>
      <w:pPr>
        <w:spacing w:after="160" w:line="276"/>
        <w:jc w:val="both"/>
      </w:pPr>
      <w:r>
        <w:rPr>
          <w:rFonts w:ascii="Garamond" w:cs="Garamond" w:eastAsia="Garamond" w:hAnsi="Garamond"/>
          <w:b/>
          <w:bCs/>
          <w:sz w:val="22"/>
          <w:szCs w:val="22"/>
        </w:rPr>
        <w:t xml:space="preserve">10 — What the Data May and May Not Do</w:t>
      </w:r>
      <w:r>
        <w:rPr>
          <w:rFonts w:ascii="Garamond" w:cs="Garamond" w:eastAsia="Garamond" w:hAnsi="Garamond"/>
          <w:sz w:val="22"/>
          <w:szCs w:val="22"/>
        </w:rPr>
        <w:t xml:space="preserve">  ·  the rule · the admissible window · the fenced fractions</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  an internal inconsistency resolved · the discriminator · the sign of the normalisations</w:t>
      </w:r>
    </w:p>
    <w:p>
      <w:pPr>
        <w:spacing w:after="160" w:line="276"/>
        <w:jc w:val="both"/>
      </w:pPr>
      <w:r>
        <w:rPr>
          <w:rFonts w:ascii="Garamond" w:cs="Garamond" w:eastAsia="Garamond" w:hAnsi="Garamond"/>
          <w:b/>
          <w:bCs/>
          <w:sz w:val="22"/>
          <w:szCs w:val="22"/>
        </w:rPr>
        <w:t xml:space="preserve">12 — Kill Switches</w:t>
      </w:r>
      <w:r>
        <w:rPr>
          <w:rFonts w:ascii="Garamond" w:cs="Garamond" w:eastAsia="Garamond" w:hAnsi="Garamond"/>
          <w:sz w:val="22"/>
          <w:szCs w:val="22"/>
        </w:rPr>
        <w:t xml:space="preserve">  ·  KS-CCC.1 through KS-CCC.6 in Claim/Test/Status/Recovery form</w:t>
      </w:r>
    </w:p>
    <w:p>
      <w:pPr>
        <w:spacing w:after="160" w:line="276"/>
        <w:jc w:val="both"/>
      </w:pPr>
      <w:r>
        <w:rPr>
          <w:rFonts w:ascii="Garamond" w:cs="Garamond" w:eastAsia="Garamond" w:hAnsi="Garamond"/>
          <w:b/>
          <w:bCs/>
          <w:sz w:val="22"/>
          <w:szCs w:val="22"/>
        </w:rPr>
        <w:t xml:space="preserve">13 — Dependencies</w:t>
      </w:r>
      <w:r>
        <w:rPr>
          <w:rFonts w:ascii="Garamond" w:cs="Garamond" w:eastAsia="Garamond" w:hAnsi="Garamond"/>
          <w:sz w:val="22"/>
          <w:szCs w:val="22"/>
        </w:rPr>
        <w:t xml:space="preserve">  ·  what this paper rests on · what adoption touches</w:t>
      </w:r>
    </w:p>
    <w:p>
      <w:pPr>
        <w:spacing w:after="160" w:line="276"/>
        <w:jc w:val="both"/>
      </w:pPr>
      <w:r>
        <w:rPr>
          <w:rFonts w:ascii="Garamond" w:cs="Garamond" w:eastAsia="Garamond" w:hAnsi="Garamond"/>
          <w:b/>
          <w:bCs/>
          <w:sz w:val="22"/>
          <w:szCs w:val="22"/>
        </w:rPr>
        <w:t xml:space="preserve">Claim Summary  ·  Conditionality Footer  ·  Notation Reference</w:t>
      </w:r>
    </w:p>
    <w:p>
      <w:pPr>
        <w:pStyle w:val="Heading1"/>
        <w:spacing w:after="160" w:before="320"/>
      </w:pPr>
      <w:r>
        <w:rPr>
          <w:rFonts w:ascii="Garamond" w:cs="Garamond" w:eastAsia="Garamond" w:hAnsi="Garamond"/>
          <w:b/>
          <w:bCs/>
          <w:color w:val="000000"/>
          <w:sz w:val="28"/>
          <w:szCs w:val="28"/>
        </w:rPr>
        <w:t xml:space="preserve">0 — Dependency and Scope</w:t>
      </w:r>
    </w:p>
    <w:p>
      <w:pPr>
        <w:pStyle w:val="Heading2"/>
        <w:spacing w:after="120" w:before="240"/>
      </w:pPr>
      <w:r>
        <w:rPr>
          <w:rFonts w:ascii="Garamond" w:cs="Garamond" w:eastAsia="Garamond" w:hAnsi="Garamond"/>
          <w:b/>
          <w:bCs/>
          <w:color w:val="000000"/>
          <w:sz w:val="24"/>
          <w:szCs w:val="24"/>
        </w:rPr>
        <w:t xml:space="preserve">0.1 — What this paper does</w:t>
      </w:r>
    </w:p>
    <w:p>
      <w:pPr>
        <w:spacing w:after="160" w:line="276"/>
        <w:jc w:val="both"/>
      </w:pPr>
      <w:r>
        <w:rPr>
          <w:rFonts w:ascii="Garamond" w:cs="Garamond" w:eastAsia="Garamond" w:hAnsi="Garamond"/>
          <w:sz w:val="22"/>
          <w:szCs w:val="22"/>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Garamond" w:cs="Garamond" w:eastAsia="Garamond" w:hAnsi="Garamond"/>
          <w:sz w:val="22"/>
          <w:szCs w:val="22"/>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120" w:before="240"/>
      </w:pPr>
      <w:r>
        <w:rPr>
          <w:rFonts w:ascii="Garamond" w:cs="Garamond" w:eastAsia="Garamond" w:hAnsi="Garamond"/>
          <w:b/>
          <w:bCs/>
          <w:color w:val="000000"/>
          <w:sz w:val="24"/>
          <w:szCs w:val="24"/>
        </w:rPr>
        <w:t xml:space="preserve">0.2 — Dependencies</w:t>
      </w:r>
    </w:p>
    <w:p>
      <w:pPr>
        <w:spacing w:after="160" w:line="276"/>
        <w:jc w:val="both"/>
      </w:pPr>
      <w:r>
        <w:rPr>
          <w:rFonts w:ascii="Garamond" w:cs="Garamond" w:eastAsia="Garamond" w:hAnsi="Garamond"/>
          <w:b/>
          <w:bCs/>
          <w:sz w:val="22"/>
          <w:szCs w:val="22"/>
        </w:rPr>
        <w:t xml:space="preserve">AP06 (The Leakage Constant).</w:t>
      </w:r>
      <w:r>
        <w:rPr>
          <w:rFonts w:ascii="Garamond" w:cs="Garamond" w:eastAsia="Garamond" w:hAnsi="Garamond"/>
          <w:sz w:val="22"/>
          <w:szCs w:val="22"/>
        </w:rPr>
        <w:t xml:space="preserve"> Identification 6.1 and the open family of domain readings of ε (§0.7 there); the leakage as the shed ε. Load-bearing for §3’s Step 5 and for §5’s selection, which it constrains without closing.</w:t>
      </w:r>
    </w:p>
    <w:p>
      <w:pPr>
        <w:spacing w:after="160" w:line="276"/>
        <w:jc w:val="both"/>
      </w:pPr>
      <w:r>
        <w:rPr>
          <w:rFonts w:ascii="Garamond" w:cs="Garamond" w:eastAsia="Garamond" w:hAnsi="Garamond"/>
          <w:b/>
          <w:bCs/>
          <w:sz w:val="22"/>
          <w:szCs w:val="22"/>
        </w:rPr>
        <w:t xml:space="preserve">AP28 (The Constant).</w:t>
      </w:r>
      <w:r>
        <w:rPr>
          <w:rFonts w:ascii="Garamond" w:cs="Garamond" w:eastAsia="Garamond" w:hAnsi="Garamond"/>
          <w:sz w:val="22"/>
          <w:szCs w:val="22"/>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Garamond" w:cs="Garamond" w:eastAsia="Garamond" w:hAnsi="Garamond"/>
          <w:b/>
          <w:bCs/>
          <w:sz w:val="22"/>
          <w:szCs w:val="22"/>
        </w:rPr>
        <w:t xml:space="preserve">AP24 (The Residual).</w:t>
      </w:r>
      <w:r>
        <w:rPr>
          <w:rFonts w:ascii="Garamond" w:cs="Garamond" w:eastAsia="Garamond" w:hAnsi="Garamond"/>
          <w:sz w:val="22"/>
          <w:szCs w:val="22"/>
        </w:rPr>
        <w:t xml:space="preserve"> One object, many independent readings — the principle §7 extends, with the extension named. AP24 was locked before this paper existed.</w:t>
      </w:r>
    </w:p>
    <w:p>
      <w:pPr>
        <w:spacing w:after="160" w:line="276"/>
        <w:jc w:val="both"/>
      </w:pPr>
      <w:r>
        <w:rPr>
          <w:rFonts w:ascii="Garamond" w:cs="Garamond" w:eastAsia="Garamond" w:hAnsi="Garamond"/>
          <w:b/>
          <w:bCs/>
          <w:sz w:val="22"/>
          <w:szCs w:val="22"/>
        </w:rPr>
        <w:t xml:space="preserve">AP10 (The Dimension).</w:t>
      </w:r>
      <w:r>
        <w:rPr>
          <w:rFonts w:ascii="Garamond" w:cs="Garamond" w:eastAsia="Garamond" w:hAnsi="Garamond"/>
          <w:sz w:val="22"/>
          <w:szCs w:val="22"/>
        </w:rPr>
        <w:t xml:space="preserve"> Three spatial dimensions, and §7’s identification of the 1:1 as the substrate — the exhaustiveness step of §3.</w:t>
      </w:r>
    </w:p>
    <w:p>
      <w:pPr>
        <w:spacing w:after="160" w:line="276"/>
        <w:jc w:val="both"/>
      </w:pPr>
      <w:r>
        <w:rPr>
          <w:rFonts w:ascii="Garamond" w:cs="Garamond" w:eastAsia="Garamond" w:hAnsi="Garamond"/>
          <w:b/>
          <w:bCs/>
          <w:sz w:val="22"/>
          <w:szCs w:val="22"/>
        </w:rPr>
        <w:t xml:space="preserve">AP43 D5.</w:t>
      </w:r>
      <w:r>
        <w:rPr>
          <w:rFonts w:ascii="Garamond" w:cs="Garamond" w:eastAsia="Garamond" w:hAnsi="Garamond"/>
          <w:sz w:val="22"/>
          <w:szCs w:val="22"/>
        </w:rPr>
        <w:t xml:space="preserve"> One unpaired ε per Actualization State instant. Load-bearing for §3 and §4.</w:t>
      </w:r>
    </w:p>
    <w:p>
      <w:pPr>
        <w:spacing w:after="160" w:line="276"/>
        <w:jc w:val="both"/>
      </w:pPr>
      <w:r>
        <w:rPr>
          <w:rFonts w:ascii="Garamond" w:cs="Garamond" w:eastAsia="Garamond" w:hAnsi="Garamond"/>
          <w:b/>
          <w:bCs/>
          <w:sz w:val="22"/>
          <w:szCs w:val="22"/>
        </w:rPr>
        <w:t xml:space="preserve">AP29 (The Actualization Proof).</w:t>
      </w:r>
      <w:r>
        <w:rPr>
          <w:rFonts w:ascii="Garamond" w:cs="Garamond" w:eastAsia="Garamond" w:hAnsi="Garamond"/>
          <w:sz w:val="22"/>
          <w:szCs w:val="22"/>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Garamond" w:cs="Garamond" w:eastAsia="Garamond" w:hAnsi="Garamond"/>
          <w:b/>
          <w:bCs/>
          <w:sz w:val="22"/>
          <w:szCs w:val="22"/>
        </w:rPr>
        <w:t xml:space="preserve">AP20 (The Proof).</w:t>
      </w:r>
      <w:r>
        <w:rPr>
          <w:rFonts w:ascii="Garamond" w:cs="Garamond" w:eastAsia="Garamond" w:hAnsi="Garamond"/>
          <w:sz w:val="22"/>
          <w:szCs w:val="22"/>
        </w:rPr>
        <w:t xml:space="preserve"> Independence of {S, B, R, C}; the unconditional floor. This paper is unconditional on EH and QRA.</w:t>
      </w:r>
    </w:p>
    <w:p>
      <w:pPr>
        <w:pStyle w:val="Heading2"/>
        <w:spacing w:after="120" w:before="240"/>
      </w:pPr>
      <w:r>
        <w:rPr>
          <w:rFonts w:ascii="Garamond" w:cs="Garamond" w:eastAsia="Garamond" w:hAnsi="Garamond"/>
          <w:b/>
          <w:bCs/>
          <w:color w:val="000000"/>
          <w:sz w:val="24"/>
          <w:szCs w:val="24"/>
        </w:rPr>
        <w:t xml:space="preserve">0.3 — Axiom mapping</w:t>
      </w:r>
    </w:p>
    <w:p>
      <w:pPr>
        <w:spacing w:after="160" w:line="276"/>
        <w:jc w:val="both"/>
      </w:pPr>
      <w:r>
        <w:rPr>
          <w:rFonts w:ascii="Garamond" w:cs="Garamond" w:eastAsia="Garamond" w:hAnsi="Garamond"/>
          <w:b/>
          <w:bCs/>
          <w:sz w:val="22"/>
          <w:szCs w:val="22"/>
        </w:rPr>
        <w:t xml:space="preserve">Axiom S.</w:t>
      </w:r>
      <w:r>
        <w:rPr>
          <w:rFonts w:ascii="Garamond" w:cs="Garamond" w:eastAsia="Garamond" w:hAnsi="Garamond"/>
          <w:sz w:val="22"/>
          <w:szCs w:val="22"/>
        </w:rPr>
        <w:t xml:space="preserve"> The 1:1 — what persists as the realised arena. The balance is what The Snap delivered.</w:t>
      </w:r>
    </w:p>
    <w:p>
      <w:pPr>
        <w:spacing w:after="160" w:line="276"/>
        <w:jc w:val="both"/>
      </w:pPr>
      <w:r>
        <w:rPr>
          <w:rFonts w:ascii="Garamond" w:cs="Garamond" w:eastAsia="Garamond" w:hAnsi="Garamond"/>
          <w:b/>
          <w:bCs/>
          <w:sz w:val="22"/>
          <w:szCs w:val="22"/>
        </w:rPr>
        <w:t xml:space="preserve">Axiom B.</w:t>
      </w:r>
      <w:r>
        <w:rPr>
          <w:rFonts w:ascii="Garamond" w:cs="Garamond" w:eastAsia="Garamond" w:hAnsi="Garamond"/>
          <w:sz w:val="22"/>
          <w:szCs w:val="22"/>
        </w:rPr>
        <w:t xml:space="preserve"> The 1×ε — the element committed. The break supplies the only currency the constitution instant has.</w:t>
      </w:r>
    </w:p>
    <w:p>
      <w:pPr>
        <w:spacing w:after="160" w:line="276"/>
        <w:jc w:val="both"/>
      </w:pPr>
      <w:r>
        <w:rPr>
          <w:rFonts w:ascii="Garamond" w:cs="Garamond" w:eastAsia="Garamond" w:hAnsi="Garamond"/>
          <w:b/>
          <w:bCs/>
          <w:sz w:val="22"/>
          <w:szCs w:val="22"/>
        </w:rPr>
        <w:t xml:space="preserve">Axiom R.</w:t>
      </w:r>
      <w:r>
        <w:rPr>
          <w:rFonts w:ascii="Garamond" w:cs="Garamond" w:eastAsia="Garamond" w:hAnsi="Garamond"/>
          <w:sz w:val="22"/>
          <w:szCs w:val="22"/>
        </w:rPr>
        <w:t xml:space="preserve"> The holding — once, forever. The commitment is R’s price, as the leakage is C’s. This paper stands to Axiom R exactly as AP06 stands to Axiom C.</w:t>
      </w:r>
    </w:p>
    <w:p>
      <w:pPr>
        <w:spacing w:after="160" w:line="276"/>
        <w:jc w:val="both"/>
      </w:pPr>
      <w:r>
        <w:rPr>
          <w:rFonts w:ascii="Garamond" w:cs="Garamond" w:eastAsia="Garamond" w:hAnsi="Garamond"/>
          <w:b/>
          <w:bCs/>
          <w:sz w:val="22"/>
          <w:szCs w:val="22"/>
        </w:rPr>
        <w:t xml:space="preserve">Axiom C.</w:t>
      </w:r>
      <w:r>
        <w:rPr>
          <w:rFonts w:ascii="Garamond" w:cs="Garamond" w:eastAsia="Garamond" w:hAnsi="Garamond"/>
          <w:sz w:val="22"/>
          <w:szCs w:val="22"/>
        </w:rPr>
        <w:t xml:space="preserve"> The boundary structure at which readings of ε are taken. C prices the flow; R prices the constitution; the same ε pays both, at different instants.</w:t>
      </w:r>
    </w:p>
    <w:p>
      <w:pPr>
        <w:pStyle w:val="Heading2"/>
        <w:spacing w:after="120" w:before="240"/>
      </w:pPr>
      <w:r>
        <w:rPr>
          <w:rFonts w:ascii="Garamond" w:cs="Garamond" w:eastAsia="Garamond" w:hAnsi="Garamond"/>
          <w:b/>
          <w:bCs/>
          <w:color w:val="000000"/>
          <w:sz w:val="24"/>
          <w:szCs w:val="24"/>
        </w:rPr>
        <w:t xml:space="preserve">0.4 — Epistemic status per section</w:t>
      </w:r>
    </w:p>
    <w:p>
      <w:pPr>
        <w:spacing w:after="160" w:line="276"/>
        <w:jc w:val="both"/>
      </w:pPr>
      <w:r>
        <w:rPr>
          <w:rFonts w:ascii="Garamond" w:cs="Garamond" w:eastAsia="Garamond" w:hAnsi="Garamond"/>
          <w:b/>
          <w:bCs/>
          <w:sz w:val="22"/>
          <w:szCs w:val="22"/>
        </w:rPr>
        <w:t xml:space="preserve">§2 — Constitution record</w:t>
      </w:r>
      <w:r>
        <w:rPr>
          <w:rFonts w:ascii="Garamond" w:cs="Garamond" w:eastAsia="Garamond" w:hAnsi="Garamond"/>
          <w:sz w:val="22"/>
          <w:szCs w:val="22"/>
        </w:rPr>
        <w:t xml:space="preserve">  —  DERIVED (definition-level, from R)</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  DERIVED at the structural register; record-algebra formalisation owed (D-CCC.1); guarded by KS-CCC.5</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  DERIVED (the clause in its native scope + AP43 D5); Corollary DERIVED (application of AP29)</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  Form DERIVED (read off the axiom); value of ε SELECTED AMONG STRUCTURAL CANDIDATES (D-CCC.4)</w:t>
      </w:r>
    </w:p>
    <w:p>
      <w:pPr>
        <w:spacing w:after="160" w:line="276"/>
        <w:jc w:val="both"/>
      </w:pPr>
      <w:r>
        <w:rPr>
          <w:rFonts w:ascii="Garamond" w:cs="Garamond" w:eastAsia="Garamond" w:hAnsi="Garamond"/>
          <w:b/>
          <w:bCs/>
          <w:sz w:val="22"/>
          <w:szCs w:val="22"/>
        </w:rPr>
        <w:t xml:space="preserve">§6 — Placement</w:t>
      </w:r>
      <w:r>
        <w:rPr>
          <w:rFonts w:ascii="Garamond" w:cs="Garamond" w:eastAsia="Garamond" w:hAnsi="Garamond"/>
          <w:sz w:val="22"/>
          <w:szCs w:val="22"/>
        </w:rPr>
        <w:t xml:space="preserve">  —  DERIVED — forced under the arena reading; two-candidate elimination retained as corroboration</w:t>
      </w:r>
    </w:p>
    <w:p>
      <w:pPr>
        <w:spacing w:after="160" w:line="276"/>
        <w:jc w:val="both"/>
      </w:pPr>
      <w:r>
        <w:rPr>
          <w:rFonts w:ascii="Garamond" w:cs="Garamond" w:eastAsia="Garamond" w:hAnsi="Garamond"/>
          <w:b/>
          <w:bCs/>
          <w:sz w:val="22"/>
          <w:szCs w:val="22"/>
        </w:rPr>
        <w:t xml:space="preserve">§7 — Double entry</w:t>
      </w:r>
      <w:r>
        <w:rPr>
          <w:rFonts w:ascii="Garamond" w:cs="Garamond" w:eastAsia="Garamond" w:hAnsi="Garamond"/>
          <w:sz w:val="22"/>
          <w:szCs w:val="22"/>
        </w:rPr>
        <w:t xml:space="preserve">  —  STRUCTURAL — EXTENSION of AP24’s licence, stated as such; guarded by KS-CCC.6</w:t>
      </w:r>
    </w:p>
    <w:p>
      <w:pPr>
        <w:spacing w:after="160" w:line="276"/>
        <w:jc w:val="both"/>
      </w:pPr>
      <w:r>
        <w:rPr>
          <w:rFonts w:ascii="Garamond" w:cs="Garamond" w:eastAsia="Garamond" w:hAnsi="Garamond"/>
          <w:b/>
          <w:bCs/>
          <w:sz w:val="22"/>
          <w:szCs w:val="22"/>
        </w:rPr>
        <w:t xml:space="preserve">§8 — Vertices</w:t>
      </w:r>
      <w:r>
        <w:rPr>
          <w:rFonts w:ascii="Garamond" w:cs="Garamond" w:eastAsia="Garamond" w:hAnsi="Garamond"/>
          <w:sz w:val="22"/>
          <w:szCs w:val="22"/>
        </w:rPr>
        <w:t xml:space="preserve">  —  DERIVED count; MOTIVATED assignment (D-CCC.2); empirically silent</w:t>
      </w:r>
    </w:p>
    <w:p>
      <w:pPr>
        <w:spacing w:after="160" w:line="276"/>
        <w:jc w:val="both"/>
      </w:pPr>
      <w:r>
        <w:rPr>
          <w:rFonts w:ascii="Garamond" w:cs="Garamond" w:eastAsia="Garamond" w:hAnsi="Garamond"/>
          <w:b/>
          <w:bCs/>
          <w:sz w:val="22"/>
          <w:szCs w:val="22"/>
        </w:rPr>
        <w:t xml:space="preserve">§9 — Prediction</w:t>
      </w:r>
      <w:r>
        <w:rPr>
          <w:rFonts w:ascii="Garamond" w:cs="Garamond" w:eastAsia="Garamond" w:hAnsi="Garamond"/>
          <w:sz w:val="22"/>
          <w:szCs w:val="22"/>
        </w:rPr>
        <w:t xml:space="preserve">  —  EMPIRICAL, reported as non-exclusion (KS-CCC.3)</w:t>
      </w:r>
    </w:p>
    <w:p>
      <w:pPr>
        <w:spacing w:after="160" w:line="276"/>
        <w:jc w:val="both"/>
      </w:pPr>
      <w:r>
        <w:rPr>
          <w:rFonts w:ascii="Garamond" w:cs="Garamond" w:eastAsia="Garamond" w:hAnsi="Garamond"/>
          <w:b/>
          <w:bCs/>
          <w:sz w:val="22"/>
          <w:szCs w:val="22"/>
        </w:rPr>
        <w:t xml:space="preserve">§10 — The rule</w:t>
      </w:r>
      <w:r>
        <w:rPr>
          <w:rFonts w:ascii="Garamond" w:cs="Garamond" w:eastAsia="Garamond" w:hAnsi="Garamond"/>
          <w:sz w:val="22"/>
          <w:szCs w:val="22"/>
        </w:rPr>
        <w:t xml:space="preserve">  —  METHOD (KS-CCC.1)</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  STRUCTURAL PLACEMENT (KS-CCC.4 switch)</w:t>
      </w:r>
    </w:p>
    <w:p>
      <w:pPr>
        <w:pStyle w:val="Heading2"/>
        <w:spacing w:after="120" w:before="240"/>
      </w:pPr>
      <w:r>
        <w:rPr>
          <w:rFonts w:ascii="Garamond" w:cs="Garamond" w:eastAsia="Garamond" w:hAnsi="Garamond"/>
          <w:b/>
          <w:bCs/>
          <w:color w:val="000000"/>
          <w:sz w:val="24"/>
          <w:szCs w:val="24"/>
        </w:rPr>
        <w:t xml:space="preserve">0.5 — Kill switch summary</w:t>
      </w:r>
    </w:p>
    <w:p>
      <w:pPr>
        <w:spacing w:after="160" w:line="276"/>
        <w:jc w:val="both"/>
      </w:pPr>
      <w:r>
        <w:rPr>
          <w:rFonts w:ascii="Garamond" w:cs="Garamond" w:eastAsia="Garamond" w:hAnsi="Garamond"/>
          <w:sz w:val="22"/>
          <w:szCs w:val="22"/>
        </w:rPr>
        <w:t xml:space="preserve">Six kill switches engage, identifiers pending registration in the Master Kill Switch Registry. </w:t>
      </w:r>
      <w:r>
        <w:rPr>
          <w:rFonts w:ascii="Garamond" w:cs="Garamond" w:eastAsia="Garamond" w:hAnsi="Garamond"/>
          <w:b/>
          <w:bCs/>
          <w:sz w:val="22"/>
          <w:szCs w:val="22"/>
        </w:rPr>
        <w:t xml:space="preserve">KS-CCC.1</w:t>
      </w:r>
      <w:r>
        <w:rPr>
          <w:rFonts w:ascii="Garamond" w:cs="Garamond" w:eastAsia="Garamond" w:hAnsi="Garamond"/>
          <w:sz w:val="22"/>
          <w:szCs w:val="22"/>
        </w:rPr>
        <w:t xml:space="preserve"> (forced structure): LIVE — METHODOLOGICAL. </w:t>
      </w:r>
      <w:r>
        <w:rPr>
          <w:rFonts w:ascii="Garamond" w:cs="Garamond" w:eastAsia="Garamond" w:hAnsi="Garamond"/>
          <w:b/>
          <w:bCs/>
          <w:sz w:val="22"/>
          <w:szCs w:val="22"/>
        </w:rPr>
        <w:t xml:space="preserve">KS-CCC.2</w:t>
      </w:r>
      <w:r>
        <w:rPr>
          <w:rFonts w:ascii="Garamond" w:cs="Garamond" w:eastAsia="Garamond" w:hAnsi="Garamond"/>
          <w:sz w:val="22"/>
          <w:szCs w:val="22"/>
        </w:rPr>
        <w:t xml:space="preserve"> (mass-side drift): LIVE — STRUCTURAL/EMPIRICAL. </w:t>
      </w:r>
      <w:r>
        <w:rPr>
          <w:rFonts w:ascii="Garamond" w:cs="Garamond" w:eastAsia="Garamond" w:hAnsi="Garamond"/>
          <w:b/>
          <w:bCs/>
          <w:sz w:val="22"/>
          <w:szCs w:val="22"/>
        </w:rPr>
        <w:t xml:space="preserve">KS-CCC.3</w:t>
      </w:r>
      <w:r>
        <w:rPr>
          <w:rFonts w:ascii="Garamond" w:cs="Garamond" w:eastAsia="Garamond" w:hAnsi="Garamond"/>
          <w:sz w:val="22"/>
          <w:szCs w:val="22"/>
        </w:rPr>
        <w:t xml:space="preserve"> (existence, direction, and the migration fork): LIVE — EMPIRICAL. </w:t>
      </w:r>
      <w:r>
        <w:rPr>
          <w:rFonts w:ascii="Garamond" w:cs="Garamond" w:eastAsia="Garamond" w:hAnsi="Garamond"/>
          <w:b/>
          <w:bCs/>
          <w:sz w:val="22"/>
          <w:szCs w:val="22"/>
        </w:rPr>
        <w:t xml:space="preserve">KS-CCC.4</w:t>
      </w:r>
      <w:r>
        <w:rPr>
          <w:rFonts w:ascii="Garamond" w:cs="Garamond" w:eastAsia="Garamond" w:hAnsi="Garamond"/>
          <w:sz w:val="22"/>
          <w:szCs w:val="22"/>
        </w:rPr>
        <w:t xml:space="preserve"> (the discriminator): LIVE — EMPIRICAL. </w:t>
      </w:r>
      <w:r>
        <w:rPr>
          <w:rFonts w:ascii="Garamond" w:cs="Garamond" w:eastAsia="Garamond" w:hAnsi="Garamond"/>
          <w:b/>
          <w:bCs/>
          <w:sz w:val="22"/>
          <w:szCs w:val="22"/>
        </w:rPr>
        <w:t xml:space="preserve">KS-CCC.5</w:t>
      </w:r>
      <w:r>
        <w:rPr>
          <w:rFonts w:ascii="Garamond" w:cs="Garamond" w:eastAsia="Garamond" w:hAnsi="Garamond"/>
          <w:sz w:val="22"/>
          <w:szCs w:val="22"/>
        </w:rPr>
        <w:t xml:space="preserve"> (held, not shed): LIVE — STRUCTURAL. </w:t>
      </w:r>
      <w:r>
        <w:rPr>
          <w:rFonts w:ascii="Garamond" w:cs="Garamond" w:eastAsia="Garamond" w:hAnsi="Garamond"/>
          <w:b/>
          <w:bCs/>
          <w:sz w:val="22"/>
          <w:szCs w:val="22"/>
        </w:rPr>
        <w:t xml:space="preserve">KS-CCC.6</w:t>
      </w:r>
      <w:r>
        <w:rPr>
          <w:rFonts w:ascii="Garamond" w:cs="Garamond" w:eastAsia="Garamond" w:hAnsi="Garamond"/>
          <w:sz w:val="22"/>
          <w:szCs w:val="22"/>
        </w:rPr>
        <w:t xml:space="preserve"> (single entry): LIVE — STRUCTURAL, coupled to KS-R.9.</w:t>
      </w:r>
    </w:p>
    <w:p>
      <w:pPr>
        <w:pStyle w:val="Heading2"/>
        <w:spacing w:after="120" w:before="240"/>
      </w:pPr>
      <w:r>
        <w:rPr>
          <w:rFonts w:ascii="Garamond" w:cs="Garamond" w:eastAsia="Garamond" w:hAnsi="Garamond"/>
          <w:b/>
          <w:bCs/>
          <w:color w:val="000000"/>
          <w:sz w:val="24"/>
          <w:szCs w:val="24"/>
        </w:rPr>
        <w:t xml:space="preserve">0.6 — Structural debts owed</w:t>
      </w:r>
    </w:p>
    <w:p>
      <w:pPr>
        <w:spacing w:after="160" w:line="276"/>
        <w:jc w:val="both"/>
      </w:pPr>
      <w:r>
        <w:rPr>
          <w:rFonts w:ascii="Garamond" w:cs="Garamond" w:eastAsia="Garamond" w:hAnsi="Garamond"/>
          <w:b/>
          <w:bCs/>
          <w:sz w:val="22"/>
          <w:szCs w:val="22"/>
        </w:rPr>
        <w:t xml:space="preserve">D-CCC.1 (Formalisation).</w:t>
      </w:r>
      <w:r>
        <w:rPr>
          <w:rFonts w:ascii="Garamond" w:cs="Garamond" w:eastAsia="Garamond" w:hAnsi="Garamond"/>
          <w:sz w:val="22"/>
          <w:szCs w:val="22"/>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Garamond" w:cs="Garamond" w:eastAsia="Garamond" w:hAnsi="Garamond"/>
          <w:b/>
          <w:bCs/>
          <w:sz w:val="22"/>
          <w:szCs w:val="22"/>
        </w:rPr>
        <w:t xml:space="preserve">D-CCC.2 (Vertex uniqueness).</w:t>
      </w:r>
      <w:r>
        <w:rPr>
          <w:rFonts w:ascii="Garamond" w:cs="Garamond" w:eastAsia="Garamond" w:hAnsi="Garamond"/>
          <w:sz w:val="22"/>
          <w:szCs w:val="22"/>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Garamond" w:cs="Garamond" w:eastAsia="Garamond" w:hAnsi="Garamond"/>
          <w:b/>
          <w:bCs/>
          <w:sz w:val="22"/>
          <w:szCs w:val="22"/>
        </w:rPr>
        <w:t xml:space="preserve">D-CCC.3 (Value audit).</w:t>
      </w:r>
      <w:r>
        <w:rPr>
          <w:rFonts w:ascii="Garamond" w:cs="Garamond" w:eastAsia="Garamond" w:hAnsi="Garamond"/>
          <w:sz w:val="22"/>
          <w:szCs w:val="22"/>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Garamond" w:cs="Garamond" w:eastAsia="Garamond" w:hAnsi="Garamond"/>
          <w:b/>
          <w:bCs/>
          <w:sz w:val="22"/>
          <w:szCs w:val="22"/>
        </w:rPr>
        <w:t xml:space="preserve">D-CCC.4 (Boundary selection).</w:t>
      </w:r>
      <w:r>
        <w:rPr>
          <w:rFonts w:ascii="Garamond" w:cs="Garamond" w:eastAsia="Garamond" w:hAnsi="Garamond"/>
          <w:sz w:val="22"/>
          <w:szCs w:val="22"/>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120" w:before="240"/>
      </w:pPr>
      <w:r>
        <w:rPr>
          <w:rFonts w:ascii="Garamond" w:cs="Garamond" w:eastAsia="Garamond" w:hAnsi="Garamond"/>
          <w:b/>
          <w:bCs/>
          <w:color w:val="000000"/>
          <w:sz w:val="24"/>
          <w:szCs w:val="24"/>
        </w:rPr>
        <w:t xml:space="preserve">0.7 — Items held open without claiming debt status</w:t>
      </w:r>
    </w:p>
    <w:p>
      <w:pPr>
        <w:spacing w:after="160" w:line="276"/>
        <w:jc w:val="both"/>
      </w:pPr>
      <w:r>
        <w:rPr>
          <w:rFonts w:ascii="Garamond" w:cs="Garamond" w:eastAsia="Garamond" w:hAnsi="Garamond"/>
          <w:sz w:val="22"/>
          <w:szCs w:val="22"/>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The adoption sequence — the coordinated update table across AP28, Ø Predictions, the Proofs and the Prose — is owed on adoption, not before. The session-level provenance record, PROV-CCC.1, is published beside this draft; the pre-session sequence is the author’s record, witnessed in review, appended there under its own date and digest.</w:t>
      </w:r>
    </w:p>
    <w:p>
      <w:pPr>
        <w:pStyle w:val="Heading2"/>
        <w:spacing w:after="120" w:before="240"/>
      </w:pPr>
      <w:r>
        <w:rPr>
          <w:rFonts w:ascii="Garamond" w:cs="Garamond" w:eastAsia="Garamond" w:hAnsi="Garamond"/>
          <w:b/>
          <w:bCs/>
          <w:color w:val="000000"/>
          <w:sz w:val="24"/>
          <w:szCs w:val="24"/>
        </w:rPr>
        <w:t xml:space="preserve">0.8 — Structural relationships</w:t>
      </w:r>
    </w:p>
    <w:p>
      <w:pPr>
        <w:spacing w:after="160" w:line="276"/>
        <w:jc w:val="both"/>
      </w:pPr>
      <w:r>
        <w:rPr>
          <w:rFonts w:ascii="Garamond" w:cs="Garamond" w:eastAsia="Garamond" w:hAnsi="Garamond"/>
          <w:sz w:val="22"/>
          <w:szCs w:val="22"/>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spacing w:after="160" w:before="320"/>
      </w:pPr>
      <w:r>
        <w:rPr>
          <w:rFonts w:ascii="Garamond" w:cs="Garamond" w:eastAsia="Garamond" w:hAnsi="Garamond"/>
          <w:b/>
          <w:bCs/>
          <w:color w:val="000000"/>
          <w:sz w:val="28"/>
          <w:szCs w:val="28"/>
        </w:rPr>
        <w:t xml:space="preserve">1 — Definitions</w:t>
      </w:r>
    </w:p>
    <w:p>
      <w:pPr>
        <w:spacing w:after="160" w:line="276"/>
        <w:jc w:val="both"/>
      </w:pPr>
      <w:r>
        <w:rPr>
          <w:rFonts w:ascii="Garamond" w:cs="Garamond" w:eastAsia="Garamond" w:hAnsi="Garamond"/>
          <w:b/>
          <w:bCs/>
          <w:sz w:val="22"/>
          <w:szCs w:val="22"/>
        </w:rPr>
        <w:t xml:space="preserve">The snap, and The Snap.</w:t>
      </w:r>
      <w:r>
        <w:rPr>
          <w:rFonts w:ascii="Garamond" w:cs="Garamond" w:eastAsia="Garamond" w:hAnsi="Garamond"/>
          <w:sz w:val="22"/>
          <w:szCs w:val="22"/>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Garamond" w:cs="Garamond" w:eastAsia="Garamond" w:hAnsi="Garamond"/>
          <w:b/>
          <w:bCs/>
          <w:sz w:val="22"/>
          <w:szCs w:val="22"/>
        </w:rPr>
        <w:t xml:space="preserve">Provisioned and realised.</w:t>
      </w:r>
      <w:r>
        <w:rPr>
          <w:rFonts w:ascii="Garamond" w:cs="Garamond" w:eastAsia="Garamond" w:hAnsi="Garamond"/>
          <w:sz w:val="22"/>
          <w:szCs w:val="22"/>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Garamond" w:cs="Garamond" w:eastAsia="Garamond" w:hAnsi="Garamond"/>
          <w:b/>
          <w:bCs/>
          <w:sz w:val="22"/>
          <w:szCs w:val="22"/>
        </w:rPr>
        <w:t xml:space="preserve">The commitment (CCC).</w:t>
      </w:r>
      <w:r>
        <w:rPr>
          <w:rFonts w:ascii="Garamond" w:cs="Garamond" w:eastAsia="Garamond" w:hAnsi="Garamond"/>
          <w:sz w:val="22"/>
          <w:szCs w:val="22"/>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Garamond" w:cs="Garamond" w:eastAsia="Garamond" w:hAnsi="Garamond"/>
          <w:b/>
          <w:bCs/>
          <w:sz w:val="22"/>
          <w:szCs w:val="22"/>
        </w:rPr>
        <w:t xml:space="preserve">The leakage (TLC).</w:t>
      </w:r>
      <w:r>
        <w:rPr>
          <w:rFonts w:ascii="Garamond" w:cs="Garamond" w:eastAsia="Garamond" w:hAnsi="Garamond"/>
          <w:sz w:val="22"/>
          <w:szCs w:val="22"/>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Garamond" w:cs="Garamond" w:eastAsia="Garamond" w:hAnsi="Garamond"/>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Garamond" w:cs="Garamond" w:eastAsia="Garamond" w:hAnsi="Garamond"/>
                <w:b/>
                <w:bCs/>
                <w:sz w:val="20"/>
                <w:szCs w:val="20"/>
              </w:rPr>
              <w:t xml:space="preserve">TLC — the leakage</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Paid</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AP06</w:t>
            </w:r>
          </w:p>
        </w:tc>
      </w:tr>
    </w:tbl>
    <w:p>
      <w:pPr>
        <w:spacing w:after="160"/>
      </w:pPr>
    </w:p>
    <w:p>
      <w:pPr>
        <w:spacing w:after="160" w:line="276"/>
        <w:jc w:val="both"/>
      </w:pPr>
      <w:r>
        <w:rPr>
          <w:rFonts w:ascii="Garamond" w:cs="Garamond" w:eastAsia="Garamond" w:hAnsi="Garamond"/>
          <w:sz w:val="22"/>
          <w:szCs w:val="22"/>
        </w:rPr>
        <w:t xml:space="preserve">Fix each cell of the table in mind and the rest of the paper is bookkeeping: one ε per instant, two destinations, and the destination is decided by whether the instant is a configuration’s first.</w:t>
      </w:r>
    </w:p>
    <w:p>
      <w:pPr>
        <w:pStyle w:val="Heading1"/>
        <w:spacing w:after="160" w:before="320"/>
      </w:pPr>
      <w:r>
        <w:rPr>
          <w:rFonts w:ascii="Garamond" w:cs="Garamond" w:eastAsia="Garamond" w:hAnsi="Garamond"/>
          <w:b/>
          <w:bCs/>
          <w:color w:val="000000"/>
          <w:sz w:val="28"/>
          <w:szCs w:val="28"/>
        </w:rPr>
        <w:t xml:space="preserve">2 — The Constitution Record</w:t>
      </w:r>
    </w:p>
    <w:p>
      <w:pPr>
        <w:spacing w:after="160" w:line="276"/>
        <w:jc w:val="both"/>
      </w:pPr>
      <w:r>
        <w:rPr>
          <w:rFonts w:ascii="Garamond" w:cs="Garamond" w:eastAsia="Garamond" w:hAnsi="Garamond"/>
          <w:b/>
          <w:bCs/>
          <w:sz w:val="22"/>
          <w:szCs w:val="22"/>
        </w:rPr>
        <w:t xml:space="preserve">Proposition 1 — The Constitution Record.</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Every persisting configuration has a unique first record: the record that constitutes it.</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Garamond" w:cs="Garamond" w:eastAsia="Garamond" w:hAnsi="Garamond"/>
          <w:sz w:val="22"/>
          <w:szCs w:val="22"/>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spacing w:after="160" w:before="320"/>
      </w:pPr>
      <w:r>
        <w:rPr>
          <w:rFonts w:ascii="Garamond" w:cs="Garamond" w:eastAsia="Garamond" w:hAnsi="Garamond"/>
          <w:b/>
          <w:bCs/>
          <w:color w:val="000000"/>
          <w:sz w:val="28"/>
          <w:szCs w:val="28"/>
        </w:rPr>
        <w:t xml:space="preserve">3 — Held, Not Shed</w:t>
      </w:r>
    </w:p>
    <w:p>
      <w:pPr>
        <w:spacing w:after="160" w:line="276"/>
        <w:jc w:val="both"/>
      </w:pPr>
      <w:r>
        <w:rPr>
          <w:rFonts w:ascii="Garamond" w:cs="Garamond" w:eastAsia="Garamond" w:hAnsi="Garamond"/>
          <w:sz w:val="22"/>
          <w:szCs w:val="22"/>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Garamond" w:cs="Garamond" w:eastAsia="Garamond" w:hAnsi="Garamond"/>
          <w:b/>
          <w:bCs/>
          <w:sz w:val="22"/>
          <w:szCs w:val="22"/>
        </w:rPr>
        <w:t xml:space="preserve">Proposition 2 — The Held Commitment.</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Garamond" w:cs="Garamond" w:eastAsia="Garamond" w:hAnsi="Garamond"/>
          <w:sz w:val="22"/>
          <w:szCs w:val="22"/>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Garamond" w:cs="Garamond" w:eastAsia="Garamond" w:hAnsi="Garamond"/>
          <w:sz w:val="22"/>
          <w:szCs w:val="22"/>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Garamond" w:cs="Garamond" w:eastAsia="Garamond" w:hAnsi="Garamond"/>
          <w:sz w:val="22"/>
          <w:szCs w:val="22"/>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Garamond" w:cs="Garamond" w:eastAsia="Garamond" w:hAnsi="Garamond"/>
          <w:sz w:val="22"/>
          <w:szCs w:val="22"/>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Garamond" w:cs="Garamond" w:eastAsia="Garamond" w:hAnsi="Garamond"/>
          <w:sz w:val="22"/>
          <w:szCs w:val="22"/>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Garamond" w:cs="Garamond" w:eastAsia="Garamond" w:hAnsi="Garamond"/>
          <w:i/>
          <w:iCs/>
          <w:sz w:val="22"/>
          <w:szCs w:val="22"/>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Garamond" w:cs="Garamond" w:eastAsia="Garamond" w:hAnsi="Garamond"/>
          <w:sz w:val="22"/>
          <w:szCs w:val="22"/>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spacing w:after="160" w:before="320"/>
      </w:pPr>
      <w:r>
        <w:rPr>
          <w:rFonts w:ascii="Garamond" w:cs="Garamond" w:eastAsia="Garamond" w:hAnsi="Garamond"/>
          <w:b/>
          <w:bCs/>
          <w:color w:val="000000"/>
          <w:sz w:val="28"/>
          <w:szCs w:val="28"/>
        </w:rPr>
        <w:t xml:space="preserve">4 — One Arena, One Snap, One ε</w:t>
      </w:r>
    </w:p>
    <w:p>
      <w:pPr>
        <w:spacing w:after="160" w:line="276"/>
        <w:jc w:val="both"/>
      </w:pPr>
      <w:r>
        <w:rPr>
          <w:rFonts w:ascii="Garamond" w:cs="Garamond" w:eastAsia="Garamond" w:hAnsi="Garamond"/>
          <w:sz w:val="22"/>
          <w:szCs w:val="22"/>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Garamond" w:cs="Garamond" w:eastAsia="Garamond" w:hAnsi="Garamond"/>
          <w:b/>
          <w:bCs/>
          <w:sz w:val="22"/>
          <w:szCs w:val="22"/>
        </w:rPr>
        <w:t xml:space="preserve">Proposition 3 — One Snap, One ε.</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arena’s commitment is exactly one ε.</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Garamond" w:cs="Garamond" w:eastAsia="Garamond" w:hAnsi="Garamond"/>
          <w:b/>
          <w:bCs/>
          <w:sz w:val="22"/>
          <w:szCs w:val="22"/>
        </w:rPr>
        <w:t xml:space="preserve">Corollary — Already Booked.</w:t>
      </w:r>
      <w:r>
        <w:rPr>
          <w:rFonts w:ascii="Garamond" w:cs="Garamond" w:eastAsia="Garamond" w:hAnsi="Garamond"/>
          <w:sz w:val="22"/>
          <w:szCs w:val="22"/>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Garamond" w:cs="Garamond" w:eastAsia="Garamond" w:hAnsi="Garamond"/>
          <w:sz w:val="22"/>
          <w:szCs w:val="22"/>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spacing w:after="160" w:before="320"/>
      </w:pPr>
      <w:r>
        <w:rPr>
          <w:rFonts w:ascii="Garamond" w:cs="Garamond" w:eastAsia="Garamond" w:hAnsi="Garamond"/>
          <w:b/>
          <w:bCs/>
          <w:color w:val="000000"/>
          <w:sz w:val="28"/>
          <w:szCs w:val="28"/>
        </w:rPr>
        <w:t xml:space="preserve">5 — Realised over Provisioned</w:t>
      </w:r>
    </w:p>
    <w:p>
      <w:pPr>
        <w:spacing w:after="160" w:line="276"/>
        <w:jc w:val="both"/>
      </w:pPr>
      <w:r>
        <w:rPr>
          <w:rFonts w:ascii="Garamond" w:cs="Garamond" w:eastAsia="Garamond" w:hAnsi="Garamond"/>
          <w:b/>
          <w:bCs/>
          <w:sz w:val="22"/>
          <w:szCs w:val="22"/>
        </w:rPr>
        <w:t xml:space="preserve">Proposition 4 — The Form.</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realised coupling is the structural coupling divided by (1 + ε): α_G∗ = α_G / (1 + ε).</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Garamond" w:cs="Garamond" w:eastAsia="Garamond" w:hAnsi="Garamond"/>
          <w:sz w:val="22"/>
          <w:szCs w:val="22"/>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Garamond" w:cs="Garamond" w:eastAsia="Garamond" w:hAnsi="Garamond"/>
          <w:b/>
          <w:bCs/>
          <w:sz w:val="22"/>
          <w:szCs w:val="22"/>
        </w:rPr>
        <w:t xml:space="preserve">The value of ε in the quotient — a selection, argued and booked.</w:t>
      </w:r>
      <w:r>
        <w:rPr>
          <w:rFonts w:ascii="Garamond" w:cs="Garamond" w:eastAsia="Garamond" w:hAnsi="Garamond"/>
          <w:sz w:val="22"/>
          <w:szCs w:val="22"/>
        </w:rPr>
        <w:t xml:space="preserve"> The form above is derived; the value is not, and the paper says so. AP06 §0.7 holds open a family of domain readings of ε — the leakage ratio at the gravitational boundary near 10⁻¹⁷, at the retinal boundary near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Garamond" w:cs="Garamond" w:eastAsia="Garamond" w:hAnsi="Garamond"/>
          <w:sz w:val="22"/>
          <w:szCs w:val="22"/>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spacing w:after="160" w:before="320"/>
      </w:pPr>
      <w:r>
        <w:rPr>
          <w:rFonts w:ascii="Garamond" w:cs="Garamond" w:eastAsia="Garamond" w:hAnsi="Garamond"/>
          <w:b/>
          <w:bCs/>
          <w:color w:val="000000"/>
          <w:sz w:val="28"/>
          <w:szCs w:val="28"/>
        </w:rPr>
        <w:t xml:space="preserve">6 — The Placement</w:t>
      </w:r>
    </w:p>
    <w:p>
      <w:pPr>
        <w:spacing w:after="160" w:line="276"/>
        <w:jc w:val="both"/>
      </w:pPr>
      <w:r>
        <w:rPr>
          <w:rFonts w:ascii="Garamond" w:cs="Garamond" w:eastAsia="Garamond" w:hAnsi="Garamond"/>
          <w:b/>
          <w:bCs/>
          <w:sz w:val="22"/>
          <w:szCs w:val="22"/>
        </w:rPr>
        <w:t xml:space="preserve">Proposition 5 — The Arena’s Commitment Lives in the Arena’s Coupling.</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commitment divides the persistence coupling α_G, and can appear nowhere else.</w:t>
      </w:r>
    </w:p>
    <w:p>
      <w:pPr>
        <w:spacing w:after="160" w:line="276"/>
        <w:jc w:val="both"/>
      </w:pPr>
      <w:r>
        <w:rPr>
          <w:rFonts w:ascii="Garamond" w:cs="Garamond" w:eastAsia="Garamond" w:hAnsi="Garamond"/>
          <w:b/>
          <w:bCs/>
          <w:sz w:val="22"/>
          <w:szCs w:val="22"/>
        </w:rPr>
        <w:t xml:space="preserve">Argument.</w:t>
      </w:r>
      <w:r>
        <w:rPr>
          <w:rFonts w:ascii="Garamond" w:cs="Garamond" w:eastAsia="Garamond" w:hAnsi="Garamond"/>
          <w:sz w:val="22"/>
          <w:szCs w:val="22"/>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Garamond" w:cs="Garamond" w:eastAsia="Garamond" w:hAnsi="Garamond"/>
          <w:sz w:val="22"/>
          <w:szCs w:val="22"/>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Garamond" w:cs="Garamond" w:eastAsia="Garamond" w:hAnsi="Garamond"/>
          <w:sz w:val="22"/>
          <w:szCs w:val="22"/>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spacing w:after="160" w:before="320"/>
      </w:pPr>
      <w:r>
        <w:rPr>
          <w:rFonts w:ascii="Garamond" w:cs="Garamond" w:eastAsia="Garamond" w:hAnsi="Garamond"/>
          <w:b/>
          <w:bCs/>
          <w:color w:val="000000"/>
          <w:sz w:val="28"/>
          <w:szCs w:val="28"/>
        </w:rPr>
        <w:t xml:space="preserve">7 — The Double Entry</w:t>
      </w:r>
    </w:p>
    <w:p>
      <w:pPr>
        <w:spacing w:after="160" w:line="276"/>
        <w:jc w:val="both"/>
      </w:pPr>
      <w:r>
        <w:rPr>
          <w:rFonts w:ascii="Garamond" w:cs="Garamond" w:eastAsia="Garamond" w:hAnsi="Garamond"/>
          <w:b/>
          <w:bCs/>
          <w:sz w:val="22"/>
          <w:szCs w:val="22"/>
        </w:rPr>
        <w:t xml:space="preserve">Proposition 6 — Two Readings, One Element: an Extension, Stated as an Extension.</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Garamond" w:cs="Garamond" w:eastAsia="Garamond" w:hAnsi="Garamond"/>
          <w:b/>
          <w:bCs/>
          <w:sz w:val="22"/>
          <w:szCs w:val="22"/>
        </w:rPr>
        <w:t xml:space="preserve">Argument.</w:t>
      </w:r>
      <w:r>
        <w:rPr>
          <w:rFonts w:ascii="Garamond" w:cs="Garamond" w:eastAsia="Garamond" w:hAnsi="Garamond"/>
          <w:sz w:val="22"/>
          <w:szCs w:val="22"/>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Garamond" w:cs="Garamond" w:eastAsia="Garamond" w:hAnsi="Garamond"/>
          <w:sz w:val="22"/>
          <w:szCs w:val="22"/>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w:t>
      </w:r>
    </w:p>
    <w:p>
      <w:pPr>
        <w:spacing w:after="160" w:line="276"/>
        <w:jc w:val="both"/>
      </w:pPr>
      <w:r>
        <w:rPr>
          <w:rFonts w:ascii="Garamond" w:cs="Garamond" w:eastAsia="Garamond" w:hAnsi="Garamond"/>
          <w:sz w:val="22"/>
          <w:szCs w:val="22"/>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spacing w:after="160" w:before="320"/>
      </w:pPr>
      <w:r>
        <w:rPr>
          <w:rFonts w:ascii="Garamond" w:cs="Garamond" w:eastAsia="Garamond" w:hAnsi="Garamond"/>
          <w:b/>
          <w:bCs/>
          <w:color w:val="000000"/>
          <w:sz w:val="28"/>
          <w:szCs w:val="28"/>
        </w:rPr>
        <w:t xml:space="preserve">8 — The Vertices</w:t>
      </w:r>
    </w:p>
    <w:p>
      <w:pPr>
        <w:spacing w:after="160" w:line="276"/>
        <w:jc w:val="both"/>
      </w:pPr>
      <w:r>
        <w:rPr>
          <w:rFonts w:ascii="Garamond" w:cs="Garamond" w:eastAsia="Garamond" w:hAnsi="Garamond"/>
          <w:sz w:val="22"/>
          <w:szCs w:val="22"/>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Garamond" w:cs="Garamond" w:eastAsia="Garamond" w:hAnsi="Garamond"/>
          <w:b/>
          <w:bCs/>
          <w:sz w:val="22"/>
          <w:szCs w:val="22"/>
        </w:rPr>
        <w:t xml:space="preserve">ten vertices</w:t>
      </w:r>
      <w:r>
        <w:rPr>
          <w:rFonts w:ascii="Garamond" w:cs="Garamond" w:eastAsia="Garamond" w:hAnsi="Garamond"/>
          <w:sz w:val="22"/>
          <w:szCs w:val="22"/>
        </w:rPr>
        <w:t xml:space="preserve">.</w:t>
      </w:r>
    </w:p>
    <w:p>
      <w:pPr>
        <w:spacing w:after="160" w:line="276"/>
        <w:jc w:val="both"/>
      </w:pPr>
      <w:r>
        <w:rPr>
          <w:rFonts w:ascii="Garamond" w:cs="Garamond" w:eastAsia="Garamond" w:hAnsi="Garamond"/>
          <w:sz w:val="22"/>
          <w:szCs w:val="22"/>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Garamond" w:cs="Garamond" w:eastAsia="Garamond" w:hAnsi="Garamond"/>
          <w:sz w:val="22"/>
          <w:szCs w:val="22"/>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spacing w:after="160" w:before="320"/>
      </w:pPr>
      <w:r>
        <w:rPr>
          <w:rFonts w:ascii="Garamond" w:cs="Garamond" w:eastAsia="Garamond" w:hAnsi="Garamond"/>
          <w:b/>
          <w:bCs/>
          <w:color w:val="000000"/>
          <w:sz w:val="28"/>
          <w:szCs w:val="28"/>
        </w:rPr>
        <w:t xml:space="preserve">9 — The Prediction</w:t>
      </w:r>
    </w:p>
    <w:p>
      <w:pPr>
        <w:spacing w:after="160" w:line="276"/>
        <w:jc w:val="both"/>
      </w:pPr>
      <w:r>
        <w:rPr>
          <w:rFonts w:ascii="Garamond" w:cs="Garamond" w:eastAsia="Garamond" w:hAnsi="Garamond"/>
          <w:sz w:val="22"/>
          <w:szCs w:val="22"/>
        </w:rPr>
        <w:t xml:space="preserve">The realised gravitational coupling is α_G∗ = α_em²¹ × (1 + 1/π) / (1 + α_em), and the realised constant is:</w:t>
      </w:r>
    </w:p>
    <w:p>
      <w:pPr>
        <w:spacing w:after="160" w:line="276"/>
        <w:jc w:val="center"/>
      </w:pPr>
      <w:r>
        <w:rPr>
          <w:rFonts w:ascii="Garamond" w:cs="Garamond" w:eastAsia="Garamond" w:hAnsi="Garamond"/>
          <w:b/>
          <w:bCs/>
          <w:sz w:val="22"/>
          <w:szCs w:val="22"/>
        </w:rPr>
        <w:t xml:space="preserve">G = α_em²¹ × (1 + 1/π) / (1 + α_em) × ℏc / m_e²</w:t>
      </w:r>
    </w:p>
    <w:p>
      <w:pPr>
        <w:spacing w:after="160" w:line="276"/>
        <w:jc w:val="both"/>
      </w:pPr>
      <w:r>
        <w:rPr>
          <w:rFonts w:ascii="Garamond" w:cs="Garamond" w:eastAsia="Garamond" w:hAnsi="Garamond"/>
          <w:sz w:val="22"/>
          <w:szCs w:val="22"/>
        </w:rPr>
        <w:t xml:space="preserve">Using the CODATA inputs, as AP28 uses them:</w:t>
      </w:r>
    </w:p>
    <w:p>
      <w:pPr>
        <w:spacing w:after="40" w:line="276"/>
        <w:jc w:val="center"/>
      </w:pPr>
      <w:r>
        <w:rPr>
          <w:rFonts w:ascii="Garamond" w:cs="Garamond" w:eastAsia="Garamond" w:hAnsi="Garamond"/>
          <w:sz w:val="22"/>
          <w:szCs w:val="22"/>
        </w:rPr>
        <w:t xml:space="preserve">α_em²¹ = 1.338 × 10⁻⁴⁵</w:t>
      </w:r>
    </w:p>
    <w:p>
      <w:pPr>
        <w:spacing w:after="40" w:line="276"/>
        <w:jc w:val="center"/>
      </w:pPr>
      <w:r>
        <w:rPr>
          <w:rFonts w:ascii="Garamond" w:cs="Garamond" w:eastAsia="Garamond" w:hAnsi="Garamond"/>
          <w:sz w:val="22"/>
          <w:szCs w:val="22"/>
        </w:rPr>
        <w:t xml:space="preserve">1 + 1/π = 1.31831</w:t>
      </w:r>
    </w:p>
    <w:p>
      <w:pPr>
        <w:spacing w:after="40" w:line="276"/>
        <w:jc w:val="center"/>
      </w:pPr>
      <w:r>
        <w:rPr>
          <w:rFonts w:ascii="Garamond" w:cs="Garamond" w:eastAsia="Garamond" w:hAnsi="Garamond"/>
          <w:sz w:val="22"/>
          <w:szCs w:val="22"/>
        </w:rPr>
        <w:t xml:space="preserve">1 / (1 + α_em) = 0.992756</w:t>
      </w:r>
    </w:p>
    <w:p>
      <w:pPr>
        <w:spacing w:after="40" w:line="276"/>
        <w:jc w:val="center"/>
      </w:pPr>
      <w:r>
        <w:rPr>
          <w:rFonts w:ascii="Garamond" w:cs="Garamond" w:eastAsia="Garamond" w:hAnsi="Garamond"/>
          <w:sz w:val="22"/>
          <w:szCs w:val="22"/>
        </w:rPr>
        <w:t xml:space="preserve">Structural value (AP28): G = 6.7206 × 10⁻¹¹ N·m²/kg²</w:t>
      </w:r>
    </w:p>
    <w:p>
      <w:pPr>
        <w:spacing w:after="40" w:line="276"/>
        <w:jc w:val="center"/>
      </w:pPr>
      <w:r>
        <w:rPr>
          <w:rFonts w:ascii="Garamond" w:cs="Garamond" w:eastAsia="Garamond" w:hAnsi="Garamond"/>
          <w:b/>
          <w:bCs/>
          <w:sz w:val="22"/>
          <w:szCs w:val="22"/>
        </w:rPr>
        <w:t xml:space="preserve">Realised value: G = 6.6719 × 10⁻¹¹ N·m²/kg²</w:t>
      </w:r>
    </w:p>
    <w:p>
      <w:pPr>
        <w:spacing w:after="160" w:line="276"/>
        <w:jc w:val="center"/>
      </w:pPr>
      <w:r>
        <w:rPr>
          <w:rFonts w:ascii="Garamond" w:cs="Garamond" w:eastAsia="Garamond" w:hAnsi="Garamond"/>
          <w:sz w:val="22"/>
          <w:szCs w:val="22"/>
        </w:rPr>
        <w:t xml:space="preserve">Measured (CODATA 2018, unchanged 2022): G = 6.6743 × 10⁻¹¹ N·m²/kg²</w:t>
      </w:r>
    </w:p>
    <w:p>
      <w:pPr>
        <w:spacing w:after="160" w:line="276"/>
        <w:jc w:val="both"/>
      </w:pPr>
      <w:r>
        <w:rPr>
          <w:rFonts w:ascii="Garamond" w:cs="Garamond" w:eastAsia="Garamond" w:hAnsi="Garamond"/>
          <w:b/>
          <w:bCs/>
          <w:sz w:val="22"/>
          <w:szCs w:val="22"/>
        </w:rPr>
        <w:t xml:space="preserve">Residual: −0.036%.</w:t>
      </w:r>
    </w:p>
    <w:p>
      <w:pPr>
        <w:spacing w:after="160" w:line="276"/>
        <w:jc w:val="both"/>
      </w:pPr>
      <w:r>
        <w:rPr>
          <w:rFonts w:ascii="Garamond" w:cs="Garamond" w:eastAsia="Garamond" w:hAnsi="Garamond"/>
          <w:sz w:val="22"/>
          <w:szCs w:val="22"/>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And stated against individual experiments, as a hostile reader will state it first: the realised value sits twenty-nine standard deviations below HUST-T-18 and twenty-five below UWash-00 in those experiments’ own uncertainties, and sixteen below the CODATA recommendation at its formal 22 ppm. The commitment moved the exclusion from roughly six hundred standard deviations to twenty-nine — a twenty-fold improvement that is still exclusion, not agreement, and is claimed as nothing more.</w:t>
      </w:r>
    </w:p>
    <w:p>
      <w:pPr>
        <w:spacing w:after="160" w:line="276"/>
        <w:jc w:val="both"/>
      </w:pPr>
      <w:r>
        <w:rPr>
          <w:rFonts w:ascii="Garamond" w:cs="Garamond" w:eastAsia="Garamond" w:hAnsi="Garamond"/>
          <w:sz w:val="22"/>
          <w:szCs w:val="22"/>
        </w:rPr>
        <w:t xml:space="preserve">And here is what the landing is, exactly: non-exclusion, not evidence. By §10’s own argument the target is soft — a four-per-cent-wide admissible window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Garamond" w:cs="Garamond" w:eastAsia="Garamond" w:hAnsi="Garamond"/>
          <w:sz w:val="22"/>
          <w:szCs w:val="22"/>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spacing w:after="160" w:before="320"/>
      </w:pPr>
      <w:r>
        <w:rPr>
          <w:rFonts w:ascii="Garamond" w:cs="Garamond" w:eastAsia="Garamond" w:hAnsi="Garamond"/>
          <w:b/>
          <w:bCs/>
          <w:color w:val="000000"/>
          <w:sz w:val="28"/>
          <w:szCs w:val="28"/>
        </w:rPr>
        <w:t xml:space="preserve">10 — What the Data May and May Not Do</w:t>
      </w:r>
    </w:p>
    <w:p>
      <w:pPr>
        <w:spacing w:after="160" w:line="276"/>
        <w:jc w:val="both"/>
      </w:pPr>
      <w:r>
        <w:rPr>
          <w:rFonts w:ascii="Garamond" w:cs="Garamond" w:eastAsia="Garamond" w:hAnsi="Garamond"/>
          <w:sz w:val="22"/>
          <w:szCs w:val="22"/>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Garamond" w:cs="Garamond" w:eastAsia="Garamond" w:hAnsi="Garamond"/>
          <w:b/>
          <w:bCs/>
          <w:sz w:val="22"/>
          <w:szCs w:val="22"/>
        </w:rPr>
        <w:t xml:space="preserve">data may eliminate structural candidates; data may never generate them.</w:t>
      </w:r>
      <w:r>
        <w:rPr>
          <w:rFonts w:ascii="Garamond" w:cs="Garamond" w:eastAsia="Garamond" w:hAnsi="Garamond"/>
          <w:sz w:val="22"/>
          <w:szCs w:val="22"/>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Garamond" w:cs="Garamond" w:eastAsia="Garamond" w:hAnsi="Garamond"/>
          <w:sz w:val="22"/>
          <w:szCs w:val="22"/>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Garamond" w:cs="Garamond" w:eastAsia="Garamond" w:hAnsi="Garamond"/>
          <w:b/>
          <w:bCs/>
          <w:sz w:val="22"/>
          <w:szCs w:val="22"/>
        </w:rPr>
        <w:t xml:space="preserve">20/21 of ε lands about 12 ppm below the centre</w:t>
      </w:r>
      <w:r>
        <w:rPr>
          <w:rFonts w:ascii="Garamond" w:cs="Garamond" w:eastAsia="Garamond" w:hAnsi="Garamond"/>
          <w:sz w:val="22"/>
          <w:szCs w:val="22"/>
        </w:rPr>
        <w:t xml:space="preserve">, and </w:t>
      </w:r>
      <w:r>
        <w:rPr>
          <w:rFonts w:ascii="Garamond" w:cs="Garamond" w:eastAsia="Garamond" w:hAnsi="Garamond"/>
          <w:b/>
          <w:bCs/>
          <w:sz w:val="22"/>
          <w:szCs w:val="22"/>
        </w:rPr>
        <w:t xml:space="preserve">17/18 of ε about 45 ppm above it</w:t>
      </w:r>
      <w:r>
        <w:rPr>
          <w:rFonts w:ascii="Garamond" w:cs="Garamond" w:eastAsia="Garamond" w:hAnsi="Garamond"/>
          <w:sz w:val="22"/>
          <w:szCs w:val="22"/>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more than the gap between the whispers, is one more proof that the digits cannot carry a decision.)</w:t>
      </w:r>
    </w:p>
    <w:p>
      <w:pPr>
        <w:spacing w:after="160" w:line="276"/>
        <w:jc w:val="both"/>
      </w:pPr>
      <w:r>
        <w:rPr>
          <w:rFonts w:ascii="Garamond" w:cs="Garamond" w:eastAsia="Garamond" w:hAnsi="Garamond"/>
          <w:sz w:val="22"/>
          <w:szCs w:val="22"/>
        </w:rPr>
        <w:t xml:space="preserve">And the target itself is soft, which is the final proof that digit-matching is meaningless here. Measured against the lowest laboratory determination the demanded fraction is near 0.99 of ε; against the highest, near 0.92; the admissible window is the whole range between, four per cent wide against a formal uncertainty of 22 ppm. Any fraction in the window “fits”. Structure alone can choose, and structure already chose before the window was drawn: the axiom writes one element, once. This paper states 1×ε, states nothing finer, and arms KS-CCC.1 against every future refinement — including the author’s — that cannot show its forcing argument was written before its number.</w:t>
      </w:r>
    </w:p>
    <w:p>
      <w:pPr>
        <w:spacing w:after="160" w:line="276"/>
        <w:jc w:val="both"/>
      </w:pPr>
      <w:r>
        <w:rPr>
          <w:rFonts w:ascii="Garamond" w:cs="Garamond" w:eastAsia="Garamond" w:hAnsi="Garamond"/>
          <w:sz w:val="22"/>
          <w:szCs w:val="22"/>
        </w:rPr>
        <w:t xml:space="preserve">And the fence holds the paper’s own history, because the selection pressure in this work did not run only on fractions — it ran on structure. Per-channel compounding and a channel-scaled cost were eliminated by measurement (legal under the rule, and disclosed); the count moved from ten-as-divisor to per-configuration to the arena under structural pressure, with zero numerical motion after the first computation; and the 1×ε magnitude argument was articulated in the same breath as the numbers, against a residual that was already published canon — postdiction with refused tuning, which is this paper’s honest genre and is labelled as such. The dated sequence, with every elimination and its driver, is published as PROV-CCC.1 beside this draft, so that the claim of zero fitted parameters can be audited as a process rather than believed as a sentence.</w:t>
      </w:r>
    </w:p>
    <w:p>
      <w:pPr>
        <w:pStyle w:val="Heading1"/>
        <w:spacing w:after="160" w:before="320"/>
      </w:pPr>
      <w:r>
        <w:rPr>
          <w:rFonts w:ascii="Garamond" w:cs="Garamond" w:eastAsia="Garamond" w:hAnsi="Garamond"/>
          <w:b/>
          <w:bCs/>
          <w:color w:val="000000"/>
          <w:sz w:val="28"/>
          <w:szCs w:val="28"/>
        </w:rPr>
        <w:t xml:space="preserve">11 — Candidate Three</w:t>
      </w:r>
    </w:p>
    <w:p>
      <w:pPr>
        <w:spacing w:after="160" w:line="276"/>
        <w:jc w:val="both"/>
      </w:pPr>
      <w:r>
        <w:rPr>
          <w:rFonts w:ascii="Garamond" w:cs="Garamond" w:eastAsia="Garamond" w:hAnsi="Garamond"/>
          <w:sz w:val="22"/>
          <w:szCs w:val="22"/>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Garamond" w:cs="Garamond" w:eastAsia="Garamond" w:hAnsi="Garamond"/>
          <w:sz w:val="22"/>
          <w:szCs w:val="22"/>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Garamond" w:cs="Garamond" w:eastAsia="Garamond" w:hAnsi="Garamond"/>
          <w:i/>
          <w:iCs/>
          <w:sz w:val="22"/>
          <w:szCs w:val="22"/>
        </w:rPr>
        <w:t xml:space="preserve">is</w:t>
      </w:r>
      <w:r>
        <w:rPr>
          <w:rFonts w:ascii="Garamond" w:cs="Garamond" w:eastAsia="Garamond" w:hAnsi="Garamond"/>
          <w:sz w:val="22"/>
          <w:szCs w:val="22"/>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Garamond" w:cs="Garamond" w:eastAsia="Garamond" w:hAnsi="Garamond"/>
          <w:sz w:val="22"/>
          <w:szCs w:val="22"/>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Garamond" w:cs="Garamond" w:eastAsia="Garamond" w:hAnsi="Garamond"/>
          <w:sz w:val="22"/>
          <w:szCs w:val="22"/>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Garamond" w:cs="Garamond" w:eastAsia="Garamond" w:hAnsi="Garamond"/>
          <w:i/>
          <w:iCs/>
          <w:sz w:val="22"/>
          <w:szCs w:val="22"/>
        </w:rPr>
        <w:t xml:space="preserve">below</w:t>
      </w:r>
      <w:r>
        <w:rPr>
          <w:rFonts w:ascii="Garamond" w:cs="Garamond" w:eastAsia="Garamond" w:hAnsi="Garamond"/>
          <w:sz w:val="22"/>
          <w:szCs w:val="22"/>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spacing w:after="160" w:before="320"/>
      </w:pPr>
      <w:r>
        <w:rPr>
          <w:rFonts w:ascii="Garamond" w:cs="Garamond" w:eastAsia="Garamond" w:hAnsi="Garamond"/>
          <w:b/>
          <w:bCs/>
          <w:color w:val="000000"/>
          <w:sz w:val="28"/>
          <w:szCs w:val="28"/>
        </w:rPr>
        <w:t xml:space="preserve">12 — Kill Switches</w:t>
      </w:r>
    </w:p>
    <w:p>
      <w:pPr>
        <w:spacing w:after="160" w:line="276"/>
        <w:jc w:val="both"/>
      </w:pPr>
      <w:r>
        <w:rPr>
          <w:rFonts w:ascii="Garamond" w:cs="Garamond" w:eastAsia="Garamond" w:hAnsi="Garamond"/>
          <w:sz w:val="22"/>
          <w:szCs w:val="22"/>
        </w:rPr>
        <w:t xml:space="preserve">Six switches, Claim / Test / Status / Recovery, identifiers pending MKSR registration.</w:t>
      </w:r>
    </w:p>
    <w:p>
      <w:pPr>
        <w:pStyle w:val="Heading2"/>
        <w:spacing w:after="120" w:before="240"/>
      </w:pPr>
      <w:r>
        <w:rPr>
          <w:rFonts w:ascii="Garamond" w:cs="Garamond" w:eastAsia="Garamond" w:hAnsi="Garamond"/>
          <w:b/>
          <w:bCs/>
          <w:color w:val="000000"/>
          <w:sz w:val="24"/>
          <w:szCs w:val="24"/>
        </w:rPr>
        <w:t xml:space="preserve">KS-CCC.1 — Forced structure</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Every structural choice entering the commitment — count, placement, boundary, and magnitude — is either forced from the axiom and locked results, or is a disclosed selection with its eliminations and their drivers on the public record (PROV-CCC.1). The magnitude is 1×ε; no refinement is admitted without a prior forcing argument.</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publication, anywhere in the corpus, of any commitment structure or magnitude whose selection depended on comparison with measured G and whose selection history is not disclosed — including any fraction from §10’s fence, any revised count, and any relocated placement.</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METHODOLOGICAL. This switch binds the author.</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None inside the parameter-free claim. A fitted fraction retires the zero-fitted-parameters status of the G result; the correction reverts to 1×ε or is withdrawn entirely.</w:t>
      </w:r>
    </w:p>
    <w:p>
      <w:pPr>
        <w:pStyle w:val="Heading2"/>
        <w:spacing w:after="120" w:before="240"/>
      </w:pPr>
      <w:r>
        <w:rPr>
          <w:rFonts w:ascii="Garamond" w:cs="Garamond" w:eastAsia="Garamond" w:hAnsi="Garamond"/>
          <w:b/>
          <w:bCs/>
          <w:color w:val="000000"/>
          <w:sz w:val="24"/>
          <w:szCs w:val="24"/>
        </w:rPr>
        <w:t xml:space="preserve">KS-CCC.2 — Mass-side drift</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Any derivation, anywhere in the corpus, that applies a commitment factor to a mass or exhibits a commitment residue in a mass ratio.</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STRUCTURAL/EMPIRICAL.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120" w:before="240"/>
      </w:pPr>
      <w:r>
        <w:rPr>
          <w:rFonts w:ascii="Garamond" w:cs="Garamond" w:eastAsia="Garamond" w:hAnsi="Garamond"/>
          <w:b/>
          <w:bCs/>
          <w:color w:val="000000"/>
          <w:sz w:val="24"/>
          <w:szCs w:val="24"/>
        </w:rPr>
        <w:t xml:space="preserve">KS-CCC.3 — Existence, direction, and the migration fork</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 commitment of order ε exists; the structural value exceeds the realised value; and — the fork — as apparatus systematics are resolved, the adjusted (consensus) value of G migrates downward, by roughly 300 ppm from its current centre, toward the realised 6.672 × 10⁻¹¹. The null (no commitment; AP28 coincidental) predicts it remains near 6.6743. This is the one forward prediction that separates the commitment from the null, and it is slow, dated, and out of the author’s hands.</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Successive CODATA adjustments and replication-grade determinations, beginning with the first datum after this switch was written: NIST-26, which moved downward. Convergence upward toward 6.7206 × 10⁻¹¹ kills the commitment and revives Candidate 1 in full. Migration downward toward 6.672 × 10⁻¹¹ supports the commitment against the null; stability at 6.6743 as systematics close supports the null. Individual determinations may sit on either side of the realised value within their uncertainties (LENS-14’s centre sits marginally below it); the fork is about the adjusted value, not any single experiment.</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 The switch tests existence and direction, not magnitude: by §10, the admissible window is four per cent of ε wide, and convergence cannot distinguish 1×ε from nearby fractions. No claim of magnitude confirmation will be made from it.</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If metrology converges toward the structural value, the commitment is withdrawn and the 0.69% returns, whole, to Candidates 1 and 2.</w:t>
      </w:r>
    </w:p>
    <w:p>
      <w:pPr>
        <w:pStyle w:val="Heading2"/>
        <w:spacing w:after="120" w:before="240"/>
      </w:pPr>
      <w:r>
        <w:rPr>
          <w:rFonts w:ascii="Garamond" w:cs="Garamond" w:eastAsia="Garamond" w:hAnsi="Garamond"/>
          <w:b/>
          <w:bCs/>
          <w:color w:val="000000"/>
          <w:sz w:val="24"/>
          <w:szCs w:val="24"/>
        </w:rPr>
        <w:t xml:space="preserve">KS-CCC.4 — The discriminator</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Apparatus-leakage corrections, characterised per Appendix C of Ø Predictions, are of scatter scale (at most hundreds of ppm), not of gap scale (~6,900 ppm).</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Appendix C meta-analysis itself.</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Gap-scale corrections confirm Candidate 1 and withdraw the commitment; the realised formula reverts to AP28’s.</w:t>
      </w:r>
    </w:p>
    <w:p>
      <w:pPr>
        <w:pStyle w:val="Heading2"/>
        <w:spacing w:after="120" w:before="240"/>
      </w:pPr>
      <w:r>
        <w:rPr>
          <w:rFonts w:ascii="Garamond" w:cs="Garamond" w:eastAsia="Garamond" w:hAnsi="Garamond"/>
          <w:b/>
          <w:bCs/>
          <w:color w:val="000000"/>
          <w:sz w:val="24"/>
          <w:szCs w:val="24"/>
        </w:rPr>
        <w:t xml:space="preserve">KS-CCC.5 — Held, not shed</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 constitution instant’s ε is held as the persistence commitment (Proposition 2), and in particular the arena’s constitution ε is held.</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Exhibit a mechanism by which a constitution ε — the arena’s above all — is shed while the constitution record is held open by other means.</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Proposition 2 fails; the dichotomy collapses to leakage-only; the commitment is withdrawn. AP06 is unaffected — the leakage never depended on this paper.</w:t>
      </w:r>
    </w:p>
    <w:p>
      <w:pPr>
        <w:pStyle w:val="Heading2"/>
        <w:spacing w:after="120" w:before="240"/>
      </w:pPr>
      <w:r>
        <w:rPr>
          <w:rFonts w:ascii="Garamond" w:cs="Garamond" w:eastAsia="Garamond" w:hAnsi="Garamond"/>
          <w:b/>
          <w:bCs/>
          <w:color w:val="000000"/>
          <w:sz w:val="24"/>
          <w:szCs w:val="24"/>
        </w:rPr>
        <w:t xml:space="preserve">KS-CCC.6 — Single entry</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puncture factor and the commitment are independent readings of the unpaired element (Proposition 6, claimed as an extension of AP24’s licence).</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completed puncture-topology normalisation owed under KS-R.9, if it is shown to already contain the persistence provision.</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 coupled to KS-R.9.</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The correction double-counts and is removed; the puncture factor absorbs the commitment under a reinterpreted normalisation; the realised formula reverts to AP28’s.</w:t>
      </w:r>
    </w:p>
    <w:p>
      <w:pPr>
        <w:pStyle w:val="Heading1"/>
        <w:spacing w:after="160" w:before="320"/>
      </w:pPr>
      <w:r>
        <w:rPr>
          <w:rFonts w:ascii="Garamond" w:cs="Garamond" w:eastAsia="Garamond" w:hAnsi="Garamond"/>
          <w:b/>
          <w:bCs/>
          <w:color w:val="000000"/>
          <w:sz w:val="28"/>
          <w:szCs w:val="28"/>
        </w:rPr>
        <w:t xml:space="preserve">13 — Dependencies</w:t>
      </w:r>
    </w:p>
    <w:p>
      <w:pPr>
        <w:spacing w:after="160" w:line="276"/>
        <w:jc w:val="both"/>
      </w:pPr>
      <w:r>
        <w:rPr>
          <w:rFonts w:ascii="Garamond" w:cs="Garamond" w:eastAsia="Garamond" w:hAnsi="Garamond"/>
          <w:b/>
          <w:bCs/>
          <w:sz w:val="22"/>
          <w:szCs w:val="22"/>
        </w:rPr>
        <w:t xml:space="preserve">Depends on:</w:t>
      </w:r>
      <w:r>
        <w:rPr>
          <w:rFonts w:ascii="Garamond" w:cs="Garamond" w:eastAsia="Garamond" w:hAnsi="Garamond"/>
          <w:sz w:val="22"/>
          <w:szCs w:val="22"/>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Garamond" w:cs="Garamond" w:eastAsia="Garamond" w:hAnsi="Garamond"/>
          <w:b/>
          <w:bCs/>
          <w:sz w:val="22"/>
          <w:szCs w:val="22"/>
        </w:rPr>
        <w:t xml:space="preserve">What depends on it:</w:t>
      </w:r>
      <w:r>
        <w:rPr>
          <w:rFonts w:ascii="Garamond" w:cs="Garamond" w:eastAsia="Garamond" w:hAnsi="Garamond"/>
          <w:sz w:val="22"/>
          <w:szCs w:val="22"/>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six switches. Adoption is a coordinated amendment sequenced by an update table, in the discipline the corpus already uses — not a patch, and not before the author’s ruling.</w:t>
      </w:r>
    </w:p>
    <w:p>
      <w:pPr>
        <w:pStyle w:val="Heading1"/>
        <w:spacing w:after="160" w:before="320"/>
      </w:pPr>
      <w:r>
        <w:rPr>
          <w:rFonts w:ascii="Garamond" w:cs="Garamond" w:eastAsia="Garamond" w:hAnsi="Garamond"/>
          <w:b/>
          <w:bCs/>
          <w:color w:val="000000"/>
          <w:sz w:val="28"/>
          <w:szCs w:val="28"/>
        </w:rPr>
        <w:t xml:space="preserve">Claim Summary</w:t>
      </w:r>
    </w:p>
    <w:p>
      <w:pPr>
        <w:spacing w:after="160" w:line="276"/>
        <w:jc w:val="both"/>
      </w:pPr>
      <w:r>
        <w:rPr>
          <w:rFonts w:ascii="Garamond" w:cs="Garamond" w:eastAsia="Garamond" w:hAnsi="Garamond"/>
          <w:b/>
          <w:bCs/>
          <w:sz w:val="22"/>
          <w:szCs w:val="22"/>
        </w:rPr>
        <w:t xml:space="preserve">§2 — Constitution record.</w:t>
      </w:r>
      <w:r>
        <w:rPr>
          <w:rFonts w:ascii="Garamond" w:cs="Garamond" w:eastAsia="Garamond" w:hAnsi="Garamond"/>
          <w:sz w:val="22"/>
          <w:szCs w:val="22"/>
        </w:rPr>
        <w:t xml:space="preserve">  Every persisting configuration has a unique first record; the arena’s is the break. DERIVED.</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A constitution instant’s ε is held as the persistence commitment; every later instant’s ε is shed as leakage. DERIVED — structural register; formalisation owed (D-CCC.1).</w:t>
      </w:r>
    </w:p>
    <w:p>
      <w:pPr>
        <w:spacing w:after="160" w:line="276"/>
        <w:jc w:val="both"/>
      </w:pPr>
      <w:r>
        <w:rPr>
          <w:rFonts w:ascii="Garamond" w:cs="Garamond" w:eastAsia="Garamond" w:hAnsi="Garamond"/>
          <w:b/>
          <w:bCs/>
          <w:sz w:val="22"/>
          <w:szCs w:val="22"/>
        </w:rPr>
        <w:t xml:space="preserve">§4 — One arena, one snap, one ε.</w:t>
      </w:r>
      <w:r>
        <w:rPr>
          <w:rFonts w:ascii="Garamond" w:cs="Garamond" w:eastAsia="Garamond" w:hAnsi="Garamond"/>
          <w:sz w:val="22"/>
          <w:szCs w:val="22"/>
        </w:rPr>
        <w:t xml:space="preserve">  The exponent counts arenas; matter’s commitments are already booked as mass (AP29). DERIVED; Corollary DERIVED; guarded by KS-CCC.2.</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α_G∗ = α_G / (1 + ε): form DERIVED; the value ε = α_em SELECTED AMONG STRUCTURAL CANDIDATES, argued from the coupling denomination, booked as D-CCC.4.</w:t>
      </w:r>
    </w:p>
    <w:p>
      <w:pPr>
        <w:spacing w:after="160" w:line="276"/>
        <w:jc w:val="both"/>
      </w:pPr>
      <w:r>
        <w:rPr>
          <w:rFonts w:ascii="Garamond" w:cs="Garamond" w:eastAsia="Garamond" w:hAnsi="Garamond"/>
          <w:b/>
          <w:bCs/>
          <w:sz w:val="22"/>
          <w:szCs w:val="22"/>
        </w:rPr>
        <w:t xml:space="preserve">§6 — Placement.</w:t>
      </w:r>
      <w:r>
        <w:rPr>
          <w:rFonts w:ascii="Garamond" w:cs="Garamond" w:eastAsia="Garamond" w:hAnsi="Garamond"/>
          <w:sz w:val="22"/>
          <w:szCs w:val="22"/>
        </w:rPr>
        <w:t xml:space="preserve">  The arena’s commitment lives in the arena’s coupling — forced by AP28 §2’s own mapping; the two-home elimination retained as corroboration. DERIVED.</w:t>
      </w:r>
    </w:p>
    <w:p>
      <w:pPr>
        <w:spacing w:after="160" w:line="276"/>
        <w:jc w:val="both"/>
      </w:pPr>
      <w:r>
        <w:rPr>
          <w:rFonts w:ascii="Garamond" w:cs="Garamond" w:eastAsia="Garamond" w:hAnsi="Garamond"/>
          <w:b/>
          <w:bCs/>
          <w:sz w:val="22"/>
          <w:szCs w:val="22"/>
        </w:rPr>
        <w:t xml:space="preserve">§7 — Double entry.</w:t>
      </w:r>
      <w:r>
        <w:rPr>
          <w:rFonts w:ascii="Garamond" w:cs="Garamond" w:eastAsia="Garamond" w:hAnsi="Garamond"/>
          <w:sz w:val="22"/>
          <w:szCs w:val="22"/>
        </w:rPr>
        <w:t xml:space="preserve">  Contribution (1 + 1/π) and commitment 1/(1 + ε): an extension of AP24’s licence, stated as such, supported by the strata of §8’s graph. STRUCTURAL — EXTENSION; guarded by KS-CCC.6.</w:t>
      </w:r>
    </w:p>
    <w:p>
      <w:pPr>
        <w:spacing w:after="160" w:line="276"/>
        <w:jc w:val="both"/>
      </w:pPr>
      <w:r>
        <w:rPr>
          <w:rFonts w:ascii="Garamond" w:cs="Garamond" w:eastAsia="Garamond" w:hAnsi="Garamond"/>
          <w:b/>
          <w:bCs/>
          <w:sz w:val="22"/>
          <w:szCs w:val="22"/>
        </w:rPr>
        <w:t xml:space="preserve">§8 — Vertices.</w:t>
      </w:r>
      <w:r>
        <w:rPr>
          <w:rFonts w:ascii="Garamond" w:cs="Garamond" w:eastAsia="Garamond" w:hAnsi="Garamond"/>
          <w:sz w:val="22"/>
          <w:szCs w:val="22"/>
        </w:rPr>
        <w:t xml:space="preserve">  Ten vertices, twenty-one edges of AP28’s proven graph; constitution at nodes, flow along edges. DERIVED count; MOTIVATED assignment; empirically silent.</w:t>
      </w:r>
    </w:p>
    <w:p>
      <w:pPr>
        <w:spacing w:after="160" w:line="276"/>
        <w:jc w:val="both"/>
      </w:pPr>
      <w:r>
        <w:rPr>
          <w:rFonts w:ascii="Garamond" w:cs="Garamond" w:eastAsia="Garamond" w:hAnsi="Garamond"/>
          <w:b/>
          <w:bCs/>
          <w:sz w:val="22"/>
          <w:szCs w:val="22"/>
        </w:rPr>
        <w:t xml:space="preserve">§9 — Prediction.</w:t>
      </w:r>
      <w:r>
        <w:rPr>
          <w:rFonts w:ascii="Garamond" w:cs="Garamond" w:eastAsia="Garamond" w:hAnsi="Garamond"/>
          <w:sz w:val="22"/>
          <w:szCs w:val="22"/>
        </w:rPr>
        <w:t xml:space="preserve">  G = 6.6719 × 10⁻¹¹; residual −0.036%, sign flipped, reported open; the landing reported as non-exclusion, not evidence. EMPIRICAL.</w:t>
      </w:r>
    </w:p>
    <w:p>
      <w:pPr>
        <w:spacing w:after="160" w:line="276"/>
        <w:jc w:val="both"/>
      </w:pPr>
      <w:r>
        <w:rPr>
          <w:rFonts w:ascii="Garamond" w:cs="Garamond" w:eastAsia="Garamond" w:hAnsi="Garamond"/>
          <w:b/>
          <w:bCs/>
          <w:sz w:val="22"/>
          <w:szCs w:val="22"/>
        </w:rPr>
        <w:t xml:space="preserve">§10 — The rule.</w:t>
      </w:r>
      <w:r>
        <w:rPr>
          <w:rFonts w:ascii="Garamond" w:cs="Garamond" w:eastAsia="Garamond" w:hAnsi="Garamond"/>
          <w:sz w:val="22"/>
          <w:szCs w:val="22"/>
        </w:rPr>
        <w:t xml:space="preserve">  Data eliminates; data never generates. Demanded fraction 0.951 (quotient convention); 20/21 at −12 ppm and 17/18 at +45 ppm recorded and refused. METHOD.</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The scatter-signature inconsistency stated in internal form and resolved by division of labour; the normalisations excluded by sign. STRUCTURAL PLACEMENT.</w:t>
      </w:r>
    </w:p>
    <w:p>
      <w:pPr>
        <w:pStyle w:val="Heading1"/>
        <w:spacing w:after="160" w:before="320"/>
      </w:pPr>
      <w:r>
        <w:rPr>
          <w:rFonts w:ascii="Garamond" w:cs="Garamond" w:eastAsia="Garamond" w:hAnsi="Garamond"/>
          <w:b/>
          <w:bCs/>
          <w:color w:val="000000"/>
          <w:sz w:val="28"/>
          <w:szCs w:val="28"/>
        </w:rPr>
        <w:t xml:space="preserve">Conditionality Footer</w:t>
      </w:r>
    </w:p>
    <w:p>
      <w:pPr>
        <w:pStyle w:val="Heading2"/>
        <w:spacing w:after="120" w:before="240"/>
      </w:pPr>
      <w:r>
        <w:rPr>
          <w:rFonts w:ascii="Garamond" w:cs="Garamond" w:eastAsia="Garamond" w:hAnsi="Garamond"/>
          <w:b/>
          <w:bCs/>
          <w:color w:val="000000"/>
          <w:sz w:val="24"/>
          <w:szCs w:val="24"/>
        </w:rPr>
        <w:t xml:space="preserve">Dependencies</w:t>
      </w:r>
    </w:p>
    <w:p>
      <w:pPr>
        <w:spacing w:after="160" w:line="276"/>
        <w:jc w:val="both"/>
      </w:pPr>
      <w:r>
        <w:rPr>
          <w:rFonts w:ascii="Garamond" w:cs="Garamond" w:eastAsia="Garamond" w:hAnsi="Garamond"/>
          <w:sz w:val="22"/>
          <w:szCs w:val="22"/>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120" w:before="240"/>
      </w:pPr>
      <w:r>
        <w:rPr>
          <w:rFonts w:ascii="Garamond" w:cs="Garamond" w:eastAsia="Garamond" w:hAnsi="Garamond"/>
          <w:b/>
          <w:bCs/>
          <w:color w:val="000000"/>
          <w:sz w:val="24"/>
          <w:szCs w:val="24"/>
        </w:rPr>
        <w:t xml:space="preserve">Dependents</w:t>
      </w:r>
    </w:p>
    <w:p>
      <w:pPr>
        <w:spacing w:after="160" w:line="276"/>
        <w:jc w:val="both"/>
      </w:pPr>
      <w:r>
        <w:rPr>
          <w:rFonts w:ascii="Garamond" w:cs="Garamond" w:eastAsia="Garamond" w:hAnsi="Garamond"/>
          <w:sz w:val="22"/>
          <w:szCs w:val="22"/>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120" w:before="240"/>
      </w:pPr>
      <w:r>
        <w:rPr>
          <w:rFonts w:ascii="Garamond" w:cs="Garamond" w:eastAsia="Garamond" w:hAnsi="Garamond"/>
          <w:b/>
          <w:bCs/>
          <w:color w:val="000000"/>
          <w:sz w:val="24"/>
          <w:szCs w:val="24"/>
        </w:rPr>
        <w:t xml:space="preserve">Kill switches engaged</w:t>
      </w:r>
    </w:p>
    <w:p>
      <w:pPr>
        <w:spacing w:after="160" w:line="276"/>
        <w:jc w:val="both"/>
      </w:pPr>
      <w:r>
        <w:rPr>
          <w:rFonts w:ascii="Garamond" w:cs="Garamond" w:eastAsia="Garamond" w:hAnsi="Garamond"/>
          <w:sz w:val="22"/>
          <w:szCs w:val="22"/>
        </w:rPr>
        <w:t xml:space="preserve">KS-CCC.1 (forced magnitude, LIVE — METHODOLOGICAL). KS-CCC.2 (mass-side drift, LIVE — STRUCTURAL/EMPIRICAL). KS-CCC.3 (existence and direction, LIVE — EMPIRICAL). KS-CCC.4 (discriminator, LIVE — EMPIRICAL). KS-CCC.5 (held not shed, LIVE — STRUCTURAL). KS-CCC.6 (single entry, LIVE — STRUCTURAL, coupled to KS-R.9).</w:t>
      </w:r>
    </w:p>
    <w:p>
      <w:pPr>
        <w:pStyle w:val="Heading2"/>
        <w:spacing w:after="120" w:before="240"/>
      </w:pPr>
      <w:r>
        <w:rPr>
          <w:rFonts w:ascii="Garamond" w:cs="Garamond" w:eastAsia="Garamond" w:hAnsi="Garamond"/>
          <w:b/>
          <w:bCs/>
          <w:color w:val="000000"/>
          <w:sz w:val="24"/>
          <w:szCs w:val="24"/>
        </w:rPr>
        <w:t xml:space="preserve">Structural debts owed</w:t>
      </w:r>
    </w:p>
    <w:p>
      <w:pPr>
        <w:spacing w:after="160" w:line="276"/>
        <w:jc w:val="both"/>
      </w:pPr>
      <w:r>
        <w:rPr>
          <w:rFonts w:ascii="Garamond" w:cs="Garamond" w:eastAsia="Garamond" w:hAnsi="Garamond"/>
          <w:sz w:val="22"/>
          <w:szCs w:val="22"/>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120" w:before="240"/>
      </w:pPr>
      <w:r>
        <w:rPr>
          <w:rFonts w:ascii="Garamond" w:cs="Garamond" w:eastAsia="Garamond" w:hAnsi="Garamond"/>
          <w:b/>
          <w:bCs/>
          <w:color w:val="000000"/>
          <w:sz w:val="24"/>
          <w:szCs w:val="24"/>
        </w:rPr>
        <w:t xml:space="preserve">Items held open without claiming debt status</w:t>
      </w:r>
    </w:p>
    <w:p>
      <w:pPr>
        <w:spacing w:after="160" w:line="276"/>
        <w:jc w:val="both"/>
      </w:pPr>
      <w:r>
        <w:rPr>
          <w:rFonts w:ascii="Garamond" w:cs="Garamond" w:eastAsia="Garamond" w:hAnsi="Garamond"/>
          <w:sz w:val="22"/>
          <w:szCs w:val="22"/>
        </w:rPr>
        <w:t xml:space="preserve">Attribution of the −0.036% residual. The ε²-order difference between quotient and shadow (53 ppm). The empirical silence of the vertex distribution (24 ppm). The adoption update table, owed on adoption.</w:t>
      </w:r>
    </w:p>
    <w:p>
      <w:pPr>
        <w:pStyle w:val="Heading1"/>
        <w:spacing w:after="160" w:before="320"/>
      </w:pPr>
      <w:r>
        <w:rPr>
          <w:rFonts w:ascii="Garamond" w:cs="Garamond" w:eastAsia="Garamond" w:hAnsi="Garamond"/>
          <w:b/>
          <w:bCs/>
          <w:color w:val="000000"/>
          <w:sz w:val="28"/>
          <w:szCs w:val="28"/>
        </w:rPr>
        <w:t xml:space="preserve">Notation Reference</w:t>
      </w:r>
    </w:p>
    <w:p>
      <w:pPr>
        <w:spacing w:after="160" w:line="276"/>
        <w:jc w:val="both"/>
      </w:pPr>
      <w:r>
        <w:rPr>
          <w:rFonts w:ascii="Garamond" w:cs="Garamond" w:eastAsia="Garamond" w:hAnsi="Garamond"/>
          <w:b/>
          <w:bCs/>
          <w:sz w:val="22"/>
          <w:szCs w:val="22"/>
        </w:rPr>
        <w:t xml:space="preserve">1:1 + 1×ε @ AS</w:t>
      </w:r>
      <w:r>
        <w:rPr>
          <w:rFonts w:ascii="Garamond" w:cs="Garamond" w:eastAsia="Garamond" w:hAnsi="Garamond"/>
          <w:sz w:val="22"/>
          <w:szCs w:val="22"/>
        </w:rPr>
        <w:t xml:space="preserve">  —  The axiom. The balance, the one unpaired element, read at the Actualization State.</w:t>
      </w:r>
    </w:p>
    <w:p>
      <w:pPr>
        <w:spacing w:after="160" w:line="276"/>
        <w:jc w:val="both"/>
      </w:pPr>
      <w:r>
        <w:rPr>
          <w:rFonts w:ascii="Garamond" w:cs="Garamond" w:eastAsia="Garamond" w:hAnsi="Garamond"/>
          <w:b/>
          <w:bCs/>
          <w:sz w:val="22"/>
          <w:szCs w:val="22"/>
        </w:rPr>
        <w:t xml:space="preserve">ε</w:t>
      </w:r>
      <w:r>
        <w:rPr>
          <w:rFonts w:ascii="Garamond" w:cs="Garamond" w:eastAsia="Garamond" w:hAnsi="Garamond"/>
          <w:sz w:val="22"/>
          <w:szCs w:val="22"/>
        </w:rPr>
        <w:t xml:space="preserve">  —  The unique unpaired element of Axiom B. Its value in the quotient, α_em, is a selection among AP06’s open domain family (§5; D-CCC.4).</w:t>
      </w:r>
    </w:p>
    <w:p>
      <w:pPr>
        <w:spacing w:after="160" w:line="276"/>
        <w:jc w:val="both"/>
      </w:pPr>
      <w:r>
        <w:rPr>
          <w:rFonts w:ascii="Garamond" w:cs="Garamond" w:eastAsia="Garamond" w:hAnsi="Garamond"/>
          <w:b/>
          <w:bCs/>
          <w:sz w:val="22"/>
          <w:szCs w:val="22"/>
        </w:rPr>
        <w:t xml:space="preserve">α_em</w:t>
      </w:r>
      <w:r>
        <w:rPr>
          <w:rFonts w:ascii="Garamond" w:cs="Garamond" w:eastAsia="Garamond" w:hAnsi="Garamond"/>
          <w:sz w:val="22"/>
          <w:szCs w:val="22"/>
        </w:rPr>
        <w:t xml:space="preserve">  —  The fine-structure constant ≈ 1/137.036. The per-channel coupling (AP28 Proposition 5) and the leakage rate (AP06).</w:t>
      </w:r>
    </w:p>
    <w:p>
      <w:pPr>
        <w:spacing w:after="160" w:line="276"/>
        <w:jc w:val="both"/>
      </w:pPr>
      <w:r>
        <w:rPr>
          <w:rFonts w:ascii="Garamond" w:cs="Garamond" w:eastAsia="Garamond" w:hAnsi="Garamond"/>
          <w:b/>
          <w:bCs/>
          <w:sz w:val="22"/>
          <w:szCs w:val="22"/>
        </w:rPr>
        <w:t xml:space="preserve">α_G</w:t>
      </w:r>
      <w:r>
        <w:rPr>
          <w:rFonts w:ascii="Garamond" w:cs="Garamond" w:eastAsia="Garamond" w:hAnsi="Garamond"/>
          <w:sz w:val="22"/>
          <w:szCs w:val="22"/>
        </w:rPr>
        <w:t xml:space="preserve">  —  The structural (provisioned) gravitational coupling, α_em²¹ × (1 + 1/π) (AP28).</w:t>
      </w:r>
    </w:p>
    <w:p>
      <w:pPr>
        <w:spacing w:after="160" w:line="276"/>
        <w:jc w:val="both"/>
      </w:pPr>
      <w:r>
        <w:rPr>
          <w:rFonts w:ascii="Garamond" w:cs="Garamond" w:eastAsia="Garamond" w:hAnsi="Garamond"/>
          <w:b/>
          <w:bCs/>
          <w:sz w:val="22"/>
          <w:szCs w:val="22"/>
        </w:rPr>
        <w:t xml:space="preserve">α_G∗</w:t>
      </w:r>
      <w:r>
        <w:rPr>
          <w:rFonts w:ascii="Garamond" w:cs="Garamond" w:eastAsia="Garamond" w:hAnsi="Garamond"/>
          <w:sz w:val="22"/>
          <w:szCs w:val="22"/>
        </w:rPr>
        <w:t xml:space="preserve">  —  The realised gravitational coupling, α_G / (1 + ε). Introduced in this paper.</w:t>
      </w:r>
    </w:p>
    <w:p>
      <w:pPr>
        <w:spacing w:after="160" w:line="276"/>
        <w:jc w:val="both"/>
      </w:pPr>
      <w:r>
        <w:rPr>
          <w:rFonts w:ascii="Garamond" w:cs="Garamond" w:eastAsia="Garamond" w:hAnsi="Garamond"/>
          <w:b/>
          <w:bCs/>
          <w:sz w:val="22"/>
          <w:szCs w:val="22"/>
        </w:rPr>
        <w:t xml:space="preserve">κ, κ∗</w:t>
      </w:r>
      <w:r>
        <w:rPr>
          <w:rFonts w:ascii="Garamond" w:cs="Garamond" w:eastAsia="Garamond" w:hAnsi="Garamond"/>
          <w:sz w:val="22"/>
          <w:szCs w:val="22"/>
        </w:rPr>
        <w:t xml:space="preserve">  —  The holding limit and its realised value, κ∗ = α_G∗ ℏc / 2.</w:t>
      </w:r>
    </w:p>
    <w:p>
      <w:pPr>
        <w:spacing w:after="160" w:line="276"/>
        <w:jc w:val="both"/>
      </w:pPr>
      <w:r>
        <w:rPr>
          <w:rFonts w:ascii="Garamond" w:cs="Garamond" w:eastAsia="Garamond" w:hAnsi="Garamond"/>
          <w:b/>
          <w:bCs/>
          <w:sz w:val="22"/>
          <w:szCs w:val="22"/>
        </w:rPr>
        <w:t xml:space="preserve">G</w:t>
      </w:r>
      <w:r>
        <w:rPr>
          <w:rFonts w:ascii="Garamond" w:cs="Garamond" w:eastAsia="Garamond" w:hAnsi="Garamond"/>
          <w:sz w:val="22"/>
          <w:szCs w:val="22"/>
        </w:rPr>
        <w:t xml:space="preserve">  —  Newton’s constant. Realised: G = α_G∗ ℏc / m_e² = 6.6719 × 10⁻¹¹ N·m²/kg².</w:t>
      </w:r>
    </w:p>
    <w:p>
      <w:pPr>
        <w:spacing w:after="160" w:line="276"/>
        <w:jc w:val="both"/>
      </w:pPr>
      <w:r>
        <w:rPr>
          <w:rFonts w:ascii="Garamond" w:cs="Garamond" w:eastAsia="Garamond" w:hAnsi="Garamond"/>
          <w:b/>
          <w:bCs/>
          <w:sz w:val="22"/>
          <w:szCs w:val="22"/>
        </w:rPr>
        <w:t xml:space="preserve">snap / The Snap</w:t>
      </w:r>
      <w:r>
        <w:rPr>
          <w:rFonts w:ascii="Garamond" w:cs="Garamond" w:eastAsia="Garamond" w:hAnsi="Garamond"/>
          <w:sz w:val="22"/>
          <w:szCs w:val="22"/>
        </w:rPr>
        <w:t xml:space="preserve">  —  A constitution event; capitalised, the arena’s own — the original break, the first record of all.</w:t>
      </w:r>
    </w:p>
    <w:p>
      <w:pPr>
        <w:spacing w:after="160" w:line="276"/>
        <w:jc w:val="both"/>
      </w:pPr>
      <w:r>
        <w:rPr>
          <w:rFonts w:ascii="Garamond" w:cs="Garamond" w:eastAsia="Garamond" w:hAnsi="Garamond"/>
          <w:b/>
          <w:bCs/>
          <w:sz w:val="22"/>
          <w:szCs w:val="22"/>
        </w:rPr>
        <w:t xml:space="preserve">commitment (CCC)</w:t>
      </w:r>
      <w:r>
        <w:rPr>
          <w:rFonts w:ascii="Garamond" w:cs="Garamond" w:eastAsia="Garamond" w:hAnsi="Garamond"/>
          <w:sz w:val="22"/>
          <w:szCs w:val="22"/>
        </w:rPr>
        <w:t xml:space="preserve">  —  The arena’s constitution ε, held once as the price of the arena’s persistence. G-denominated.</w:t>
      </w:r>
    </w:p>
    <w:p>
      <w:pPr>
        <w:spacing w:after="160" w:line="276"/>
        <w:jc w:val="both"/>
      </w:pPr>
      <w:r>
        <w:rPr>
          <w:rFonts w:ascii="Garamond" w:cs="Garamond" w:eastAsia="Garamond" w:hAnsi="Garamond"/>
          <w:b/>
          <w:bCs/>
          <w:sz w:val="22"/>
          <w:szCs w:val="22"/>
        </w:rPr>
        <w:t xml:space="preserve">leakage (TLC)</w:t>
      </w:r>
      <w:r>
        <w:rPr>
          <w:rFonts w:ascii="Garamond" w:cs="Garamond" w:eastAsia="Garamond" w:hAnsi="Garamond"/>
          <w:sz w:val="22"/>
          <w:szCs w:val="22"/>
        </w:rPr>
        <w:t xml:space="preserve">  —  Every subsequent instant’s ε, shed at the boundary. c-denominated (AP06).</w:t>
      </w:r>
    </w:p>
    <w:p>
      <w:pPr>
        <w:spacing w:after="160" w:line="276"/>
        <w:jc w:val="both"/>
      </w:pPr>
      <w:r>
        <w:rPr>
          <w:rFonts w:ascii="Garamond" w:cs="Garamond" w:eastAsia="Garamond" w:hAnsi="Garamond"/>
          <w:b/>
          <w:bCs/>
          <w:sz w:val="22"/>
          <w:szCs w:val="22"/>
        </w:rPr>
        <w:t xml:space="preserve">provisioned / realised</w:t>
      </w:r>
      <w:r>
        <w:rPr>
          <w:rFonts w:ascii="Garamond" w:cs="Garamond" w:eastAsia="Garamond" w:hAnsi="Garamond"/>
          <w:sz w:val="22"/>
          <w:szCs w:val="22"/>
        </w:rPr>
        <w:t xml:space="preserve">  —  The axiom’s two totals: 1:1 + 1×ε, and the persisting 1:1.</w:t>
      </w:r>
    </w:p>
    <w:p>
      <w:pPr>
        <w:spacing w:after="160" w:line="276"/>
        <w:jc w:val="both"/>
      </w:pPr>
      <w:r>
        <w:rPr>
          <w:rFonts w:ascii="Garamond" w:cs="Garamond" w:eastAsia="Garamond" w:hAnsi="Garamond"/>
          <w:b/>
          <w:bCs/>
          <w:sz w:val="22"/>
          <w:szCs w:val="22"/>
        </w:rPr>
        <w:t xml:space="preserve">vertex / edge</w:t>
      </w:r>
      <w:r>
        <w:rPr>
          <w:rFonts w:ascii="Garamond" w:cs="Garamond" w:eastAsia="Garamond" w:hAnsi="Garamond"/>
          <w:sz w:val="22"/>
          <w:szCs w:val="22"/>
        </w:rPr>
        <w:t xml:space="preserve">  —  The two counts of AP28’s proven coupling graph: 6 + 3 + 1 = 10 vertices; 18 + 3 = 21 edges.</w:t>
      </w:r>
    </w:p>
    <w:p>
      <w:pPr>
        <w:spacing w:after="160" w:line="276"/>
        <w:jc w:val="both"/>
      </w:pPr>
      <w:r>
        <w:rPr>
          <w:rFonts w:ascii="Garamond" w:cs="Garamond" w:eastAsia="Garamond" w:hAnsi="Garamond"/>
          <w:b/>
          <w:bCs/>
          <w:sz w:val="22"/>
          <w:szCs w:val="22"/>
        </w:rPr>
        <w:t xml:space="preserve">Actualization State (AS)</w:t>
      </w:r>
      <w:r>
        <w:rPr>
          <w:rFonts w:ascii="Garamond" w:cs="Garamond" w:eastAsia="Garamond" w:hAnsi="Garamond"/>
          <w:sz w:val="22"/>
          <w:szCs w:val="22"/>
        </w:rPr>
        <w:t xml:space="preserve">  —  The actualising now: the surface from which records are written (AP01).</w:t>
      </w:r>
    </w:p>
    <w:p>
      <w:pPr>
        <w:spacing w:after="200"/>
      </w:pPr>
    </w:p>
    <w:p>
      <w:pPr>
        <w:spacing w:after="60"/>
        <w:jc w:val="center"/>
      </w:pPr>
      <w:r>
        <w:rPr>
          <w:rFonts w:ascii="Garamond" w:cs="Garamond" w:eastAsia="Garamond" w:hAnsi="Garamond"/>
          <w:b w:val="false"/>
          <w:bCs w:val="false"/>
          <w:i/>
          <w:iCs/>
          <w:sz w:val="20"/>
          <w:szCs w:val="20"/>
        </w:rPr>
        <w:t xml:space="preserve">This work is published for free, forever.</w:t>
      </w:r>
    </w:p>
    <w:p>
      <w:pPr>
        <w:spacing w:after="0"/>
        <w:jc w:val="center"/>
      </w:pPr>
      <w:r>
        <w:rPr>
          <w:rFonts w:ascii="Garamond" w:cs="Garamond" w:eastAsia="Garamond" w:hAnsi="Garamond"/>
          <w:b w:val="false"/>
          <w:bCs w:val="false"/>
          <w:i/>
          <w:iCs/>
          <w:sz w:val="20"/>
          <w:szCs w:val="20"/>
        </w:rPr>
        <w:t xml:space="preserve">End of The Snap. Artist’s Proof 44 — Draft v0.3, unlocked.</w:t>
      </w:r>
    </w:p>
    <w:sectPr>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2026-08-10T20:12:51.025Z</dcterms:created>
  <dcterms:modified xsi:type="dcterms:W3CDTF">2026-08-10T20:12:51.025Z</dcterms:modified>
</cp:coreProperties>
</file>

<file path=docProps/custom.xml><?xml version="1.0" encoding="utf-8"?>
<Properties xmlns="http://schemas.openxmlformats.org/officeDocument/2006/custom-properties" xmlns:vt="http://schemas.openxmlformats.org/officeDocument/2006/docPropsVTypes"/>
</file>