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 xml:space="preserve">Draft v0.7 — final draft for the author’s ruling. Corrections against v0.6, each named: §10’s admissible window restated in its own quotient convention (1.000 to 0.925; seven and a half per cent of ε, not four); KS-CCC.2’s §12 status aligned to §0.5 (DISCIPLINE); the register sentence made exact (the number enters the argument once); the leakage denominator typeset as the constant c, per AP06’s own mapping; the retinal reading aligned to AP06’s stated range. Number ruled: AP44; title and lock status open. Provenance: PROV-CCC.1 through PROV-CCC.5, the session records, the transcript exports, and the analog archive, published beside this draft.</w:t>
      </w:r>
    </w:p>
    <w:p>
      <w:pPr>
        <w:spacing w:after="0"/>
      </w:pP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Atkinson Hyperlegible" w:cs="Atkinson Hyperlegible" w:eastAsia="Atkinson Hyperlegible" w:hAnsi="Atkinson Hyperlegible"/>
          <w:b w:val="false"/>
          <w:bCs w:val="false"/>
          <w:i w:val="false"/>
          <w:iCs w:val="false"/>
          <w:sz w:val="24"/>
          <w:szCs w:val="24"/>
        </w:rPr>
        <w:t xml:space="preserve">✨</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Orientation</w:t>
      </w:r>
    </w:p>
    <w:p>
      <w:pPr>
        <w:pStyle w:val="Heading2"/>
        <w:spacing w:after="120" w:before="24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120" w:before="24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enters the argument once, in §9, after the structure is complete, and §10 exists to keep it that way.</w:t>
      </w:r>
    </w:p>
    <w:p>
      <w:pPr>
        <w:pStyle w:val="Heading2"/>
        <w:spacing w:after="120" w:before="24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120" w:before="24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120" w:before="24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120" w:before="24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120" w:before="24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120" w:before="24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author.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120" w:before="24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120" w:before="24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PROV-CCC.5, the two session records, the transcript-export artifacts, and the analog photograph archive are published beside this draft.</w:t>
      </w:r>
    </w:p>
    <w:p>
      <w:pPr>
        <w:pStyle w:val="Heading2"/>
        <w:spacing w:after="120" w:before="24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between 10⁻⁶ and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an admissible window seven and a half per cent of ε wide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published determination the demanded fraction is 1.000 of ε — the paper’s own magnitude, a landing §9 already declines to lean on; against the highest, 0.925; the admissible window is the whole range between, seven and a half per cent of ε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postdiction with refused tuning, which is this paper’s honest genre and is labelled as such. The dated sequence, with every elimination and its driver, is published as PROV-CCC.1 beside this draft, so that the claim of zero fitted parameters can be audited as a process rather than believed as a sentence.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and magnitude — is either forced from the axiom and locked results, or is a disclosed selection with its eliminations and their drivers on the public record (PROV-CCC.1). The magnitude is 1×ε; no refinement is admitted without a prior forcing argument.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publication, anywhere in the corpus, of any commitment structure or magnitude whose selection depended on comparison with measured G and whose selection history is not disclosed — including any fraction from §10’s fence, any revised count, and any relocated placement.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This switch binds the author.</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DISCIPLINE.</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seven and a half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120" w:before="24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120" w:before="24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120" w:before="24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120" w:before="24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120" w:before="24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 xml:space="preserve">End of The Snap. Artist’s Proof 44 — Draft v0.7,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