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 xml:space="preserve">Draft v0.9 — the reviewer’s two texts adopted on the author’s ruling, each named: §10’s genre clause replaced with the two-clause form (in process, a structural correction with refused tuning; in standing, postdictive), the process evidenced in the provenance chain and the standing priced in §9; KS-CCC.1 rewritten to bind the corpus’s claim, not its author — recovery restated as flag retirement, the original result unaffected; §10’s arming clause reworded to run over every future refinement, whoever writes it; and the two alignments the rewrite forces: the Artist’s Note’s aim and §0.5’s stratification now name the claim, not the author. Number ruled: AP44; title and lock status open. Provenance: PROV-CCC.1 through PROV-CCC.5 published; PROV-CCC.6 publishes beside this revision; PROV-CCC.7 reserved as the lock instrument.</w:t>
      </w:r>
    </w:p>
    <w:p>
      <w:pPr>
        <w:spacing w:after="0"/>
      </w:pP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claim, not the author: KS-CCC.1 fires if any refinement of the commitment stands in canon whose selection depended on comparison with measurement and whose history is undisclosed.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Atkinson Hyperlegible" w:cs="Atkinson Hyperlegible" w:eastAsia="Atkinson Hyperlegible" w:hAnsi="Atkinson Hyperlegible"/>
          <w:b w:val="false"/>
          <w:bCs w:val="false"/>
          <w:i w:val="false"/>
          <w:iCs w:val="false"/>
          <w:sz w:val="24"/>
          <w:szCs w:val="24"/>
        </w:rPr>
        <w:t xml:space="preserve">✨</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Orientation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240" w:before="48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240" w:before="48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enters the argument once, in §9, after the structure is complete, and §10 exists to keep it that way.</w:t>
      </w:r>
    </w:p>
    <w:p>
      <w:pPr>
        <w:pStyle w:val="Heading2"/>
        <w:spacing w:after="240" w:before="48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240" w:before="48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240" w:before="48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240" w:before="48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240" w:before="48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claim.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240" w:before="48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240" w:before="48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PROV-CCC.5, the two session records, the transcript-export artifacts, and the analog photograph archive are published beside this draft.</w:t>
      </w:r>
    </w:p>
    <w:p>
      <w:pPr>
        <w:pStyle w:val="Heading2"/>
        <w:spacing w:after="240" w:before="48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between 10⁻⁶ and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an admissible window seven and a half per cent of ε wide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published determination the demanded fraction is 1.000 of ε — the paper’s own magnitude, a landing §9 already declines to lean on; against the highest, 0.925; the admissible window is the whole range between, seven and a half per cent of ε wide against a formal uncertainty of 22 ppm. Any fraction in the window “fits”. Structure alone can choose, and structure already chose before the window was drawn: the axiom writes one element, once. This paper states 1×ε, states nothing finer, and arms KS-CCC.1 over every future refinement — whoever writes it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and the honest genre carries two clauses, both true and both claimed: in process, a structural correction with refused tuning — the commitment was developed over weeks aimed at the proton and the neutron, blind to what it would do to G, and moved here only when AP30’s precision closed the original target; in standing, postdictive — the 0.69% was published canon before this work began, and a landing on a known number is claimed as a landing, nothing more. The process is evidenced in PROV-CCC.1 through PROV-CCC.6; the standing is priced in §9. The dated sequence, with every elimination and its driver, is published as PROV-CCC.1 beside this draft, so that the claim of zero fitted parameters can be audited as a process rather than believed as a sentence.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magnitude — is either forced from the axiom and locked results, or is a disclosed selection with its eliminations on the public record (PROV-CCC.1–6). This switch binds the corpus’s claim, not its author. The author is bound by nothing here — not this paper, not this corpus, not this switch: exploration, revision, and new derivation remain his without condition, the proton, neutron, and deuteron included. What the fence holds is the flag: the zero-fitted-parameters status of the G result.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standing in canon of any refinement of the commitment whose selection depended on comparison with measured G and whose selection history is undisclosed.</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It binds the claim.</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flag retires for the refined result — it may stand as work, but not as parameter-free. The original 1×ε result, with its disclosed history, is unaffected.</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DISCIPLINE.</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seven and a half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240" w:before="48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240" w:before="48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240" w:before="48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 xml:space="preserve">End of The Snap. Artist’s Proof 44 — Draft v0.9,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color w:val="2E74B5"/>
      <w:sz w:val="32"/>
      <w:szCs w:val="32"/>
    </w:rPr>
  </w:style>
  <w:style w:type="paragraph" w:styleId="Heading2">
    <w:name w:val="Heading 2"/>
    <w:basedOn w:val="Normal"/>
    <w:next w:val="Normal"/>
    <w:qFormat/>
    <w:pPr>
      <w:spacing w:before="480" w:after="240"/>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