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val="false"/>
          <w:bCs w:val="false"/>
          <w:i/>
          <w:iCs/>
          <w:sz w:val="22"/>
          <w:szCs w:val="22"/>
        </w:rPr>
        <w:t xml:space="preserve">[ Eye of the Universe ]</w:t>
      </w:r>
    </w:p>
    <w:p>
      <w:pPr>
        <w:spacing w:after="60"/>
        <w:jc w:val="center"/>
      </w:pPr>
      <w:r>
        <w:rPr>
          <w:rFonts w:ascii="Garamond" w:cs="Garamond" w:eastAsia="Garamond" w:hAnsi="Garamond"/>
          <w:b w:val="false"/>
          <w:bCs w:val="false"/>
          <w:i/>
          <w:iCs/>
          <w:sz w:val="22"/>
          <w:szCs w:val="22"/>
        </w:rPr>
        <w:t xml:space="preserve">The 420 Code</w:t>
      </w:r>
    </w:p>
    <w:p>
      <w:pPr>
        <w:spacing w:after="200"/>
        <w:jc w:val="center"/>
      </w:pPr>
      <w:r>
        <w:rPr>
          <w:rFonts w:ascii="Garamond" w:cs="Garamond" w:eastAsia="Garamond" w:hAnsi="Garamond"/>
          <w:b w:val="false"/>
          <w:bCs w:val="false"/>
          <w:i/>
          <w:iCs/>
          <w:sz w:val="22"/>
          <w:szCs w:val="22"/>
        </w:rPr>
        <w:t xml:space="preserve">Ø Artist’s Proofs</w:t>
      </w:r>
    </w:p>
    <w:p>
      <w:pPr>
        <w:spacing w:after="60"/>
        <w:jc w:val="center"/>
      </w:pPr>
      <w:r>
        <w:rPr>
          <w:rFonts w:ascii="Garamond" w:cs="Garamond" w:eastAsia="Garamond" w:hAnsi="Garamond"/>
          <w:b/>
          <w:bCs/>
          <w:i w:val="false"/>
          <w:iCs w:val="false"/>
          <w:sz w:val="30"/>
          <w:szCs w:val="30"/>
        </w:rPr>
        <w:t xml:space="preserve">Artist’s Proof [ · ]</w:t>
      </w:r>
    </w:p>
    <w:p>
      <w:pPr>
        <w:spacing w:after="120"/>
        <w:jc w:val="center"/>
      </w:pPr>
      <w:r>
        <w:rPr>
          <w:rFonts w:ascii="Garamond" w:cs="Garamond" w:eastAsia="Garamond" w:hAnsi="Garamond"/>
          <w:b/>
          <w:bCs/>
          <w:i w:val="false"/>
          <w:iCs w:val="false"/>
          <w:sz w:val="40"/>
          <w:szCs w:val="40"/>
        </w:rPr>
        <w:t xml:space="preserve">The Snap</w:t>
      </w:r>
    </w:p>
    <w:p>
      <w:pPr>
        <w:spacing w:after="60"/>
        <w:jc w:val="center"/>
      </w:pPr>
      <w:r>
        <w:rPr>
          <w:rFonts w:ascii="Garamond" w:cs="Garamond" w:eastAsia="Garamond" w:hAnsi="Garamond"/>
          <w:b w:val="false"/>
          <w:bCs w:val="false"/>
          <w:i/>
          <w:iCs/>
          <w:sz w:val="22"/>
          <w:szCs w:val="22"/>
        </w:rPr>
        <w:t xml:space="preserve">Forces and Constants</w:t>
      </w:r>
    </w:p>
    <w:p>
      <w:pPr>
        <w:spacing w:after="60"/>
        <w:jc w:val="center"/>
      </w:pPr>
      <w:r>
        <w:rPr>
          <w:rFonts w:ascii="Garamond" w:cs="Garamond" w:eastAsia="Garamond" w:hAnsi="Garamond"/>
          <w:b w:val="false"/>
          <w:bCs w:val="false"/>
          <w:i/>
          <w:iCs/>
          <w:sz w:val="22"/>
          <w:szCs w:val="22"/>
        </w:rPr>
        <w:t xml:space="preserve">The configuration cost — the arena’s once-held commitment that realises the gravitational coupling</w:t>
      </w:r>
    </w:p>
    <w:p>
      <w:pPr>
        <w:spacing w:after="160"/>
        <w:jc w:val="center"/>
      </w:pPr>
      <w:r>
        <w:rPr>
          <w:rFonts w:ascii="Garamond" w:cs="Garamond" w:eastAsia="Garamond" w:hAnsi="Garamond"/>
          <w:b w:val="false"/>
          <w:bCs w:val="false"/>
          <w:i/>
          <w:iCs/>
          <w:sz w:val="22"/>
          <w:szCs w:val="22"/>
        </w:rPr>
        <w:t xml:space="preserve">Studio G, Strand, Cape Town · 2026</w:t>
      </w:r>
    </w:p>
    <w:p>
      <w:pPr>
        <w:spacing w:after="200"/>
        <w:jc w:val="center"/>
      </w:pPr>
      <w:r>
        <w:rPr>
          <w:rFonts w:ascii="Garamond" w:cs="Garamond" w:eastAsia="Garamond" w:hAnsi="Garamond"/>
          <w:b/>
          <w:bCs/>
          <w:i w:val="false"/>
          <w:iCs w:val="false"/>
          <w:sz w:val="28"/>
          <w:szCs w:val="28"/>
        </w:rPr>
        <w:t xml:space="preserve">G</w:t>
      </w:r>
    </w:p>
    <w:p>
      <w:pPr>
        <w:spacing w:after="240"/>
        <w:jc w:val="center"/>
      </w:pPr>
      <w:r>
        <w:rPr>
          <w:rFonts w:ascii="Garamond" w:cs="Garamond" w:eastAsia="Garamond" w:hAnsi="Garamond"/>
          <w:b w:val="false"/>
          <w:bCs w:val="false"/>
          <w:i/>
          <w:iCs/>
          <w:sz w:val="18"/>
          <w:szCs w:val="18"/>
        </w:rPr>
        <w:t xml:space="preserve">Draft v0.2 — production draft for the author’s ruling. Number, title, and lock status are open.</w:t>
      </w:r>
    </w:p>
    <w:p>
      <w:pPr>
        <w:pStyle w:val="Heading1"/>
        <w:spacing w:after="160" w:before="320"/>
      </w:pPr>
      <w:r>
        <w:rPr>
          <w:rFonts w:ascii="Garamond" w:cs="Garamond" w:eastAsia="Garamond" w:hAnsi="Garamond"/>
          <w:b/>
          <w:bCs/>
          <w:color w:val="000000"/>
          <w:sz w:val="28"/>
          <w:szCs w:val="28"/>
        </w:rPr>
        <w:t xml:space="preserve">Artist’s Note</w:t>
      </w:r>
    </w:p>
    <w:p>
      <w:pPr>
        <w:spacing w:after="160" w:line="276"/>
        <w:jc w:val="both"/>
      </w:pPr>
      <w:r>
        <w:rPr>
          <w:rFonts w:ascii="Garamond" w:cs="Garamond" w:eastAsia="Garamond" w:hAnsi="Garamond"/>
          <w:i/>
          <w:iCs/>
          <w:sz w:val="22"/>
          <w:szCs w:val="22"/>
        </w:rPr>
        <w:t xml:space="preserve">What this paper does — and why.</w:t>
      </w:r>
    </w:p>
    <w:p>
      <w:pPr>
        <w:spacing w:after="160" w:line="276"/>
        <w:jc w:val="both"/>
      </w:pPr>
      <w:r>
        <w:rPr>
          <w:rFonts w:ascii="Garamond" w:cs="Garamond" w:eastAsia="Garamond" w:hAnsi="Garamond"/>
          <w:sz w:val="22"/>
          <w:szCs w:val="22"/>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Garamond" w:cs="Garamond" w:eastAsia="Garamond" w:hAnsi="Garamond"/>
          <w:sz w:val="22"/>
          <w:szCs w:val="22"/>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Garamond" w:cs="Garamond" w:eastAsia="Garamond" w:hAnsi="Garamond"/>
          <w:sz w:val="22"/>
          <w:szCs w:val="22"/>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Garamond" w:cs="Garamond" w:eastAsia="Garamond" w:hAnsi="Garamond"/>
          <w:sz w:val="22"/>
          <w:szCs w:val="22"/>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Six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Garamond" w:cs="Garamond" w:eastAsia="Garamond" w:hAnsi="Garamond"/>
          <w:sz w:val="22"/>
          <w:szCs w:val="22"/>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Garamond" w:cs="Garamond" w:eastAsia="Garamond" w:hAnsi="Garamond"/>
          <w:b w:val="false"/>
          <w:bCs w:val="false"/>
          <w:i w:val="false"/>
          <w:iCs w:val="false"/>
          <w:sz w:val="24"/>
          <w:szCs w:val="24"/>
        </w:rPr>
        <w:t xml:space="preserve">✨</w:t>
      </w:r>
    </w:p>
    <w:p>
      <w:pPr>
        <w:spacing w:after="40"/>
        <w:jc w:val="center"/>
      </w:pPr>
      <w:r>
        <w:rPr>
          <w:rFonts w:ascii="Garamond" w:cs="Garamond" w:eastAsia="Garamond" w:hAnsi="Garamond"/>
          <w:b w:val="false"/>
          <w:bCs w:val="false"/>
          <w:i/>
          <w:iCs/>
          <w:sz w:val="20"/>
          <w:szCs w:val="20"/>
        </w:rPr>
        <w:t xml:space="preserve">the420code.org</w:t>
      </w:r>
    </w:p>
    <w:p>
      <w:pPr>
        <w:spacing w:after="240"/>
        <w:jc w:val="center"/>
      </w:pPr>
      <w:r>
        <w:rPr>
          <w:rFonts w:ascii="Garamond" w:cs="Garamond" w:eastAsia="Garamond" w:hAnsi="Garamond"/>
          <w:b w:val="false"/>
          <w:bCs w:val="false"/>
          <w:i/>
          <w:iCs/>
          <w:sz w:val="20"/>
          <w:szCs w:val="20"/>
        </w:rPr>
        <w:t xml:space="preserve">Copyleft 2026</w:t>
      </w:r>
    </w:p>
    <w:p>
      <w:pPr>
        <w:pStyle w:val="Heading1"/>
        <w:spacing w:after="160" w:before="320"/>
      </w:pPr>
      <w:r>
        <w:rPr>
          <w:rFonts w:ascii="Garamond" w:cs="Garamond" w:eastAsia="Garamond" w:hAnsi="Garamond"/>
          <w:b/>
          <w:bCs/>
          <w:color w:val="000000"/>
          <w:sz w:val="28"/>
          <w:szCs w:val="28"/>
        </w:rPr>
        <w:t xml:space="preserve">Orientation</w:t>
      </w:r>
    </w:p>
    <w:p>
      <w:pPr>
        <w:pStyle w:val="Heading2"/>
        <w:spacing w:after="120" w:before="240"/>
      </w:pPr>
      <w:r>
        <w:rPr>
          <w:rFonts w:ascii="Garamond" w:cs="Garamond" w:eastAsia="Garamond" w:hAnsi="Garamond"/>
          <w:b/>
          <w:bCs/>
          <w:color w:val="000000"/>
          <w:sz w:val="24"/>
          <w:szCs w:val="24"/>
        </w:rPr>
        <w:t xml:space="preserve">Where this paper fits</w:t>
      </w:r>
    </w:p>
    <w:p>
      <w:pPr>
        <w:spacing w:after="160" w:line="276"/>
        <w:jc w:val="both"/>
      </w:pPr>
      <w:r>
        <w:rPr>
          <w:rFonts w:ascii="Garamond" w:cs="Garamond" w:eastAsia="Garamond" w:hAnsi="Garamond"/>
          <w:sz w:val="22"/>
          <w:szCs w:val="22"/>
        </w:rPr>
        <w:t xml:space="preserve">This paper sits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Garamond" w:cs="Garamond" w:eastAsia="Garamond" w:hAnsi="Garamond"/>
          <w:sz w:val="22"/>
          <w:szCs w:val="22"/>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120" w:before="240"/>
      </w:pPr>
      <w:r>
        <w:rPr>
          <w:rFonts w:ascii="Garamond" w:cs="Garamond" w:eastAsia="Garamond" w:hAnsi="Garamond"/>
          <w:b/>
          <w:bCs/>
          <w:color w:val="000000"/>
          <w:sz w:val="24"/>
          <w:szCs w:val="24"/>
        </w:rPr>
        <w:t xml:space="preserve">Reading order within this paper</w:t>
      </w:r>
    </w:p>
    <w:p>
      <w:pPr>
        <w:spacing w:after="160" w:line="276"/>
        <w:jc w:val="both"/>
      </w:pPr>
      <w:r>
        <w:rPr>
          <w:rFonts w:ascii="Garamond" w:cs="Garamond" w:eastAsia="Garamond" w:hAnsi="Garamond"/>
          <w:sz w:val="22"/>
          <w:szCs w:val="22"/>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Garamond" w:cs="Garamond" w:eastAsia="Garamond" w:hAnsi="Garamond"/>
          <w:b/>
          <w:bCs/>
          <w:color w:val="000000"/>
          <w:sz w:val="24"/>
          <w:szCs w:val="24"/>
        </w:rPr>
        <w:t xml:space="preserve">How to read this paper</w:t>
      </w:r>
    </w:p>
    <w:p>
      <w:pPr>
        <w:spacing w:after="160" w:line="276"/>
        <w:jc w:val="both"/>
      </w:pPr>
      <w:r>
        <w:rPr>
          <w:rFonts w:ascii="Garamond" w:cs="Garamond" w:eastAsia="Garamond" w:hAnsi="Garamond"/>
          <w:sz w:val="22"/>
          <w:szCs w:val="22"/>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appears once, in §9, after the structure is complete, and §10 exists to keep it that way.</w:t>
      </w:r>
    </w:p>
    <w:p>
      <w:pPr>
        <w:pStyle w:val="Heading2"/>
        <w:spacing w:after="120" w:before="240"/>
      </w:pPr>
      <w:r>
        <w:rPr>
          <w:rFonts w:ascii="Garamond" w:cs="Garamond" w:eastAsia="Garamond" w:hAnsi="Garamond"/>
          <w:b/>
          <w:bCs/>
          <w:color w:val="000000"/>
          <w:sz w:val="24"/>
          <w:szCs w:val="24"/>
        </w:rPr>
        <w:t xml:space="preserve">A note on notation</w:t>
      </w:r>
    </w:p>
    <w:p>
      <w:pPr>
        <w:spacing w:after="160" w:line="276"/>
        <w:jc w:val="both"/>
      </w:pPr>
      <w:r>
        <w:rPr>
          <w:rFonts w:ascii="Garamond" w:cs="Garamond" w:eastAsia="Garamond" w:hAnsi="Garamond"/>
          <w:sz w:val="22"/>
          <w:szCs w:val="22"/>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spacing w:after="160" w:before="320"/>
      </w:pPr>
      <w:r>
        <w:rPr>
          <w:rFonts w:ascii="Garamond" w:cs="Garamond" w:eastAsia="Garamond" w:hAnsi="Garamond"/>
          <w:b/>
          <w:bCs/>
          <w:color w:val="000000"/>
          <w:sz w:val="28"/>
          <w:szCs w:val="28"/>
        </w:rPr>
        <w:t xml:space="preserve">Contents</w:t>
      </w:r>
    </w:p>
    <w:p>
      <w:pPr>
        <w:spacing w:after="160" w:line="276"/>
        <w:jc w:val="both"/>
      </w:pPr>
      <w:r>
        <w:rPr>
          <w:rFonts w:ascii="Garamond" w:cs="Garamond" w:eastAsia="Garamond" w:hAnsi="Garamond"/>
          <w:b/>
          <w:bCs/>
          <w:sz w:val="22"/>
          <w:szCs w:val="22"/>
        </w:rPr>
        <w:t xml:space="preserve">0 — Dependency and Scope</w:t>
      </w:r>
      <w:r>
        <w:rPr>
          <w:rFonts w:ascii="Garamond" w:cs="Garamond" w:eastAsia="Garamond" w:hAnsi="Garamond"/>
          <w:sz w:val="22"/>
          <w:szCs w:val="22"/>
        </w:rPr>
        <w:t xml:space="preserve">  ·  what this paper does · dependencies · axiom mapping · epistemic status · kill switch summary · debts · items held open · relationships</w:t>
      </w:r>
    </w:p>
    <w:p>
      <w:pPr>
        <w:spacing w:after="160" w:line="276"/>
        <w:jc w:val="both"/>
      </w:pPr>
      <w:r>
        <w:rPr>
          <w:rFonts w:ascii="Garamond" w:cs="Garamond" w:eastAsia="Garamond" w:hAnsi="Garamond"/>
          <w:b/>
          <w:bCs/>
          <w:sz w:val="22"/>
          <w:szCs w:val="22"/>
        </w:rPr>
        <w:t xml:space="preserve">1 — Definitions</w:t>
      </w:r>
      <w:r>
        <w:rPr>
          <w:rFonts w:ascii="Garamond" w:cs="Garamond" w:eastAsia="Garamond" w:hAnsi="Garamond"/>
          <w:sz w:val="22"/>
          <w:szCs w:val="22"/>
        </w:rPr>
        <w:t xml:space="preserve">  ·  the snap and The Snap · provisioned and realised · the two costs — commitment and leakage</w:t>
      </w:r>
    </w:p>
    <w:p>
      <w:pPr>
        <w:spacing w:after="160" w:line="276"/>
        <w:jc w:val="both"/>
      </w:pPr>
      <w:r>
        <w:rPr>
          <w:rFonts w:ascii="Garamond" w:cs="Garamond" w:eastAsia="Garamond" w:hAnsi="Garamond"/>
          <w:b/>
          <w:bCs/>
          <w:sz w:val="22"/>
          <w:szCs w:val="22"/>
        </w:rPr>
        <w:t xml:space="preserve">2 — The Constitution Record</w:t>
      </w:r>
      <w:r>
        <w:rPr>
          <w:rFonts w:ascii="Garamond" w:cs="Garamond" w:eastAsia="Garamond" w:hAnsi="Garamond"/>
          <w:sz w:val="22"/>
          <w:szCs w:val="22"/>
        </w:rPr>
        <w:t xml:space="preserve">  ·  Proposition 1: every persisting configuration has a unique first record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Proposition 2: a constitution instant’s ε is held as the persistence commitment — the load-bearing result</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Proposition 3: the exponent is one because the count is of arenas · Corollary: matter’s commitments are already booked</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Proposition 4: the quotient 1/(1 + ε) · the value of ε — a selection, argued and booked</w:t>
      </w:r>
    </w:p>
    <w:p>
      <w:pPr>
        <w:spacing w:after="160" w:line="276"/>
        <w:jc w:val="both"/>
      </w:pPr>
      <w:r>
        <w:rPr>
          <w:rFonts w:ascii="Garamond" w:cs="Garamond" w:eastAsia="Garamond" w:hAnsi="Garamond"/>
          <w:b/>
          <w:bCs/>
          <w:sz w:val="22"/>
          <w:szCs w:val="22"/>
        </w:rPr>
        <w:t xml:space="preserve">6 — The Placement</w:t>
      </w:r>
      <w:r>
        <w:rPr>
          <w:rFonts w:ascii="Garamond" w:cs="Garamond" w:eastAsia="Garamond" w:hAnsi="Garamond"/>
          <w:sz w:val="22"/>
          <w:szCs w:val="22"/>
        </w:rPr>
        <w:t xml:space="preserve">  ·  Proposition 5: the arena’s commitment lives in the arena’s coupling — forced</w:t>
      </w:r>
    </w:p>
    <w:p>
      <w:pPr>
        <w:spacing w:after="160" w:line="276"/>
        <w:jc w:val="both"/>
      </w:pPr>
      <w:r>
        <w:rPr>
          <w:rFonts w:ascii="Garamond" w:cs="Garamond" w:eastAsia="Garamond" w:hAnsi="Garamond"/>
          <w:b/>
          <w:bCs/>
          <w:sz w:val="22"/>
          <w:szCs w:val="22"/>
        </w:rPr>
        <w:t xml:space="preserve">7 — The Double Entry</w:t>
      </w:r>
      <w:r>
        <w:rPr>
          <w:rFonts w:ascii="Garamond" w:cs="Garamond" w:eastAsia="Garamond" w:hAnsi="Garamond"/>
          <w:sz w:val="22"/>
          <w:szCs w:val="22"/>
        </w:rPr>
        <w:t xml:space="preserve">  ·  Proposition 6: an extension of AP24’s licence, stated as an extension</w:t>
      </w:r>
    </w:p>
    <w:p>
      <w:pPr>
        <w:spacing w:after="160" w:line="276"/>
        <w:jc w:val="both"/>
      </w:pPr>
      <w:r>
        <w:rPr>
          <w:rFonts w:ascii="Garamond" w:cs="Garamond" w:eastAsia="Garamond" w:hAnsi="Garamond"/>
          <w:b/>
          <w:bCs/>
          <w:sz w:val="22"/>
          <w:szCs w:val="22"/>
        </w:rPr>
        <w:t xml:space="preserve">8 — The Vertices</w:t>
      </w:r>
      <w:r>
        <w:rPr>
          <w:rFonts w:ascii="Garamond" w:cs="Garamond" w:eastAsia="Garamond" w:hAnsi="Garamond"/>
          <w:sz w:val="22"/>
          <w:szCs w:val="22"/>
        </w:rPr>
        <w:t xml:space="preserve">  ·  ten vertices, twenty-one edges: constitution at nodes, flow along edges</w:t>
      </w:r>
    </w:p>
    <w:p>
      <w:pPr>
        <w:spacing w:after="160" w:line="276"/>
        <w:jc w:val="both"/>
      </w:pPr>
      <w:r>
        <w:rPr>
          <w:rFonts w:ascii="Garamond" w:cs="Garamond" w:eastAsia="Garamond" w:hAnsi="Garamond"/>
          <w:b/>
          <w:bCs/>
          <w:sz w:val="22"/>
          <w:szCs w:val="22"/>
        </w:rPr>
        <w:t xml:space="preserve">9 — The Prediction</w:t>
      </w:r>
      <w:r>
        <w:rPr>
          <w:rFonts w:ascii="Garamond" w:cs="Garamond" w:eastAsia="Garamond" w:hAnsi="Garamond"/>
          <w:sz w:val="22"/>
          <w:szCs w:val="22"/>
        </w:rPr>
        <w:t xml:space="preserve">  ·  the realised G, stated once, as non-exclusion</w:t>
      </w:r>
    </w:p>
    <w:p>
      <w:pPr>
        <w:spacing w:after="160" w:line="276"/>
        <w:jc w:val="both"/>
      </w:pPr>
      <w:r>
        <w:rPr>
          <w:rFonts w:ascii="Garamond" w:cs="Garamond" w:eastAsia="Garamond" w:hAnsi="Garamond"/>
          <w:b/>
          <w:bCs/>
          <w:sz w:val="22"/>
          <w:szCs w:val="22"/>
        </w:rPr>
        <w:t xml:space="preserve">10 — What the Data May and May Not Do</w:t>
      </w:r>
      <w:r>
        <w:rPr>
          <w:rFonts w:ascii="Garamond" w:cs="Garamond" w:eastAsia="Garamond" w:hAnsi="Garamond"/>
          <w:sz w:val="22"/>
          <w:szCs w:val="22"/>
        </w:rPr>
        <w:t xml:space="preserve">  ·  the rule · the admissible window · the fenced fractions</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an internal inconsistency resolved · the discriminator · the sign of the normalisations</w:t>
      </w:r>
    </w:p>
    <w:p>
      <w:pPr>
        <w:spacing w:after="160" w:line="276"/>
        <w:jc w:val="both"/>
      </w:pPr>
      <w:r>
        <w:rPr>
          <w:rFonts w:ascii="Garamond" w:cs="Garamond" w:eastAsia="Garamond" w:hAnsi="Garamond"/>
          <w:b/>
          <w:bCs/>
          <w:sz w:val="22"/>
          <w:szCs w:val="22"/>
        </w:rPr>
        <w:t xml:space="preserve">12 — Kill Switches</w:t>
      </w:r>
      <w:r>
        <w:rPr>
          <w:rFonts w:ascii="Garamond" w:cs="Garamond" w:eastAsia="Garamond" w:hAnsi="Garamond"/>
          <w:sz w:val="22"/>
          <w:szCs w:val="22"/>
        </w:rPr>
        <w:t xml:space="preserve">  ·  KS-CCC.1 through KS-CCC.6 in Claim/Test/Status/Recovery form</w:t>
      </w:r>
    </w:p>
    <w:p>
      <w:pPr>
        <w:spacing w:after="160" w:line="276"/>
        <w:jc w:val="both"/>
      </w:pPr>
      <w:r>
        <w:rPr>
          <w:rFonts w:ascii="Garamond" w:cs="Garamond" w:eastAsia="Garamond" w:hAnsi="Garamond"/>
          <w:b/>
          <w:bCs/>
          <w:sz w:val="22"/>
          <w:szCs w:val="22"/>
        </w:rPr>
        <w:t xml:space="preserve">13 — Dependencies</w:t>
      </w:r>
      <w:r>
        <w:rPr>
          <w:rFonts w:ascii="Garamond" w:cs="Garamond" w:eastAsia="Garamond" w:hAnsi="Garamond"/>
          <w:sz w:val="22"/>
          <w:szCs w:val="22"/>
        </w:rPr>
        <w:t xml:space="preserve">  ·  what this paper rests on · what adoption touches</w:t>
      </w:r>
    </w:p>
    <w:p>
      <w:pPr>
        <w:spacing w:after="160" w:line="276"/>
        <w:jc w:val="both"/>
      </w:pPr>
      <w:r>
        <w:rPr>
          <w:rFonts w:ascii="Garamond" w:cs="Garamond" w:eastAsia="Garamond" w:hAnsi="Garamond"/>
          <w:b/>
          <w:bCs/>
          <w:sz w:val="22"/>
          <w:szCs w:val="22"/>
        </w:rPr>
        <w:t xml:space="preserve">Claim Summary  ·  Conditionality Footer  ·  Notation Reference</w:t>
      </w:r>
    </w:p>
    <w:p>
      <w:pPr>
        <w:pStyle w:val="Heading1"/>
        <w:spacing w:after="160" w:before="320"/>
      </w:pPr>
      <w:r>
        <w:rPr>
          <w:rFonts w:ascii="Garamond" w:cs="Garamond" w:eastAsia="Garamond" w:hAnsi="Garamond"/>
          <w:b/>
          <w:bCs/>
          <w:color w:val="000000"/>
          <w:sz w:val="28"/>
          <w:szCs w:val="28"/>
        </w:rPr>
        <w:t xml:space="preserve">0 — Dependency and Scope</w:t>
      </w:r>
    </w:p>
    <w:p>
      <w:pPr>
        <w:pStyle w:val="Heading2"/>
        <w:spacing w:after="120" w:before="240"/>
      </w:pPr>
      <w:r>
        <w:rPr>
          <w:rFonts w:ascii="Garamond" w:cs="Garamond" w:eastAsia="Garamond" w:hAnsi="Garamond"/>
          <w:b/>
          <w:bCs/>
          <w:color w:val="000000"/>
          <w:sz w:val="24"/>
          <w:szCs w:val="24"/>
        </w:rPr>
        <w:t xml:space="preserve">0.1 — What this paper does</w:t>
      </w:r>
    </w:p>
    <w:p>
      <w:pPr>
        <w:spacing w:after="160" w:line="276"/>
        <w:jc w:val="both"/>
      </w:pPr>
      <w:r>
        <w:rPr>
          <w:rFonts w:ascii="Garamond" w:cs="Garamond" w:eastAsia="Garamond" w:hAnsi="Garamond"/>
          <w:sz w:val="22"/>
          <w:szCs w:val="22"/>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Garamond" w:cs="Garamond" w:eastAsia="Garamond" w:hAnsi="Garamond"/>
          <w:sz w:val="22"/>
          <w:szCs w:val="22"/>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120" w:before="240"/>
      </w:pPr>
      <w:r>
        <w:rPr>
          <w:rFonts w:ascii="Garamond" w:cs="Garamond" w:eastAsia="Garamond" w:hAnsi="Garamond"/>
          <w:b/>
          <w:bCs/>
          <w:color w:val="000000"/>
          <w:sz w:val="24"/>
          <w:szCs w:val="24"/>
        </w:rPr>
        <w:t xml:space="preserve">0.2 — Dependencies</w:t>
      </w:r>
    </w:p>
    <w:p>
      <w:pPr>
        <w:spacing w:after="160" w:line="276"/>
        <w:jc w:val="both"/>
      </w:pPr>
      <w:r>
        <w:rPr>
          <w:rFonts w:ascii="Garamond" w:cs="Garamond" w:eastAsia="Garamond" w:hAnsi="Garamond"/>
          <w:b/>
          <w:bCs/>
          <w:sz w:val="22"/>
          <w:szCs w:val="22"/>
        </w:rPr>
        <w:t xml:space="preserve">AP06 (The Leakage Constant).</w:t>
      </w:r>
      <w:r>
        <w:rPr>
          <w:rFonts w:ascii="Garamond" w:cs="Garamond" w:eastAsia="Garamond" w:hAnsi="Garamond"/>
          <w:sz w:val="22"/>
          <w:szCs w:val="22"/>
        </w:rPr>
        <w:t xml:space="preserve"> Identification 6.1 and the open family of domain readings of ε (§0.7 there); the leakage as the shed ε. Load-bearing for §3’s Step 5 and for §5’s selection, which it constrains without closing.</w:t>
      </w:r>
    </w:p>
    <w:p>
      <w:pPr>
        <w:spacing w:after="160" w:line="276"/>
        <w:jc w:val="both"/>
      </w:pPr>
      <w:r>
        <w:rPr>
          <w:rFonts w:ascii="Garamond" w:cs="Garamond" w:eastAsia="Garamond" w:hAnsi="Garamond"/>
          <w:b/>
          <w:bCs/>
          <w:sz w:val="22"/>
          <w:szCs w:val="22"/>
        </w:rPr>
        <w:t xml:space="preserve">AP28 (The Constant).</w:t>
      </w:r>
      <w:r>
        <w:rPr>
          <w:rFonts w:ascii="Garamond" w:cs="Garamond" w:eastAsia="Garamond" w:hAnsi="Garamond"/>
          <w:sz w:val="22"/>
          <w:szCs w:val="22"/>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Garamond" w:cs="Garamond" w:eastAsia="Garamond" w:hAnsi="Garamond"/>
          <w:b/>
          <w:bCs/>
          <w:sz w:val="22"/>
          <w:szCs w:val="22"/>
        </w:rPr>
        <w:t xml:space="preserve">AP24 (The Residual).</w:t>
      </w:r>
      <w:r>
        <w:rPr>
          <w:rFonts w:ascii="Garamond" w:cs="Garamond" w:eastAsia="Garamond" w:hAnsi="Garamond"/>
          <w:sz w:val="22"/>
          <w:szCs w:val="22"/>
        </w:rPr>
        <w:t xml:space="preserve"> One object, many independent readings — the principle §7 extends, with the extension named. AP24 was locked before this paper existed.</w:t>
      </w:r>
    </w:p>
    <w:p>
      <w:pPr>
        <w:spacing w:after="160" w:line="276"/>
        <w:jc w:val="both"/>
      </w:pPr>
      <w:r>
        <w:rPr>
          <w:rFonts w:ascii="Garamond" w:cs="Garamond" w:eastAsia="Garamond" w:hAnsi="Garamond"/>
          <w:b/>
          <w:bCs/>
          <w:sz w:val="22"/>
          <w:szCs w:val="22"/>
        </w:rPr>
        <w:t xml:space="preserve">AP10 (The Dimension).</w:t>
      </w:r>
      <w:r>
        <w:rPr>
          <w:rFonts w:ascii="Garamond" w:cs="Garamond" w:eastAsia="Garamond" w:hAnsi="Garamond"/>
          <w:sz w:val="22"/>
          <w:szCs w:val="22"/>
        </w:rPr>
        <w:t xml:space="preserve"> Three spatial dimensions, and §7’s identification of the 1:1 as the substrate — the exhaustiveness step of §3.</w:t>
      </w:r>
    </w:p>
    <w:p>
      <w:pPr>
        <w:spacing w:after="160" w:line="276"/>
        <w:jc w:val="both"/>
      </w:pPr>
      <w:r>
        <w:rPr>
          <w:rFonts w:ascii="Garamond" w:cs="Garamond" w:eastAsia="Garamond" w:hAnsi="Garamond"/>
          <w:b/>
          <w:bCs/>
          <w:sz w:val="22"/>
          <w:szCs w:val="22"/>
        </w:rPr>
        <w:t xml:space="preserve">AP43 D5.</w:t>
      </w:r>
      <w:r>
        <w:rPr>
          <w:rFonts w:ascii="Garamond" w:cs="Garamond" w:eastAsia="Garamond" w:hAnsi="Garamond"/>
          <w:sz w:val="22"/>
          <w:szCs w:val="22"/>
        </w:rPr>
        <w:t xml:space="preserve"> One unpaired ε per Actualization State instant. Load-bearing for §3 and §4.</w:t>
      </w:r>
    </w:p>
    <w:p>
      <w:pPr>
        <w:spacing w:after="160" w:line="276"/>
        <w:jc w:val="both"/>
      </w:pPr>
      <w:r>
        <w:rPr>
          <w:rFonts w:ascii="Garamond" w:cs="Garamond" w:eastAsia="Garamond" w:hAnsi="Garamond"/>
          <w:b/>
          <w:bCs/>
          <w:sz w:val="22"/>
          <w:szCs w:val="22"/>
        </w:rPr>
        <w:t xml:space="preserve">AP29 (The Actualization Proof).</w:t>
      </w:r>
      <w:r>
        <w:rPr>
          <w:rFonts w:ascii="Garamond" w:cs="Garamond" w:eastAsia="Garamond" w:hAnsi="Garamond"/>
          <w:sz w:val="22"/>
          <w:szCs w:val="22"/>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Garamond" w:cs="Garamond" w:eastAsia="Garamond" w:hAnsi="Garamond"/>
          <w:b/>
          <w:bCs/>
          <w:sz w:val="22"/>
          <w:szCs w:val="22"/>
        </w:rPr>
        <w:t xml:space="preserve">AP20 (The Proof).</w:t>
      </w:r>
      <w:r>
        <w:rPr>
          <w:rFonts w:ascii="Garamond" w:cs="Garamond" w:eastAsia="Garamond" w:hAnsi="Garamond"/>
          <w:sz w:val="22"/>
          <w:szCs w:val="22"/>
        </w:rPr>
        <w:t xml:space="preserve"> Independence of {S, B, R, C}; the unconditional floor. This paper is unconditional on EH and QRA.</w:t>
      </w:r>
    </w:p>
    <w:p>
      <w:pPr>
        <w:pStyle w:val="Heading2"/>
        <w:spacing w:after="120" w:before="240"/>
      </w:pPr>
      <w:r>
        <w:rPr>
          <w:rFonts w:ascii="Garamond" w:cs="Garamond" w:eastAsia="Garamond" w:hAnsi="Garamond"/>
          <w:b/>
          <w:bCs/>
          <w:color w:val="000000"/>
          <w:sz w:val="24"/>
          <w:szCs w:val="24"/>
        </w:rPr>
        <w:t xml:space="preserve">0.3 — Axiom mapping</w:t>
      </w:r>
    </w:p>
    <w:p>
      <w:pPr>
        <w:spacing w:after="160" w:line="276"/>
        <w:jc w:val="both"/>
      </w:pPr>
      <w:r>
        <w:rPr>
          <w:rFonts w:ascii="Garamond" w:cs="Garamond" w:eastAsia="Garamond" w:hAnsi="Garamond"/>
          <w:b/>
          <w:bCs/>
          <w:sz w:val="22"/>
          <w:szCs w:val="22"/>
        </w:rPr>
        <w:t xml:space="preserve">Axiom S.</w:t>
      </w:r>
      <w:r>
        <w:rPr>
          <w:rFonts w:ascii="Garamond" w:cs="Garamond" w:eastAsia="Garamond" w:hAnsi="Garamond"/>
          <w:sz w:val="22"/>
          <w:szCs w:val="22"/>
        </w:rPr>
        <w:t xml:space="preserve"> The 1:1 — what persists as the realised arena. The balance is what The Snap delivered.</w:t>
      </w:r>
    </w:p>
    <w:p>
      <w:pPr>
        <w:spacing w:after="160" w:line="276"/>
        <w:jc w:val="both"/>
      </w:pPr>
      <w:r>
        <w:rPr>
          <w:rFonts w:ascii="Garamond" w:cs="Garamond" w:eastAsia="Garamond" w:hAnsi="Garamond"/>
          <w:b/>
          <w:bCs/>
          <w:sz w:val="22"/>
          <w:szCs w:val="22"/>
        </w:rPr>
        <w:t xml:space="preserve">Axiom B.</w:t>
      </w:r>
      <w:r>
        <w:rPr>
          <w:rFonts w:ascii="Garamond" w:cs="Garamond" w:eastAsia="Garamond" w:hAnsi="Garamond"/>
          <w:sz w:val="22"/>
          <w:szCs w:val="22"/>
        </w:rPr>
        <w:t xml:space="preserve"> The 1×ε — the element committed. The break supplies the only currency the constitution instant has.</w:t>
      </w:r>
    </w:p>
    <w:p>
      <w:pPr>
        <w:spacing w:after="160" w:line="276"/>
        <w:jc w:val="both"/>
      </w:pPr>
      <w:r>
        <w:rPr>
          <w:rFonts w:ascii="Garamond" w:cs="Garamond" w:eastAsia="Garamond" w:hAnsi="Garamond"/>
          <w:b/>
          <w:bCs/>
          <w:sz w:val="22"/>
          <w:szCs w:val="22"/>
        </w:rPr>
        <w:t xml:space="preserve">Axiom R.</w:t>
      </w:r>
      <w:r>
        <w:rPr>
          <w:rFonts w:ascii="Garamond" w:cs="Garamond" w:eastAsia="Garamond" w:hAnsi="Garamond"/>
          <w:sz w:val="22"/>
          <w:szCs w:val="22"/>
        </w:rPr>
        <w:t xml:space="preserve"> The holding — once, forever. The commitment is R’s price, as the leakage is C’s. This paper stands to Axiom R exactly as AP06 stands to Axiom C.</w:t>
      </w:r>
    </w:p>
    <w:p>
      <w:pPr>
        <w:spacing w:after="160" w:line="276"/>
        <w:jc w:val="both"/>
      </w:pPr>
      <w:r>
        <w:rPr>
          <w:rFonts w:ascii="Garamond" w:cs="Garamond" w:eastAsia="Garamond" w:hAnsi="Garamond"/>
          <w:b/>
          <w:bCs/>
          <w:sz w:val="22"/>
          <w:szCs w:val="22"/>
        </w:rPr>
        <w:t xml:space="preserve">Axiom C.</w:t>
      </w:r>
      <w:r>
        <w:rPr>
          <w:rFonts w:ascii="Garamond" w:cs="Garamond" w:eastAsia="Garamond" w:hAnsi="Garamond"/>
          <w:sz w:val="22"/>
          <w:szCs w:val="22"/>
        </w:rPr>
        <w:t xml:space="preserve"> The boundary structure at which readings of ε are taken. C prices the flow; R prices the constitution; the same ε pays both, at different instants.</w:t>
      </w:r>
    </w:p>
    <w:p>
      <w:pPr>
        <w:pStyle w:val="Heading2"/>
        <w:spacing w:after="120" w:before="240"/>
      </w:pPr>
      <w:r>
        <w:rPr>
          <w:rFonts w:ascii="Garamond" w:cs="Garamond" w:eastAsia="Garamond" w:hAnsi="Garamond"/>
          <w:b/>
          <w:bCs/>
          <w:color w:val="000000"/>
          <w:sz w:val="24"/>
          <w:szCs w:val="24"/>
        </w:rPr>
        <w:t xml:space="preserve">0.4 — Epistemic status per section</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  DERIVED (definition-level, from R)</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DERIVED at the structural register; record-algebra formalisation owed (D-CCC.1); guarded by KS-CCC.5</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DERIVED (the clause in its native scope + AP43 D5); Corollary DERIVED (application of AP29)</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Form DERIVED (read off the axiom); value of ε SELECTED AMONG STRUCTURAL CANDIDATES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  DERIVED — forced under the arena reading; two-candidate elimination retained as corroboration</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  STRUCTURAL — EXTENSION of AP24’s licence, stated as such;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  DERIVED count; MOTIVATED assignment (D-CCC.2);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  EMPIRICAL, reported as non-exclusion (KS-CCC.3)</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  METHOD (KS-CCC.1)</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STRUCTURAL PLACEMENT (KS-CCC.4 switch)</w:t>
      </w:r>
    </w:p>
    <w:p>
      <w:pPr>
        <w:pStyle w:val="Heading2"/>
        <w:spacing w:after="120" w:before="240"/>
      </w:pPr>
      <w:r>
        <w:rPr>
          <w:rFonts w:ascii="Garamond" w:cs="Garamond" w:eastAsia="Garamond" w:hAnsi="Garamond"/>
          <w:b/>
          <w:bCs/>
          <w:color w:val="000000"/>
          <w:sz w:val="24"/>
          <w:szCs w:val="24"/>
        </w:rPr>
        <w:t xml:space="preserve">0.5 — Kill switch summary</w:t>
      </w:r>
    </w:p>
    <w:p>
      <w:pPr>
        <w:spacing w:after="160" w:line="276"/>
        <w:jc w:val="both"/>
      </w:pPr>
      <w:r>
        <w:rPr>
          <w:rFonts w:ascii="Garamond" w:cs="Garamond" w:eastAsia="Garamond" w:hAnsi="Garamond"/>
          <w:sz w:val="22"/>
          <w:szCs w:val="22"/>
        </w:rPr>
        <w:t xml:space="preserve">Six kill switches engage, identifiers pending registration in the Master Kill Switch Registry. </w:t>
      </w:r>
      <w:r>
        <w:rPr>
          <w:rFonts w:ascii="Garamond" w:cs="Garamond" w:eastAsia="Garamond" w:hAnsi="Garamond"/>
          <w:b/>
          <w:bCs/>
          <w:sz w:val="22"/>
          <w:szCs w:val="22"/>
        </w:rPr>
        <w:t xml:space="preserve">KS-CCC.1</w:t>
      </w:r>
      <w:r>
        <w:rPr>
          <w:rFonts w:ascii="Garamond" w:cs="Garamond" w:eastAsia="Garamond" w:hAnsi="Garamond"/>
          <w:sz w:val="22"/>
          <w:szCs w:val="22"/>
        </w:rPr>
        <w:t xml:space="preserve"> (forced magnitude): LIVE — METHODOLOGICAL. </w:t>
      </w:r>
      <w:r>
        <w:rPr>
          <w:rFonts w:ascii="Garamond" w:cs="Garamond" w:eastAsia="Garamond" w:hAnsi="Garamond"/>
          <w:b/>
          <w:bCs/>
          <w:sz w:val="22"/>
          <w:szCs w:val="22"/>
        </w:rPr>
        <w:t xml:space="preserve">KS-CCC.2</w:t>
      </w:r>
      <w:r>
        <w:rPr>
          <w:rFonts w:ascii="Garamond" w:cs="Garamond" w:eastAsia="Garamond" w:hAnsi="Garamond"/>
          <w:sz w:val="22"/>
          <w:szCs w:val="22"/>
        </w:rPr>
        <w:t xml:space="preserve"> (mass-side drift): LIVE — STRUCTURAL/EMPIRICAL. </w:t>
      </w:r>
      <w:r>
        <w:rPr>
          <w:rFonts w:ascii="Garamond" w:cs="Garamond" w:eastAsia="Garamond" w:hAnsi="Garamond"/>
          <w:b/>
          <w:bCs/>
          <w:sz w:val="22"/>
          <w:szCs w:val="22"/>
        </w:rPr>
        <w:t xml:space="preserve">KS-CCC.3</w:t>
      </w:r>
      <w:r>
        <w:rPr>
          <w:rFonts w:ascii="Garamond" w:cs="Garamond" w:eastAsia="Garamond" w:hAnsi="Garamond"/>
          <w:sz w:val="22"/>
          <w:szCs w:val="22"/>
        </w:rPr>
        <w:t xml:space="preserve"> (existence and direction): LIVE — EMPIRICAL. </w:t>
      </w:r>
      <w:r>
        <w:rPr>
          <w:rFonts w:ascii="Garamond" w:cs="Garamond" w:eastAsia="Garamond" w:hAnsi="Garamond"/>
          <w:b/>
          <w:bCs/>
          <w:sz w:val="22"/>
          <w:szCs w:val="22"/>
        </w:rPr>
        <w:t xml:space="preserve">KS-CCC.4</w:t>
      </w:r>
      <w:r>
        <w:rPr>
          <w:rFonts w:ascii="Garamond" w:cs="Garamond" w:eastAsia="Garamond" w:hAnsi="Garamond"/>
          <w:sz w:val="22"/>
          <w:szCs w:val="22"/>
        </w:rPr>
        <w:t xml:space="preserve"> (the discriminator): LIVE — EMPIRICAL. </w:t>
      </w:r>
      <w:r>
        <w:rPr>
          <w:rFonts w:ascii="Garamond" w:cs="Garamond" w:eastAsia="Garamond" w:hAnsi="Garamond"/>
          <w:b/>
          <w:bCs/>
          <w:sz w:val="22"/>
          <w:szCs w:val="22"/>
        </w:rPr>
        <w:t xml:space="preserve">KS-CCC.5</w:t>
      </w:r>
      <w:r>
        <w:rPr>
          <w:rFonts w:ascii="Garamond" w:cs="Garamond" w:eastAsia="Garamond" w:hAnsi="Garamond"/>
          <w:sz w:val="22"/>
          <w:szCs w:val="22"/>
        </w:rPr>
        <w:t xml:space="preserve"> (held, not shed): LIVE — STRUCTURAL. </w:t>
      </w:r>
      <w:r>
        <w:rPr>
          <w:rFonts w:ascii="Garamond" w:cs="Garamond" w:eastAsia="Garamond" w:hAnsi="Garamond"/>
          <w:b/>
          <w:bCs/>
          <w:sz w:val="22"/>
          <w:szCs w:val="22"/>
        </w:rPr>
        <w:t xml:space="preserve">KS-CCC.6</w:t>
      </w:r>
      <w:r>
        <w:rPr>
          <w:rFonts w:ascii="Garamond" w:cs="Garamond" w:eastAsia="Garamond" w:hAnsi="Garamond"/>
          <w:sz w:val="22"/>
          <w:szCs w:val="22"/>
        </w:rPr>
        <w:t xml:space="preserve"> (single entry): LIVE — STRUCTURAL, coupled to KS-R.9.</w:t>
      </w:r>
    </w:p>
    <w:p>
      <w:pPr>
        <w:pStyle w:val="Heading2"/>
        <w:spacing w:after="120" w:before="240"/>
      </w:pPr>
      <w:r>
        <w:rPr>
          <w:rFonts w:ascii="Garamond" w:cs="Garamond" w:eastAsia="Garamond" w:hAnsi="Garamond"/>
          <w:b/>
          <w:bCs/>
          <w:color w:val="000000"/>
          <w:sz w:val="24"/>
          <w:szCs w:val="24"/>
        </w:rPr>
        <w:t xml:space="preserve">0.6 — Structural debts owed</w:t>
      </w:r>
    </w:p>
    <w:p>
      <w:pPr>
        <w:spacing w:after="160" w:line="276"/>
        <w:jc w:val="both"/>
      </w:pPr>
      <w:r>
        <w:rPr>
          <w:rFonts w:ascii="Garamond" w:cs="Garamond" w:eastAsia="Garamond" w:hAnsi="Garamond"/>
          <w:b/>
          <w:bCs/>
          <w:sz w:val="22"/>
          <w:szCs w:val="22"/>
        </w:rPr>
        <w:t xml:space="preserve">D-CCC.1 (Formalisation).</w:t>
      </w:r>
      <w:r>
        <w:rPr>
          <w:rFonts w:ascii="Garamond" w:cs="Garamond" w:eastAsia="Garamond" w:hAnsi="Garamond"/>
          <w:sz w:val="22"/>
          <w:szCs w:val="22"/>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Garamond" w:cs="Garamond" w:eastAsia="Garamond" w:hAnsi="Garamond"/>
          <w:b/>
          <w:bCs/>
          <w:sz w:val="22"/>
          <w:szCs w:val="22"/>
        </w:rPr>
        <w:t xml:space="preserve">D-CCC.2 (Vertex uniqueness).</w:t>
      </w:r>
      <w:r>
        <w:rPr>
          <w:rFonts w:ascii="Garamond" w:cs="Garamond" w:eastAsia="Garamond" w:hAnsi="Garamond"/>
          <w:sz w:val="22"/>
          <w:szCs w:val="22"/>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Garamond" w:cs="Garamond" w:eastAsia="Garamond" w:hAnsi="Garamond"/>
          <w:b/>
          <w:bCs/>
          <w:sz w:val="22"/>
          <w:szCs w:val="22"/>
        </w:rPr>
        <w:t xml:space="preserve">D-CCC.3 (Value audit).</w:t>
      </w:r>
      <w:r>
        <w:rPr>
          <w:rFonts w:ascii="Garamond" w:cs="Garamond" w:eastAsia="Garamond" w:hAnsi="Garamond"/>
          <w:sz w:val="22"/>
          <w:szCs w:val="22"/>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Garamond" w:cs="Garamond" w:eastAsia="Garamond" w:hAnsi="Garamond"/>
          <w:b/>
          <w:bCs/>
          <w:sz w:val="22"/>
          <w:szCs w:val="22"/>
        </w:rPr>
        <w:t xml:space="preserve">D-CCC.4 (Boundary selection).</w:t>
      </w:r>
      <w:r>
        <w:rPr>
          <w:rFonts w:ascii="Garamond" w:cs="Garamond" w:eastAsia="Garamond" w:hAnsi="Garamond"/>
          <w:sz w:val="22"/>
          <w:szCs w:val="22"/>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120" w:before="240"/>
      </w:pPr>
      <w:r>
        <w:rPr>
          <w:rFonts w:ascii="Garamond" w:cs="Garamond" w:eastAsia="Garamond" w:hAnsi="Garamond"/>
          <w:b/>
          <w:bCs/>
          <w:color w:val="000000"/>
          <w:sz w:val="24"/>
          <w:szCs w:val="24"/>
        </w:rPr>
        <w:t xml:space="preserve">0.7 — Items held open without claiming debt status</w:t>
      </w:r>
    </w:p>
    <w:p>
      <w:pPr>
        <w:spacing w:after="160" w:line="276"/>
        <w:jc w:val="both"/>
      </w:pPr>
      <w:r>
        <w:rPr>
          <w:rFonts w:ascii="Garamond" w:cs="Garamond" w:eastAsia="Garamond" w:hAnsi="Garamond"/>
          <w:sz w:val="22"/>
          <w:szCs w:val="22"/>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The adoption sequence — the coordinated update table across AP28, Ø Predictions, the Proofs and the Prose — is owed on adoption, not before.</w:t>
      </w:r>
    </w:p>
    <w:p>
      <w:pPr>
        <w:pStyle w:val="Heading2"/>
        <w:spacing w:after="120" w:before="240"/>
      </w:pPr>
      <w:r>
        <w:rPr>
          <w:rFonts w:ascii="Garamond" w:cs="Garamond" w:eastAsia="Garamond" w:hAnsi="Garamond"/>
          <w:b/>
          <w:bCs/>
          <w:color w:val="000000"/>
          <w:sz w:val="24"/>
          <w:szCs w:val="24"/>
        </w:rPr>
        <w:t xml:space="preserve">0.8 — Structural relationships</w:t>
      </w:r>
    </w:p>
    <w:p>
      <w:pPr>
        <w:spacing w:after="160" w:line="276"/>
        <w:jc w:val="both"/>
      </w:pPr>
      <w:r>
        <w:rPr>
          <w:rFonts w:ascii="Garamond" w:cs="Garamond" w:eastAsia="Garamond" w:hAnsi="Garamond"/>
          <w:sz w:val="22"/>
          <w:szCs w:val="22"/>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spacing w:after="160" w:before="320"/>
      </w:pPr>
      <w:r>
        <w:rPr>
          <w:rFonts w:ascii="Garamond" w:cs="Garamond" w:eastAsia="Garamond" w:hAnsi="Garamond"/>
          <w:b/>
          <w:bCs/>
          <w:color w:val="000000"/>
          <w:sz w:val="28"/>
          <w:szCs w:val="28"/>
        </w:rPr>
        <w:t xml:space="preserve">1 — Definitions</w:t>
      </w:r>
    </w:p>
    <w:p>
      <w:pPr>
        <w:spacing w:after="160" w:line="276"/>
        <w:jc w:val="both"/>
      </w:pPr>
      <w:r>
        <w:rPr>
          <w:rFonts w:ascii="Garamond" w:cs="Garamond" w:eastAsia="Garamond" w:hAnsi="Garamond"/>
          <w:b/>
          <w:bCs/>
          <w:sz w:val="22"/>
          <w:szCs w:val="22"/>
        </w:rPr>
        <w:t xml:space="preserve">The snap, and The Snap.</w:t>
      </w:r>
      <w:r>
        <w:rPr>
          <w:rFonts w:ascii="Garamond" w:cs="Garamond" w:eastAsia="Garamond" w:hAnsi="Garamond"/>
          <w:sz w:val="22"/>
          <w:szCs w:val="22"/>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Garamond" w:cs="Garamond" w:eastAsia="Garamond" w:hAnsi="Garamond"/>
          <w:b/>
          <w:bCs/>
          <w:sz w:val="22"/>
          <w:szCs w:val="22"/>
        </w:rPr>
        <w:t xml:space="preserve">Provisioned and realised.</w:t>
      </w:r>
      <w:r>
        <w:rPr>
          <w:rFonts w:ascii="Garamond" w:cs="Garamond" w:eastAsia="Garamond" w:hAnsi="Garamond"/>
          <w:sz w:val="22"/>
          <w:szCs w:val="22"/>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Garamond" w:cs="Garamond" w:eastAsia="Garamond" w:hAnsi="Garamond"/>
          <w:b/>
          <w:bCs/>
          <w:sz w:val="22"/>
          <w:szCs w:val="22"/>
        </w:rPr>
        <w:t xml:space="preserve">The commitment (CCC).</w:t>
      </w:r>
      <w:r>
        <w:rPr>
          <w:rFonts w:ascii="Garamond" w:cs="Garamond" w:eastAsia="Garamond" w:hAnsi="Garamond"/>
          <w:sz w:val="22"/>
          <w:szCs w:val="22"/>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Garamond" w:cs="Garamond" w:eastAsia="Garamond" w:hAnsi="Garamond"/>
          <w:b/>
          <w:bCs/>
          <w:sz w:val="22"/>
          <w:szCs w:val="22"/>
        </w:rPr>
        <w:t xml:space="preserve">The leakage (TLC).</w:t>
      </w:r>
      <w:r>
        <w:rPr>
          <w:rFonts w:ascii="Garamond" w:cs="Garamond" w:eastAsia="Garamond" w:hAnsi="Garamond"/>
          <w:sz w:val="22"/>
          <w:szCs w:val="22"/>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TLC — the leakage</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Paid</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AP06</w:t>
            </w:r>
          </w:p>
        </w:tc>
      </w:tr>
    </w:tbl>
    <w:p>
      <w:pPr>
        <w:spacing w:after="160"/>
      </w:pPr>
    </w:p>
    <w:p>
      <w:pPr>
        <w:spacing w:after="160" w:line="276"/>
        <w:jc w:val="both"/>
      </w:pPr>
      <w:r>
        <w:rPr>
          <w:rFonts w:ascii="Garamond" w:cs="Garamond" w:eastAsia="Garamond" w:hAnsi="Garamond"/>
          <w:sz w:val="22"/>
          <w:szCs w:val="22"/>
        </w:rPr>
        <w:t xml:space="preserve">Fix each cell of the table in mind and the rest of the paper is bookkeeping: one ε per instant, two destinations, and the destination is decided by whether the instant is a configuration’s first.</w:t>
      </w:r>
    </w:p>
    <w:p>
      <w:pPr>
        <w:pStyle w:val="Heading1"/>
        <w:spacing w:after="160" w:before="320"/>
      </w:pPr>
      <w:r>
        <w:rPr>
          <w:rFonts w:ascii="Garamond" w:cs="Garamond" w:eastAsia="Garamond" w:hAnsi="Garamond"/>
          <w:b/>
          <w:bCs/>
          <w:color w:val="000000"/>
          <w:sz w:val="28"/>
          <w:szCs w:val="28"/>
        </w:rPr>
        <w:t xml:space="preserve">2 — The Constitution Record</w:t>
      </w:r>
    </w:p>
    <w:p>
      <w:pPr>
        <w:spacing w:after="160" w:line="276"/>
        <w:jc w:val="both"/>
      </w:pPr>
      <w:r>
        <w:rPr>
          <w:rFonts w:ascii="Garamond" w:cs="Garamond" w:eastAsia="Garamond" w:hAnsi="Garamond"/>
          <w:b/>
          <w:bCs/>
          <w:sz w:val="22"/>
          <w:szCs w:val="22"/>
        </w:rPr>
        <w:t xml:space="preserve">Proposition 1 — The Constitution Record.</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Every persisting configuration has a unique first record: the record that constitutes it.</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Garamond" w:cs="Garamond" w:eastAsia="Garamond" w:hAnsi="Garamond"/>
          <w:sz w:val="22"/>
          <w:szCs w:val="22"/>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spacing w:after="160" w:before="320"/>
      </w:pPr>
      <w:r>
        <w:rPr>
          <w:rFonts w:ascii="Garamond" w:cs="Garamond" w:eastAsia="Garamond" w:hAnsi="Garamond"/>
          <w:b/>
          <w:bCs/>
          <w:color w:val="000000"/>
          <w:sz w:val="28"/>
          <w:szCs w:val="28"/>
        </w:rPr>
        <w:t xml:space="preserve">3 — Held, Not Shed</w:t>
      </w:r>
    </w:p>
    <w:p>
      <w:pPr>
        <w:spacing w:after="160" w:line="276"/>
        <w:jc w:val="both"/>
      </w:pPr>
      <w:r>
        <w:rPr>
          <w:rFonts w:ascii="Garamond" w:cs="Garamond" w:eastAsia="Garamond" w:hAnsi="Garamond"/>
          <w:sz w:val="22"/>
          <w:szCs w:val="22"/>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Garamond" w:cs="Garamond" w:eastAsia="Garamond" w:hAnsi="Garamond"/>
          <w:b/>
          <w:bCs/>
          <w:sz w:val="22"/>
          <w:szCs w:val="22"/>
        </w:rPr>
        <w:t xml:space="preserve">Proposition 2 — The Held Commitment.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Garamond" w:cs="Garamond" w:eastAsia="Garamond" w:hAnsi="Garamond"/>
          <w:sz w:val="22"/>
          <w:szCs w:val="22"/>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Garamond" w:cs="Garamond" w:eastAsia="Garamond" w:hAnsi="Garamond"/>
          <w:sz w:val="22"/>
          <w:szCs w:val="22"/>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Garamond" w:cs="Garamond" w:eastAsia="Garamond" w:hAnsi="Garamond"/>
          <w:sz w:val="22"/>
          <w:szCs w:val="22"/>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Garamond" w:cs="Garamond" w:eastAsia="Garamond" w:hAnsi="Garamond"/>
          <w:sz w:val="22"/>
          <w:szCs w:val="22"/>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Garamond" w:cs="Garamond" w:eastAsia="Garamond" w:hAnsi="Garamond"/>
          <w:sz w:val="22"/>
          <w:szCs w:val="22"/>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Garamond" w:cs="Garamond" w:eastAsia="Garamond" w:hAnsi="Garamond"/>
          <w:i/>
          <w:iCs/>
          <w:sz w:val="22"/>
          <w:szCs w:val="22"/>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Garamond" w:cs="Garamond" w:eastAsia="Garamond" w:hAnsi="Garamond"/>
          <w:sz w:val="22"/>
          <w:szCs w:val="22"/>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spacing w:after="160" w:before="320"/>
      </w:pPr>
      <w:r>
        <w:rPr>
          <w:rFonts w:ascii="Garamond" w:cs="Garamond" w:eastAsia="Garamond" w:hAnsi="Garamond"/>
          <w:b/>
          <w:bCs/>
          <w:color w:val="000000"/>
          <w:sz w:val="28"/>
          <w:szCs w:val="28"/>
        </w:rPr>
        <w:t xml:space="preserve">4 — One Arena, One Snap, One ε</w:t>
      </w:r>
    </w:p>
    <w:p>
      <w:pPr>
        <w:spacing w:after="160" w:line="276"/>
        <w:jc w:val="both"/>
      </w:pPr>
      <w:r>
        <w:rPr>
          <w:rFonts w:ascii="Garamond" w:cs="Garamond" w:eastAsia="Garamond" w:hAnsi="Garamond"/>
          <w:sz w:val="22"/>
          <w:szCs w:val="22"/>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Garamond" w:cs="Garamond" w:eastAsia="Garamond" w:hAnsi="Garamond"/>
          <w:b/>
          <w:bCs/>
          <w:sz w:val="22"/>
          <w:szCs w:val="22"/>
        </w:rPr>
        <w:t xml:space="preserve">Proposition 3 — One Snap, One ε.</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arena’s commitment is exactly one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Garamond" w:cs="Garamond" w:eastAsia="Garamond" w:hAnsi="Garamond"/>
          <w:b/>
          <w:bCs/>
          <w:sz w:val="22"/>
          <w:szCs w:val="22"/>
        </w:rPr>
        <w:t xml:space="preserve">Corollary — Already Booked.</w:t>
      </w:r>
      <w:r>
        <w:rPr>
          <w:rFonts w:ascii="Garamond" w:cs="Garamond" w:eastAsia="Garamond" w:hAnsi="Garamond"/>
          <w:sz w:val="22"/>
          <w:szCs w:val="22"/>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Garamond" w:cs="Garamond" w:eastAsia="Garamond" w:hAnsi="Garamond"/>
          <w:sz w:val="22"/>
          <w:szCs w:val="22"/>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spacing w:after="160" w:before="320"/>
      </w:pPr>
      <w:r>
        <w:rPr>
          <w:rFonts w:ascii="Garamond" w:cs="Garamond" w:eastAsia="Garamond" w:hAnsi="Garamond"/>
          <w:b/>
          <w:bCs/>
          <w:color w:val="000000"/>
          <w:sz w:val="28"/>
          <w:szCs w:val="28"/>
        </w:rPr>
        <w:t xml:space="preserve">5 — Realised over Provisioned</w:t>
      </w:r>
    </w:p>
    <w:p>
      <w:pPr>
        <w:spacing w:after="160" w:line="276"/>
        <w:jc w:val="both"/>
      </w:pPr>
      <w:r>
        <w:rPr>
          <w:rFonts w:ascii="Garamond" w:cs="Garamond" w:eastAsia="Garamond" w:hAnsi="Garamond"/>
          <w:b/>
          <w:bCs/>
          <w:sz w:val="22"/>
          <w:szCs w:val="22"/>
        </w:rPr>
        <w:t xml:space="preserve">Proposition 4 — The Form.</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realised coupling is the structural coupling divided by (1 + ε): α_G∗ = α_G / (1 +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Garamond" w:cs="Garamond" w:eastAsia="Garamond" w:hAnsi="Garamond"/>
          <w:sz w:val="22"/>
          <w:szCs w:val="22"/>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Garamond" w:cs="Garamond" w:eastAsia="Garamond" w:hAnsi="Garamond"/>
          <w:b/>
          <w:bCs/>
          <w:sz w:val="22"/>
          <w:szCs w:val="22"/>
        </w:rPr>
        <w:t xml:space="preserve">The value of ε in the quotient — a selection, argued and booked.</w:t>
      </w:r>
      <w:r>
        <w:rPr>
          <w:rFonts w:ascii="Garamond" w:cs="Garamond" w:eastAsia="Garamond" w:hAnsi="Garamond"/>
          <w:sz w:val="22"/>
          <w:szCs w:val="22"/>
        </w:rPr>
        <w:t xml:space="preserve"> The form above is derived; the value is not, and the paper says so. AP06 §0.7 holds open a family of domain readings of ε — the leakage ratio at the gravitational boundary near 10⁻¹⁷, at the retinal boundary near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Garamond" w:cs="Garamond" w:eastAsia="Garamond" w:hAnsi="Garamond"/>
          <w:sz w:val="22"/>
          <w:szCs w:val="22"/>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spacing w:after="160" w:before="320"/>
      </w:pPr>
      <w:r>
        <w:rPr>
          <w:rFonts w:ascii="Garamond" w:cs="Garamond" w:eastAsia="Garamond" w:hAnsi="Garamond"/>
          <w:b/>
          <w:bCs/>
          <w:color w:val="000000"/>
          <w:sz w:val="28"/>
          <w:szCs w:val="28"/>
        </w:rPr>
        <w:t xml:space="preserve">6 — The Placement</w:t>
      </w:r>
    </w:p>
    <w:p>
      <w:pPr>
        <w:spacing w:after="160" w:line="276"/>
        <w:jc w:val="both"/>
      </w:pPr>
      <w:r>
        <w:rPr>
          <w:rFonts w:ascii="Garamond" w:cs="Garamond" w:eastAsia="Garamond" w:hAnsi="Garamond"/>
          <w:b/>
          <w:bCs/>
          <w:sz w:val="22"/>
          <w:szCs w:val="22"/>
        </w:rPr>
        <w:t xml:space="preserve">Proposition 5 — The Arena’s Commitment Lives in the Arena’s Coupling.</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commitment divides the persistence coupling α_G, and can appear nowhere else.</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Garamond" w:cs="Garamond" w:eastAsia="Garamond" w:hAnsi="Garamond"/>
          <w:sz w:val="22"/>
          <w:szCs w:val="22"/>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Garamond" w:cs="Garamond" w:eastAsia="Garamond" w:hAnsi="Garamond"/>
          <w:sz w:val="22"/>
          <w:szCs w:val="22"/>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spacing w:after="160" w:before="320"/>
      </w:pPr>
      <w:r>
        <w:rPr>
          <w:rFonts w:ascii="Garamond" w:cs="Garamond" w:eastAsia="Garamond" w:hAnsi="Garamond"/>
          <w:b/>
          <w:bCs/>
          <w:color w:val="000000"/>
          <w:sz w:val="28"/>
          <w:szCs w:val="28"/>
        </w:rPr>
        <w:t xml:space="preserve">7 — The Double Entry</w:t>
      </w:r>
    </w:p>
    <w:p>
      <w:pPr>
        <w:spacing w:after="160" w:line="276"/>
        <w:jc w:val="both"/>
      </w:pPr>
      <w:r>
        <w:rPr>
          <w:rFonts w:ascii="Garamond" w:cs="Garamond" w:eastAsia="Garamond" w:hAnsi="Garamond"/>
          <w:b/>
          <w:bCs/>
          <w:sz w:val="22"/>
          <w:szCs w:val="22"/>
        </w:rPr>
        <w:t xml:space="preserve">Proposition 6 — Two Readings, One Element: an Extension, Stated as an Extension.</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Garamond" w:cs="Garamond" w:eastAsia="Garamond" w:hAnsi="Garamond"/>
          <w:sz w:val="22"/>
          <w:szCs w:val="22"/>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w:t>
      </w:r>
    </w:p>
    <w:p>
      <w:pPr>
        <w:spacing w:after="160" w:line="276"/>
        <w:jc w:val="both"/>
      </w:pPr>
      <w:r>
        <w:rPr>
          <w:rFonts w:ascii="Garamond" w:cs="Garamond" w:eastAsia="Garamond" w:hAnsi="Garamond"/>
          <w:sz w:val="22"/>
          <w:szCs w:val="22"/>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spacing w:after="160" w:before="320"/>
      </w:pPr>
      <w:r>
        <w:rPr>
          <w:rFonts w:ascii="Garamond" w:cs="Garamond" w:eastAsia="Garamond" w:hAnsi="Garamond"/>
          <w:b/>
          <w:bCs/>
          <w:color w:val="000000"/>
          <w:sz w:val="28"/>
          <w:szCs w:val="28"/>
        </w:rPr>
        <w:t xml:space="preserve">8 — The Vertices</w:t>
      </w:r>
    </w:p>
    <w:p>
      <w:pPr>
        <w:spacing w:after="160" w:line="276"/>
        <w:jc w:val="both"/>
      </w:pPr>
      <w:r>
        <w:rPr>
          <w:rFonts w:ascii="Garamond" w:cs="Garamond" w:eastAsia="Garamond" w:hAnsi="Garamond"/>
          <w:sz w:val="22"/>
          <w:szCs w:val="22"/>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Garamond" w:cs="Garamond" w:eastAsia="Garamond" w:hAnsi="Garamond"/>
          <w:b/>
          <w:bCs/>
          <w:sz w:val="22"/>
          <w:szCs w:val="22"/>
        </w:rPr>
        <w:t xml:space="preserve">ten vertices</w:t>
      </w:r>
      <w:r>
        <w:rPr>
          <w:rFonts w:ascii="Garamond" w:cs="Garamond" w:eastAsia="Garamond" w:hAnsi="Garamond"/>
          <w:sz w:val="22"/>
          <w:szCs w:val="22"/>
        </w:rPr>
        <w:t xml:space="preserve">.</w:t>
      </w:r>
    </w:p>
    <w:p>
      <w:pPr>
        <w:spacing w:after="160" w:line="276"/>
        <w:jc w:val="both"/>
      </w:pPr>
      <w:r>
        <w:rPr>
          <w:rFonts w:ascii="Garamond" w:cs="Garamond" w:eastAsia="Garamond" w:hAnsi="Garamond"/>
          <w:sz w:val="22"/>
          <w:szCs w:val="22"/>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Garamond" w:cs="Garamond" w:eastAsia="Garamond" w:hAnsi="Garamond"/>
          <w:sz w:val="22"/>
          <w:szCs w:val="22"/>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spacing w:after="160" w:before="320"/>
      </w:pPr>
      <w:r>
        <w:rPr>
          <w:rFonts w:ascii="Garamond" w:cs="Garamond" w:eastAsia="Garamond" w:hAnsi="Garamond"/>
          <w:b/>
          <w:bCs/>
          <w:color w:val="000000"/>
          <w:sz w:val="28"/>
          <w:szCs w:val="28"/>
        </w:rPr>
        <w:t xml:space="preserve">9 — The Prediction</w:t>
      </w:r>
    </w:p>
    <w:p>
      <w:pPr>
        <w:spacing w:after="160" w:line="276"/>
        <w:jc w:val="both"/>
      </w:pPr>
      <w:r>
        <w:rPr>
          <w:rFonts w:ascii="Garamond" w:cs="Garamond" w:eastAsia="Garamond" w:hAnsi="Garamond"/>
          <w:sz w:val="22"/>
          <w:szCs w:val="22"/>
        </w:rPr>
        <w:t xml:space="preserve">The realised gravitational coupling is α_G∗ = α_em²¹ × (1 + 1/π) / (1 + α_em), and the realised constant is:</w:t>
      </w:r>
    </w:p>
    <w:p>
      <w:pPr>
        <w:spacing w:after="160" w:line="276"/>
        <w:jc w:val="center"/>
      </w:pPr>
      <w:r>
        <w:rPr>
          <w:rFonts w:ascii="Garamond" w:cs="Garamond" w:eastAsia="Garamond" w:hAnsi="Garamond"/>
          <w:b/>
          <w:bCs/>
          <w:sz w:val="22"/>
          <w:szCs w:val="22"/>
        </w:rPr>
        <w:t xml:space="preserve">G = α_em²¹ × (1 + 1/π) / (1 + α_em) × ℏc / m_e²</w:t>
      </w:r>
    </w:p>
    <w:p>
      <w:pPr>
        <w:spacing w:after="160" w:line="276"/>
        <w:jc w:val="both"/>
      </w:pPr>
      <w:r>
        <w:rPr>
          <w:rFonts w:ascii="Garamond" w:cs="Garamond" w:eastAsia="Garamond" w:hAnsi="Garamond"/>
          <w:sz w:val="22"/>
          <w:szCs w:val="22"/>
        </w:rPr>
        <w:t xml:space="preserve">Using the CODATA inputs, as AP28 uses them:</w:t>
      </w:r>
    </w:p>
    <w:p>
      <w:pPr>
        <w:spacing w:after="40" w:line="276"/>
        <w:jc w:val="center"/>
      </w:pPr>
      <w:r>
        <w:rPr>
          <w:rFonts w:ascii="Garamond" w:cs="Garamond" w:eastAsia="Garamond" w:hAnsi="Garamond"/>
          <w:sz w:val="22"/>
          <w:szCs w:val="22"/>
        </w:rPr>
        <w:t xml:space="preserve">α_em²¹ = 1.338 × 10⁻⁴⁵</w:t>
      </w:r>
    </w:p>
    <w:p>
      <w:pPr>
        <w:spacing w:after="40" w:line="276"/>
        <w:jc w:val="center"/>
      </w:pPr>
      <w:r>
        <w:rPr>
          <w:rFonts w:ascii="Garamond" w:cs="Garamond" w:eastAsia="Garamond" w:hAnsi="Garamond"/>
          <w:sz w:val="22"/>
          <w:szCs w:val="22"/>
        </w:rPr>
        <w:t xml:space="preserve">1 + 1/π = 1.31831</w:t>
      </w:r>
    </w:p>
    <w:p>
      <w:pPr>
        <w:spacing w:after="40" w:line="276"/>
        <w:jc w:val="center"/>
      </w:pPr>
      <w:r>
        <w:rPr>
          <w:rFonts w:ascii="Garamond" w:cs="Garamond" w:eastAsia="Garamond" w:hAnsi="Garamond"/>
          <w:sz w:val="22"/>
          <w:szCs w:val="22"/>
        </w:rPr>
        <w:t xml:space="preserve">1 / (1 + α_em) = 0.992756</w:t>
      </w:r>
    </w:p>
    <w:p>
      <w:pPr>
        <w:spacing w:after="40" w:line="276"/>
        <w:jc w:val="center"/>
      </w:pPr>
      <w:r>
        <w:rPr>
          <w:rFonts w:ascii="Garamond" w:cs="Garamond" w:eastAsia="Garamond" w:hAnsi="Garamond"/>
          <w:sz w:val="22"/>
          <w:szCs w:val="22"/>
        </w:rPr>
        <w:t xml:space="preserve">Structural value (AP28): G = 6.7206 × 10⁻¹¹ N·m²/kg²</w:t>
      </w:r>
    </w:p>
    <w:p>
      <w:pPr>
        <w:spacing w:after="40" w:line="276"/>
        <w:jc w:val="center"/>
      </w:pPr>
      <w:r>
        <w:rPr>
          <w:rFonts w:ascii="Garamond" w:cs="Garamond" w:eastAsia="Garamond" w:hAnsi="Garamond"/>
          <w:b/>
          <w:bCs/>
          <w:sz w:val="22"/>
          <w:szCs w:val="22"/>
        </w:rPr>
        <w:t xml:space="preserve">Realised value: G = 6.6719 × 10⁻¹¹ N·m²/kg²</w:t>
      </w:r>
    </w:p>
    <w:p>
      <w:pPr>
        <w:spacing w:after="160" w:line="276"/>
        <w:jc w:val="center"/>
      </w:pPr>
      <w:r>
        <w:rPr>
          <w:rFonts w:ascii="Garamond" w:cs="Garamond" w:eastAsia="Garamond" w:hAnsi="Garamond"/>
          <w:sz w:val="22"/>
          <w:szCs w:val="22"/>
        </w:rPr>
        <w:t xml:space="preserve">Measured (CODATA 2018, unchanged 2022): G = 6.6743 × 10⁻¹¹ N·m²/kg²</w:t>
      </w:r>
    </w:p>
    <w:p>
      <w:pPr>
        <w:spacing w:after="160" w:line="276"/>
        <w:jc w:val="both"/>
      </w:pPr>
      <w:r>
        <w:rPr>
          <w:rFonts w:ascii="Garamond" w:cs="Garamond" w:eastAsia="Garamond" w:hAnsi="Garamond"/>
          <w:b/>
          <w:bCs/>
          <w:sz w:val="22"/>
          <w:szCs w:val="22"/>
        </w:rPr>
        <w:t xml:space="preserve">Residual: −0.036%.</w:t>
      </w:r>
    </w:p>
    <w:p>
      <w:pPr>
        <w:spacing w:after="160" w:line="276"/>
        <w:jc w:val="both"/>
      </w:pPr>
      <w:r>
        <w:rPr>
          <w:rFonts w:ascii="Garamond" w:cs="Garamond" w:eastAsia="Garamond" w:hAnsi="Garamond"/>
          <w:sz w:val="22"/>
          <w:szCs w:val="22"/>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w:t>
      </w:r>
    </w:p>
    <w:p>
      <w:pPr>
        <w:spacing w:after="160" w:line="276"/>
        <w:jc w:val="both"/>
      </w:pPr>
      <w:r>
        <w:rPr>
          <w:rFonts w:ascii="Garamond" w:cs="Garamond" w:eastAsia="Garamond" w:hAnsi="Garamond"/>
          <w:sz w:val="22"/>
          <w:szCs w:val="22"/>
        </w:rPr>
        <w:t xml:space="preserve">And here is what the landing is, exactly: non-exclusion, not evidence. By §10’s own argument the target is soft — a four-per-cent-wide admissible window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Garamond" w:cs="Garamond" w:eastAsia="Garamond" w:hAnsi="Garamond"/>
          <w:sz w:val="22"/>
          <w:szCs w:val="22"/>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spacing w:after="160" w:before="320"/>
      </w:pPr>
      <w:r>
        <w:rPr>
          <w:rFonts w:ascii="Garamond" w:cs="Garamond" w:eastAsia="Garamond" w:hAnsi="Garamond"/>
          <w:b/>
          <w:bCs/>
          <w:color w:val="000000"/>
          <w:sz w:val="28"/>
          <w:szCs w:val="28"/>
        </w:rPr>
        <w:t xml:space="preserve">10 — What the Data May and May Not Do</w:t>
      </w:r>
    </w:p>
    <w:p>
      <w:pPr>
        <w:spacing w:after="160" w:line="276"/>
        <w:jc w:val="both"/>
      </w:pPr>
      <w:r>
        <w:rPr>
          <w:rFonts w:ascii="Garamond" w:cs="Garamond" w:eastAsia="Garamond" w:hAnsi="Garamond"/>
          <w:sz w:val="22"/>
          <w:szCs w:val="22"/>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Garamond" w:cs="Garamond" w:eastAsia="Garamond" w:hAnsi="Garamond"/>
          <w:b/>
          <w:bCs/>
          <w:sz w:val="22"/>
          <w:szCs w:val="22"/>
        </w:rPr>
        <w:t xml:space="preserve">data may eliminate structural candidates; data may never generate them.</w:t>
      </w:r>
      <w:r>
        <w:rPr>
          <w:rFonts w:ascii="Garamond" w:cs="Garamond" w:eastAsia="Garamond" w:hAnsi="Garamond"/>
          <w:sz w:val="22"/>
          <w:szCs w:val="22"/>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Garamond" w:cs="Garamond" w:eastAsia="Garamond" w:hAnsi="Garamond"/>
          <w:sz w:val="22"/>
          <w:szCs w:val="22"/>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Garamond" w:cs="Garamond" w:eastAsia="Garamond" w:hAnsi="Garamond"/>
          <w:b/>
          <w:bCs/>
          <w:sz w:val="22"/>
          <w:szCs w:val="22"/>
        </w:rPr>
        <w:t xml:space="preserve">20/21 of ε lands about 12 ppm below the centre</w:t>
      </w:r>
      <w:r>
        <w:rPr>
          <w:rFonts w:ascii="Garamond" w:cs="Garamond" w:eastAsia="Garamond" w:hAnsi="Garamond"/>
          <w:sz w:val="22"/>
          <w:szCs w:val="22"/>
        </w:rPr>
        <w:t xml:space="preserve">, and </w:t>
      </w:r>
      <w:r>
        <w:rPr>
          <w:rFonts w:ascii="Garamond" w:cs="Garamond" w:eastAsia="Garamond" w:hAnsi="Garamond"/>
          <w:b/>
          <w:bCs/>
          <w:sz w:val="22"/>
          <w:szCs w:val="22"/>
        </w:rPr>
        <w:t xml:space="preserve">17/18 of ε about 45 ppm above it</w:t>
      </w:r>
      <w:r>
        <w:rPr>
          <w:rFonts w:ascii="Garamond" w:cs="Garamond" w:eastAsia="Garamond" w:hAnsi="Garamond"/>
          <w:sz w:val="22"/>
          <w:szCs w:val="22"/>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more than the gap between the whispers, is one more proof that the digits cannot carry a decision.)</w:t>
      </w:r>
    </w:p>
    <w:p>
      <w:pPr>
        <w:spacing w:after="160" w:line="276"/>
        <w:jc w:val="both"/>
      </w:pPr>
      <w:r>
        <w:rPr>
          <w:rFonts w:ascii="Garamond" w:cs="Garamond" w:eastAsia="Garamond" w:hAnsi="Garamond"/>
          <w:sz w:val="22"/>
          <w:szCs w:val="22"/>
        </w:rPr>
        <w:t xml:space="preserve">And the target itself is soft, which is the final proof that digit-matching is meaningless here. Measured against the lowest laboratory determination the demanded fraction is near 0.99 of ε; against the highest, near 0.92; the admissible window is the whole range between, four per cent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pStyle w:val="Heading1"/>
        <w:spacing w:after="160" w:before="320"/>
      </w:pPr>
      <w:r>
        <w:rPr>
          <w:rFonts w:ascii="Garamond" w:cs="Garamond" w:eastAsia="Garamond" w:hAnsi="Garamond"/>
          <w:b/>
          <w:bCs/>
          <w:color w:val="000000"/>
          <w:sz w:val="28"/>
          <w:szCs w:val="28"/>
        </w:rPr>
        <w:t xml:space="preserve">11 — Candidate Three</w:t>
      </w:r>
    </w:p>
    <w:p>
      <w:pPr>
        <w:spacing w:after="160" w:line="276"/>
        <w:jc w:val="both"/>
      </w:pPr>
      <w:r>
        <w:rPr>
          <w:rFonts w:ascii="Garamond" w:cs="Garamond" w:eastAsia="Garamond" w:hAnsi="Garamond"/>
          <w:sz w:val="22"/>
          <w:szCs w:val="22"/>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Garamond" w:cs="Garamond" w:eastAsia="Garamond" w:hAnsi="Garamond"/>
          <w:sz w:val="22"/>
          <w:szCs w:val="22"/>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Garamond" w:cs="Garamond" w:eastAsia="Garamond" w:hAnsi="Garamond"/>
          <w:i/>
          <w:iCs/>
          <w:sz w:val="22"/>
          <w:szCs w:val="22"/>
        </w:rPr>
        <w:t xml:space="preserve">is</w:t>
      </w:r>
      <w:r>
        <w:rPr>
          <w:rFonts w:ascii="Garamond" w:cs="Garamond" w:eastAsia="Garamond" w:hAnsi="Garamond"/>
          <w:sz w:val="22"/>
          <w:szCs w:val="22"/>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Garamond" w:cs="Garamond" w:eastAsia="Garamond" w:hAnsi="Garamond"/>
          <w:sz w:val="22"/>
          <w:szCs w:val="22"/>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Garamond" w:cs="Garamond" w:eastAsia="Garamond" w:hAnsi="Garamond"/>
          <w:sz w:val="22"/>
          <w:szCs w:val="22"/>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Garamond" w:cs="Garamond" w:eastAsia="Garamond" w:hAnsi="Garamond"/>
          <w:i/>
          <w:iCs/>
          <w:sz w:val="22"/>
          <w:szCs w:val="22"/>
        </w:rPr>
        <w:t xml:space="preserve">below</w:t>
      </w:r>
      <w:r>
        <w:rPr>
          <w:rFonts w:ascii="Garamond" w:cs="Garamond" w:eastAsia="Garamond" w:hAnsi="Garamond"/>
          <w:sz w:val="22"/>
          <w:szCs w:val="22"/>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spacing w:after="160" w:before="320"/>
      </w:pPr>
      <w:r>
        <w:rPr>
          <w:rFonts w:ascii="Garamond" w:cs="Garamond" w:eastAsia="Garamond" w:hAnsi="Garamond"/>
          <w:b/>
          <w:bCs/>
          <w:color w:val="000000"/>
          <w:sz w:val="28"/>
          <w:szCs w:val="28"/>
        </w:rPr>
        <w:t xml:space="preserve">12 — Kill Switches</w:t>
      </w:r>
    </w:p>
    <w:p>
      <w:pPr>
        <w:spacing w:after="160" w:line="276"/>
        <w:jc w:val="both"/>
      </w:pPr>
      <w:r>
        <w:rPr>
          <w:rFonts w:ascii="Garamond" w:cs="Garamond" w:eastAsia="Garamond" w:hAnsi="Garamond"/>
          <w:sz w:val="22"/>
          <w:szCs w:val="22"/>
        </w:rPr>
        <w:t xml:space="preserve">Six switches, Claim / Test / Status / Recovery, identifiers pending MKSR registration.</w:t>
      </w:r>
    </w:p>
    <w:p>
      <w:pPr>
        <w:pStyle w:val="Heading2"/>
        <w:spacing w:after="120" w:before="240"/>
      </w:pPr>
      <w:r>
        <w:rPr>
          <w:rFonts w:ascii="Garamond" w:cs="Garamond" w:eastAsia="Garamond" w:hAnsi="Garamond"/>
          <w:b/>
          <w:bCs/>
          <w:color w:val="000000"/>
          <w:sz w:val="24"/>
          <w:szCs w:val="24"/>
        </w:rPr>
        <w:t xml:space="preserve">KS-CCC.1 — Forced magnitude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commitment magnitude is 1×ε, stated from the axiom before any comparison with measurement, with no refinement admitted without a prior forcing argument.</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publication, anywhere in the corpus, of a commitment magnitude whose selection depended on comparison with measured G — including any fraction from §10’s fence.</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METHODOLOGICAL. This switch binds the author.</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Garamond" w:cs="Garamond" w:eastAsia="Garamond" w:hAnsi="Garamond"/>
          <w:b/>
          <w:bCs/>
          <w:color w:val="000000"/>
          <w:sz w:val="24"/>
          <w:szCs w:val="24"/>
        </w:rPr>
        <w:t xml:space="preserve">KS-CCC.2 — Mass-side drift</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Any derivation, anywhere in the corpus, that applies a commitment factor to a mass or exhibits a commitment residue in a mass ratio.</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120" w:before="240"/>
      </w:pPr>
      <w:r>
        <w:rPr>
          <w:rFonts w:ascii="Garamond" w:cs="Garamond" w:eastAsia="Garamond" w:hAnsi="Garamond"/>
          <w:b/>
          <w:bCs/>
          <w:color w:val="000000"/>
          <w:sz w:val="24"/>
          <w:szCs w:val="24"/>
        </w:rPr>
        <w:t xml:space="preserve">KS-CCC.3 — Existence and direction</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commitment of order ε exists, and the structural value exceeds the realised value: measured G lies at or above the realised prediction, never converging on the structural one.</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Future metrology. Convergence upward toward 6.7206 × 10⁻¹¹ kills the commitment and revives Candidate 1 in full. Convergence near 6.672 × 10⁻¹¹ supports it.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 The switch tests existence and direction, not magnitude: by §10, the admissible window is four per cent of ε wide, and convergence cannot distinguish 1×ε from nearby fractions. No claim of magnitude confirmation will be made from it.</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If metrology converges toward the structural value, the commitment is withdrawn and the 0.69% returns, whole, to Candidates 1 and 2.</w:t>
      </w:r>
    </w:p>
    <w:p>
      <w:pPr>
        <w:pStyle w:val="Heading2"/>
        <w:spacing w:after="120" w:before="240"/>
      </w:pPr>
      <w:r>
        <w:rPr>
          <w:rFonts w:ascii="Garamond" w:cs="Garamond" w:eastAsia="Garamond" w:hAnsi="Garamond"/>
          <w:b/>
          <w:bCs/>
          <w:color w:val="000000"/>
          <w:sz w:val="24"/>
          <w:szCs w:val="24"/>
        </w:rPr>
        <w:t xml:space="preserve">KS-CCC.4 — The discriminator</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Apparatus-leakage corrections, characterised per Appendix C of Ø Predictions, are of scatter scale (at most hundreds of ppm), not of gap scale (~6,900 ppm).</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Appendix C meta-analysis itself.</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Gap-scale corrections confirm Candidate 1 and withdraw the commitment; the realised formula reverts to AP28’s.</w:t>
      </w:r>
    </w:p>
    <w:p>
      <w:pPr>
        <w:pStyle w:val="Heading2"/>
        <w:spacing w:after="120" w:before="240"/>
      </w:pPr>
      <w:r>
        <w:rPr>
          <w:rFonts w:ascii="Garamond" w:cs="Garamond" w:eastAsia="Garamond" w:hAnsi="Garamond"/>
          <w:b/>
          <w:bCs/>
          <w:color w:val="000000"/>
          <w:sz w:val="24"/>
          <w:szCs w:val="24"/>
        </w:rPr>
        <w:t xml:space="preserve">KS-CCC.5 — Held, not shed</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constitution instant’s ε is held as the persistence commitment (Proposition 2), and in particular the arena’s constitution ε is held.</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Exhibit a mechanism by which a constitution ε — the arena’s above all — is shed while the constitution record is held open by other means.</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Proposition 2 fails; the dichotomy collapses to leakage-only; the commitment is withdrawn. AP06 is unaffected — the leakage never depended on this paper.</w:t>
      </w:r>
    </w:p>
    <w:p>
      <w:pPr>
        <w:pStyle w:val="Heading2"/>
        <w:spacing w:after="120" w:before="240"/>
      </w:pPr>
      <w:r>
        <w:rPr>
          <w:rFonts w:ascii="Garamond" w:cs="Garamond" w:eastAsia="Garamond" w:hAnsi="Garamond"/>
          <w:b/>
          <w:bCs/>
          <w:color w:val="000000"/>
          <w:sz w:val="24"/>
          <w:szCs w:val="24"/>
        </w:rPr>
        <w:t xml:space="preserve">KS-CCC.6 — Single entry</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puncture factor and the commitment are independent readings of the unpaired element (Proposition 6, claimed as an extension of AP24’s licence).</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completed puncture-topology normalisation owed under KS-R.9, if it is shown to already contain the persistence provision.</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 coupled to KS-R.9.</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correction double-counts and is removed; the puncture factor absorbs the commitment under a reinterpreted normalisation; the realised formula reverts to AP28’s.</w:t>
      </w:r>
    </w:p>
    <w:p>
      <w:pPr>
        <w:pStyle w:val="Heading1"/>
        <w:spacing w:after="160" w:before="320"/>
      </w:pPr>
      <w:r>
        <w:rPr>
          <w:rFonts w:ascii="Garamond" w:cs="Garamond" w:eastAsia="Garamond" w:hAnsi="Garamond"/>
          <w:b/>
          <w:bCs/>
          <w:color w:val="000000"/>
          <w:sz w:val="28"/>
          <w:szCs w:val="28"/>
        </w:rPr>
        <w:t xml:space="preserve">13 — Dependencies</w:t>
      </w:r>
    </w:p>
    <w:p>
      <w:pPr>
        <w:spacing w:after="160" w:line="276"/>
        <w:jc w:val="both"/>
      </w:pPr>
      <w:r>
        <w:rPr>
          <w:rFonts w:ascii="Garamond" w:cs="Garamond" w:eastAsia="Garamond" w:hAnsi="Garamond"/>
          <w:b/>
          <w:bCs/>
          <w:sz w:val="22"/>
          <w:szCs w:val="22"/>
        </w:rPr>
        <w:t xml:space="preserve">Depends on:</w:t>
      </w:r>
      <w:r>
        <w:rPr>
          <w:rFonts w:ascii="Garamond" w:cs="Garamond" w:eastAsia="Garamond" w:hAnsi="Garamond"/>
          <w:sz w:val="22"/>
          <w:szCs w:val="22"/>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Garamond" w:cs="Garamond" w:eastAsia="Garamond" w:hAnsi="Garamond"/>
          <w:b/>
          <w:bCs/>
          <w:sz w:val="22"/>
          <w:szCs w:val="22"/>
        </w:rPr>
        <w:t xml:space="preserve">What depends on it:</w:t>
      </w:r>
      <w:r>
        <w:rPr>
          <w:rFonts w:ascii="Garamond" w:cs="Garamond" w:eastAsia="Garamond" w:hAnsi="Garamond"/>
          <w:sz w:val="22"/>
          <w:szCs w:val="22"/>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six switches. Adoption is a coordinated amendment sequenced by an update table, in the discipline the corpus already uses — not a patch, and not before the author’s ruling.</w:t>
      </w:r>
    </w:p>
    <w:p>
      <w:pPr>
        <w:pStyle w:val="Heading1"/>
        <w:spacing w:after="160" w:before="320"/>
      </w:pPr>
      <w:r>
        <w:rPr>
          <w:rFonts w:ascii="Garamond" w:cs="Garamond" w:eastAsia="Garamond" w:hAnsi="Garamond"/>
          <w:b/>
          <w:bCs/>
          <w:color w:val="000000"/>
          <w:sz w:val="28"/>
          <w:szCs w:val="28"/>
        </w:rPr>
        <w:t xml:space="preserve">Claim Summary</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Every persisting configuration has a unique first record; the arena’s is the break. DERIVED.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A constitution instant’s ε is held as the persistence commitment; every later instant’s ε is shed as leakage. DERIVED — structural register; formalisation owed (D-CCC.1).</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The exponent counts arenas; matter’s commitments are already booked as mass (AP29). DERIVED; Corollary DERIVED; guarded by KS-CCC.2.</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α_G∗ = α_G / (1 + ε): form DERIVED; the value ε = α_em SELECTED AMONG STRUCTURAL CANDIDATES, argued from the coupling denomination, booked as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The arena’s commitment lives in the arena’s coupling — forced by AP28 §2’s own mapping; the two-home elimination retained as corroboration. DERIVED.</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Contribution (1 + 1/π) and commitment 1/(1 + ε): an extension of AP24’s licence, stated as such, supported by the strata of §8’s graph. STRUCTURAL — EXTENSION;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Ten vertices, twenty-one edges of AP28’s proven graph; constitution at nodes, flow along edges. DERIVED count; MOTIVATED assignment;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G = 6.6719 × 10⁻¹¹; residual −0.036%, sign flipped, reported open; the landing reported as non-exclusion, not evidence. EMPIRICAL.</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Data eliminates; data never generates. Demanded fraction 0.951 (quotient convention); 20/21 at −12 ppm and 17/18 at +45 ppm recorded and refused. METHOD.</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The scatter-signature inconsistency stated in internal form and resolved by division of labour; the normalisations excluded by sign. STRUCTURAL PLACEMENT.</w:t>
      </w:r>
    </w:p>
    <w:p>
      <w:pPr>
        <w:pStyle w:val="Heading1"/>
        <w:spacing w:after="160" w:before="320"/>
      </w:pPr>
      <w:r>
        <w:rPr>
          <w:rFonts w:ascii="Garamond" w:cs="Garamond" w:eastAsia="Garamond" w:hAnsi="Garamond"/>
          <w:b/>
          <w:bCs/>
          <w:color w:val="000000"/>
          <w:sz w:val="28"/>
          <w:szCs w:val="28"/>
        </w:rPr>
        <w:t xml:space="preserve">Conditionality Footer</w:t>
      </w:r>
    </w:p>
    <w:p>
      <w:pPr>
        <w:pStyle w:val="Heading2"/>
        <w:spacing w:after="120" w:before="240"/>
      </w:pPr>
      <w:r>
        <w:rPr>
          <w:rFonts w:ascii="Garamond" w:cs="Garamond" w:eastAsia="Garamond" w:hAnsi="Garamond"/>
          <w:b/>
          <w:bCs/>
          <w:color w:val="000000"/>
          <w:sz w:val="24"/>
          <w:szCs w:val="24"/>
        </w:rPr>
        <w:t xml:space="preserve">Dependencies</w:t>
      </w:r>
    </w:p>
    <w:p>
      <w:pPr>
        <w:spacing w:after="160" w:line="276"/>
        <w:jc w:val="both"/>
      </w:pPr>
      <w:r>
        <w:rPr>
          <w:rFonts w:ascii="Garamond" w:cs="Garamond" w:eastAsia="Garamond" w:hAnsi="Garamond"/>
          <w:sz w:val="22"/>
          <w:szCs w:val="22"/>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120" w:before="240"/>
      </w:pPr>
      <w:r>
        <w:rPr>
          <w:rFonts w:ascii="Garamond" w:cs="Garamond" w:eastAsia="Garamond" w:hAnsi="Garamond"/>
          <w:b/>
          <w:bCs/>
          <w:color w:val="000000"/>
          <w:sz w:val="24"/>
          <w:szCs w:val="24"/>
        </w:rPr>
        <w:t xml:space="preserve">Dependents</w:t>
      </w:r>
    </w:p>
    <w:p>
      <w:pPr>
        <w:spacing w:after="160" w:line="276"/>
        <w:jc w:val="both"/>
      </w:pPr>
      <w:r>
        <w:rPr>
          <w:rFonts w:ascii="Garamond" w:cs="Garamond" w:eastAsia="Garamond" w:hAnsi="Garamond"/>
          <w:sz w:val="22"/>
          <w:szCs w:val="22"/>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120" w:before="240"/>
      </w:pPr>
      <w:r>
        <w:rPr>
          <w:rFonts w:ascii="Garamond" w:cs="Garamond" w:eastAsia="Garamond" w:hAnsi="Garamond"/>
          <w:b/>
          <w:bCs/>
          <w:color w:val="000000"/>
          <w:sz w:val="24"/>
          <w:szCs w:val="24"/>
        </w:rPr>
        <w:t xml:space="preserve">Kill switches engaged</w:t>
      </w:r>
    </w:p>
    <w:p>
      <w:pPr>
        <w:spacing w:after="160" w:line="276"/>
        <w:jc w:val="both"/>
      </w:pPr>
      <w:r>
        <w:rPr>
          <w:rFonts w:ascii="Garamond" w:cs="Garamond" w:eastAsia="Garamond" w:hAnsi="Garamond"/>
          <w:sz w:val="22"/>
          <w:szCs w:val="22"/>
        </w:rPr>
        <w:t xml:space="preserve">KS-CCC.1 (forced magnitude, LIVE — METHODOLOGICAL). KS-CCC.2 (mass-side drift, LIVE — STRUCTURAL/EMPIRICAL). KS-CCC.3 (existence and direction, LIVE — EMPIRICAL). KS-CCC.4 (discriminator, LIVE — EMPIRICAL). KS-CCC.5 (held not shed, LIVE — STRUCTURAL). KS-CCC.6 (single entry, LIVE — STRUCTURAL, coupled to KS-R.9).</w:t>
      </w:r>
    </w:p>
    <w:p>
      <w:pPr>
        <w:pStyle w:val="Heading2"/>
        <w:spacing w:after="120" w:before="240"/>
      </w:pPr>
      <w:r>
        <w:rPr>
          <w:rFonts w:ascii="Garamond" w:cs="Garamond" w:eastAsia="Garamond" w:hAnsi="Garamond"/>
          <w:b/>
          <w:bCs/>
          <w:color w:val="000000"/>
          <w:sz w:val="24"/>
          <w:szCs w:val="24"/>
        </w:rPr>
        <w:t xml:space="preserve">Structural debts owed</w:t>
      </w:r>
    </w:p>
    <w:p>
      <w:pPr>
        <w:spacing w:after="160" w:line="276"/>
        <w:jc w:val="both"/>
      </w:pPr>
      <w:r>
        <w:rPr>
          <w:rFonts w:ascii="Garamond" w:cs="Garamond" w:eastAsia="Garamond" w:hAnsi="Garamond"/>
          <w:sz w:val="22"/>
          <w:szCs w:val="22"/>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120" w:before="240"/>
      </w:pPr>
      <w:r>
        <w:rPr>
          <w:rFonts w:ascii="Garamond" w:cs="Garamond" w:eastAsia="Garamond" w:hAnsi="Garamond"/>
          <w:b/>
          <w:bCs/>
          <w:color w:val="000000"/>
          <w:sz w:val="24"/>
          <w:szCs w:val="24"/>
        </w:rPr>
        <w:t xml:space="preserve">Items held open without claiming debt status</w:t>
      </w:r>
    </w:p>
    <w:p>
      <w:pPr>
        <w:spacing w:after="160" w:line="276"/>
        <w:jc w:val="both"/>
      </w:pPr>
      <w:r>
        <w:rPr>
          <w:rFonts w:ascii="Garamond" w:cs="Garamond" w:eastAsia="Garamond" w:hAnsi="Garamond"/>
          <w:sz w:val="22"/>
          <w:szCs w:val="22"/>
        </w:rPr>
        <w:t xml:space="preserve">Attribution of the −0.036% residual. The ε²-order difference between quotient and shadow (53 ppm). The empirical silence of the vertex distribution (24 ppm). The adoption update table, owed on adoption.</w:t>
      </w:r>
    </w:p>
    <w:p>
      <w:pPr>
        <w:pStyle w:val="Heading1"/>
        <w:spacing w:after="160" w:before="320"/>
      </w:pPr>
      <w:r>
        <w:rPr>
          <w:rFonts w:ascii="Garamond" w:cs="Garamond" w:eastAsia="Garamond" w:hAnsi="Garamond"/>
          <w:b/>
          <w:bCs/>
          <w:color w:val="000000"/>
          <w:sz w:val="28"/>
          <w:szCs w:val="28"/>
        </w:rPr>
        <w:t xml:space="preserve">Notation Reference</w:t>
      </w:r>
    </w:p>
    <w:p>
      <w:pPr>
        <w:spacing w:after="160" w:line="276"/>
        <w:jc w:val="both"/>
      </w:pPr>
      <w:r>
        <w:rPr>
          <w:rFonts w:ascii="Garamond" w:cs="Garamond" w:eastAsia="Garamond" w:hAnsi="Garamond"/>
          <w:b/>
          <w:bCs/>
          <w:sz w:val="22"/>
          <w:szCs w:val="22"/>
        </w:rPr>
        <w:t xml:space="preserve">1:1 + 1×ε @ AS</w:t>
      </w:r>
      <w:r>
        <w:rPr>
          <w:rFonts w:ascii="Garamond" w:cs="Garamond" w:eastAsia="Garamond" w:hAnsi="Garamond"/>
          <w:sz w:val="22"/>
          <w:szCs w:val="22"/>
        </w:rPr>
        <w:t xml:space="preserve">  —  The axiom. The balance, the one unpaired element, read at the Actualization State.</w:t>
      </w:r>
    </w:p>
    <w:p>
      <w:pPr>
        <w:spacing w:after="160" w:line="276"/>
        <w:jc w:val="both"/>
      </w:pPr>
      <w:r>
        <w:rPr>
          <w:rFonts w:ascii="Garamond" w:cs="Garamond" w:eastAsia="Garamond" w:hAnsi="Garamond"/>
          <w:b/>
          <w:bCs/>
          <w:sz w:val="22"/>
          <w:szCs w:val="22"/>
        </w:rPr>
        <w:t xml:space="preserve">ε</w:t>
      </w:r>
      <w:r>
        <w:rPr>
          <w:rFonts w:ascii="Garamond" w:cs="Garamond" w:eastAsia="Garamond" w:hAnsi="Garamond"/>
          <w:sz w:val="22"/>
          <w:szCs w:val="22"/>
        </w:rPr>
        <w:t xml:space="preserve">  —  The unique unpaired element of Axiom B. Its value in the quotient, α_em, is a selection among AP06’s open domain family (§5; D-CCC.4).</w:t>
      </w:r>
    </w:p>
    <w:p>
      <w:pPr>
        <w:spacing w:after="160" w:line="276"/>
        <w:jc w:val="both"/>
      </w:pPr>
      <w:r>
        <w:rPr>
          <w:rFonts w:ascii="Garamond" w:cs="Garamond" w:eastAsia="Garamond" w:hAnsi="Garamond"/>
          <w:b/>
          <w:bCs/>
          <w:sz w:val="22"/>
          <w:szCs w:val="22"/>
        </w:rPr>
        <w:t xml:space="preserve">α_em</w:t>
      </w:r>
      <w:r>
        <w:rPr>
          <w:rFonts w:ascii="Garamond" w:cs="Garamond" w:eastAsia="Garamond" w:hAnsi="Garamond"/>
          <w:sz w:val="22"/>
          <w:szCs w:val="22"/>
        </w:rPr>
        <w:t xml:space="preserve">  —  The fine-structure constant ≈ 1/137.036. The per-channel coupling (AP28 Proposition 5) and the leakage rate (AP06).</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structural (provisioned) gravitational coupling, α_em²¹ × (1 + 1/π) (AP28).</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realised gravitational coupling, α_G / (1 + ε). Introduced in this paper.</w:t>
      </w:r>
    </w:p>
    <w:p>
      <w:pPr>
        <w:spacing w:after="160" w:line="276"/>
        <w:jc w:val="both"/>
      </w:pPr>
      <w:r>
        <w:rPr>
          <w:rFonts w:ascii="Garamond" w:cs="Garamond" w:eastAsia="Garamond" w:hAnsi="Garamond"/>
          <w:b/>
          <w:bCs/>
          <w:sz w:val="22"/>
          <w:szCs w:val="22"/>
        </w:rPr>
        <w:t xml:space="preserve">κ, κ∗</w:t>
      </w:r>
      <w:r>
        <w:rPr>
          <w:rFonts w:ascii="Garamond" w:cs="Garamond" w:eastAsia="Garamond" w:hAnsi="Garamond"/>
          <w:sz w:val="22"/>
          <w:szCs w:val="22"/>
        </w:rPr>
        <w:t xml:space="preserve">  —  The holding limit and its realised value, κ∗ = α_G∗ ℏc / 2.</w:t>
      </w:r>
    </w:p>
    <w:p>
      <w:pPr>
        <w:spacing w:after="160" w:line="276"/>
        <w:jc w:val="both"/>
      </w:pPr>
      <w:r>
        <w:rPr>
          <w:rFonts w:ascii="Garamond" w:cs="Garamond" w:eastAsia="Garamond" w:hAnsi="Garamond"/>
          <w:b/>
          <w:bCs/>
          <w:sz w:val="22"/>
          <w:szCs w:val="22"/>
        </w:rPr>
        <w:t xml:space="preserve">G</w:t>
      </w:r>
      <w:r>
        <w:rPr>
          <w:rFonts w:ascii="Garamond" w:cs="Garamond" w:eastAsia="Garamond" w:hAnsi="Garamond"/>
          <w:sz w:val="22"/>
          <w:szCs w:val="22"/>
        </w:rPr>
        <w:t xml:space="preserve">  —  Newton’s constant. Realised: G = α_G∗ ℏc / m_e² = 6.6719 × 10⁻¹¹ N·m²/kg².</w:t>
      </w:r>
    </w:p>
    <w:p>
      <w:pPr>
        <w:spacing w:after="160" w:line="276"/>
        <w:jc w:val="both"/>
      </w:pPr>
      <w:r>
        <w:rPr>
          <w:rFonts w:ascii="Garamond" w:cs="Garamond" w:eastAsia="Garamond" w:hAnsi="Garamond"/>
          <w:b/>
          <w:bCs/>
          <w:sz w:val="22"/>
          <w:szCs w:val="22"/>
        </w:rPr>
        <w:t xml:space="preserve">snap / The Snap</w:t>
      </w:r>
      <w:r>
        <w:rPr>
          <w:rFonts w:ascii="Garamond" w:cs="Garamond" w:eastAsia="Garamond" w:hAnsi="Garamond"/>
          <w:sz w:val="22"/>
          <w:szCs w:val="22"/>
        </w:rPr>
        <w:t xml:space="preserve">  —  A constitution event; capitalised, the arena’s own — the original break, the first record of all.</w:t>
      </w:r>
    </w:p>
    <w:p>
      <w:pPr>
        <w:spacing w:after="160" w:line="276"/>
        <w:jc w:val="both"/>
      </w:pPr>
      <w:r>
        <w:rPr>
          <w:rFonts w:ascii="Garamond" w:cs="Garamond" w:eastAsia="Garamond" w:hAnsi="Garamond"/>
          <w:b/>
          <w:bCs/>
          <w:sz w:val="22"/>
          <w:szCs w:val="22"/>
        </w:rPr>
        <w:t xml:space="preserve">commitment (CCC)</w:t>
      </w:r>
      <w:r>
        <w:rPr>
          <w:rFonts w:ascii="Garamond" w:cs="Garamond" w:eastAsia="Garamond" w:hAnsi="Garamond"/>
          <w:sz w:val="22"/>
          <w:szCs w:val="22"/>
        </w:rPr>
        <w:t xml:space="preserve">  —  The arena’s constitution ε, held once as the price of the arena’s persistence. G-denominated.</w:t>
      </w:r>
    </w:p>
    <w:p>
      <w:pPr>
        <w:spacing w:after="160" w:line="276"/>
        <w:jc w:val="both"/>
      </w:pPr>
      <w:r>
        <w:rPr>
          <w:rFonts w:ascii="Garamond" w:cs="Garamond" w:eastAsia="Garamond" w:hAnsi="Garamond"/>
          <w:b/>
          <w:bCs/>
          <w:sz w:val="22"/>
          <w:szCs w:val="22"/>
        </w:rPr>
        <w:t xml:space="preserve">leakage (TLC)</w:t>
      </w:r>
      <w:r>
        <w:rPr>
          <w:rFonts w:ascii="Garamond" w:cs="Garamond" w:eastAsia="Garamond" w:hAnsi="Garamond"/>
          <w:sz w:val="22"/>
          <w:szCs w:val="22"/>
        </w:rPr>
        <w:t xml:space="preserve">  —  Every subsequent instant’s ε, shed at the boundary. c-denominated (AP06).</w:t>
      </w:r>
    </w:p>
    <w:p>
      <w:pPr>
        <w:spacing w:after="160" w:line="276"/>
        <w:jc w:val="both"/>
      </w:pPr>
      <w:r>
        <w:rPr>
          <w:rFonts w:ascii="Garamond" w:cs="Garamond" w:eastAsia="Garamond" w:hAnsi="Garamond"/>
          <w:b/>
          <w:bCs/>
          <w:sz w:val="22"/>
          <w:szCs w:val="22"/>
        </w:rPr>
        <w:t xml:space="preserve">provisioned / realised</w:t>
      </w:r>
      <w:r>
        <w:rPr>
          <w:rFonts w:ascii="Garamond" w:cs="Garamond" w:eastAsia="Garamond" w:hAnsi="Garamond"/>
          <w:sz w:val="22"/>
          <w:szCs w:val="22"/>
        </w:rPr>
        <w:t xml:space="preserve">  —  The axiom’s two totals: 1:1 + 1×ε, and the persisting 1:1.</w:t>
      </w:r>
    </w:p>
    <w:p>
      <w:pPr>
        <w:spacing w:after="160" w:line="276"/>
        <w:jc w:val="both"/>
      </w:pPr>
      <w:r>
        <w:rPr>
          <w:rFonts w:ascii="Garamond" w:cs="Garamond" w:eastAsia="Garamond" w:hAnsi="Garamond"/>
          <w:b/>
          <w:bCs/>
          <w:sz w:val="22"/>
          <w:szCs w:val="22"/>
        </w:rPr>
        <w:t xml:space="preserve">vertex / edge</w:t>
      </w:r>
      <w:r>
        <w:rPr>
          <w:rFonts w:ascii="Garamond" w:cs="Garamond" w:eastAsia="Garamond" w:hAnsi="Garamond"/>
          <w:sz w:val="22"/>
          <w:szCs w:val="22"/>
        </w:rPr>
        <w:t xml:space="preserve">  —  The two counts of AP28’s proven coupling graph: 6 + 3 + 1 = 10 vertices; 18 + 3 = 21 edges.</w:t>
      </w:r>
    </w:p>
    <w:p>
      <w:pPr>
        <w:spacing w:after="160" w:line="276"/>
        <w:jc w:val="both"/>
      </w:pPr>
      <w:r>
        <w:rPr>
          <w:rFonts w:ascii="Garamond" w:cs="Garamond" w:eastAsia="Garamond" w:hAnsi="Garamond"/>
          <w:b/>
          <w:bCs/>
          <w:sz w:val="22"/>
          <w:szCs w:val="22"/>
        </w:rPr>
        <w:t xml:space="preserve">Actualization State (AS)</w:t>
      </w:r>
      <w:r>
        <w:rPr>
          <w:rFonts w:ascii="Garamond" w:cs="Garamond" w:eastAsia="Garamond" w:hAnsi="Garamond"/>
          <w:sz w:val="22"/>
          <w:szCs w:val="22"/>
        </w:rPr>
        <w:t xml:space="preserve">  —  The actualising now: the surface from which records are written (AP01).</w:t>
      </w:r>
    </w:p>
    <w:p>
      <w:pPr>
        <w:spacing w:after="200"/>
      </w:pPr>
    </w:p>
    <w:p>
      <w:pPr>
        <w:spacing w:after="60"/>
        <w:jc w:val="center"/>
      </w:pPr>
      <w:r>
        <w:rPr>
          <w:rFonts w:ascii="Garamond" w:cs="Garamond" w:eastAsia="Garamond" w:hAnsi="Garamond"/>
          <w:b w:val="false"/>
          <w:bCs w:val="false"/>
          <w:i/>
          <w:iCs/>
          <w:sz w:val="20"/>
          <w:szCs w:val="20"/>
        </w:rPr>
        <w:t xml:space="preserve">This work is published for free, forever.</w:t>
      </w:r>
    </w:p>
    <w:p>
      <w:pPr>
        <w:spacing w:after="0"/>
        <w:jc w:val="center"/>
      </w:pPr>
      <w:r>
        <w:rPr>
          <w:rFonts w:ascii="Garamond" w:cs="Garamond" w:eastAsia="Garamond" w:hAnsi="Garamond"/>
          <w:b w:val="false"/>
          <w:bCs w:val="false"/>
          <w:i/>
          <w:iCs/>
          <w:sz w:val="20"/>
          <w:szCs w:val="20"/>
        </w:rPr>
        <w:t xml:space="preserve">End of The Snap. Draft v0.2 — unlocked.</w:t>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2026-08-10T19:06:40.827Z</dcterms:created>
  <dcterms:modified xsi:type="dcterms:W3CDTF">2026-08-10T19:06:40.848Z</dcterms:modified>
</cp:coreProperties>
</file>

<file path=docProps/custom.xml><?xml version="1.0" encoding="utf-8"?>
<Properties xmlns="http://schemas.openxmlformats.org/officeDocument/2006/custom-properties" xmlns:vt="http://schemas.openxmlformats.org/officeDocument/2006/docPropsVTypes"/>
</file>