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50"/>
        <w:jc w:val="center"/>
      </w:pPr>
      <w:r>
        <w:rPr>
          <w:rFonts w:ascii="Garamond" w:cs="Garamond" w:eastAsia="Garamond" w:hAnsi="Garamond"/>
          <w:b w:val="false"/>
          <w:bCs w:val="false"/>
          <w:i/>
          <w:iCs/>
          <w:sz w:val="20"/>
          <w:szCs w:val="20"/>
        </w:rPr>
        <w:t xml:space="preserve">[ Eye of the Universe ]</w:t>
      </w:r>
    </w:p>
    <w:p>
      <w:pPr>
        <w:spacing w:after="160"/>
        <w:jc w:val="center"/>
      </w:pPr>
      <w:r>
        <w:rPr>
          <w:rFonts w:ascii="Garamond" w:cs="Garamond" w:eastAsia="Garamond" w:hAnsi="Garamond"/>
          <w:b w:val="false"/>
          <w:bCs w:val="false"/>
          <w:i/>
          <w:iCs/>
          <w:sz w:val="20"/>
          <w:szCs w:val="20"/>
        </w:rPr>
        <w:t xml:space="preserve">The 420 Code</w:t>
      </w:r>
    </w:p>
    <w:p>
      <w:pPr>
        <w:spacing w:after="60"/>
        <w:jc w:val="center"/>
      </w:pPr>
      <w:r>
        <w:rPr>
          <w:rFonts w:ascii="Garamond" w:cs="Garamond" w:eastAsia="Garamond" w:hAnsi="Garamond"/>
          <w:b/>
          <w:bCs/>
          <w:i w:val="false"/>
          <w:iCs w:val="false"/>
          <w:sz w:val="26"/>
          <w:szCs w:val="26"/>
        </w:rPr>
        <w:t xml:space="preserve">Working Paper WP-CCC.1</w:t>
      </w:r>
    </w:p>
    <w:p>
      <w:pPr>
        <w:spacing w:after="90"/>
        <w:jc w:val="center"/>
      </w:pPr>
      <w:r>
        <w:rPr>
          <w:rFonts w:ascii="Garamond" w:cs="Garamond" w:eastAsia="Garamond" w:hAnsi="Garamond"/>
          <w:b/>
          <w:bCs/>
          <w:i w:val="false"/>
          <w:iCs w:val="false"/>
          <w:sz w:val="34"/>
          <w:szCs w:val="34"/>
        </w:rPr>
        <w:t xml:space="preserve">Appendix C — Tier 1 Execution</w:t>
      </w:r>
    </w:p>
    <w:p>
      <w:pPr>
        <w:spacing w:after="60"/>
        <w:jc w:val="center"/>
      </w:pPr>
      <w:r>
        <w:rPr>
          <w:rFonts w:ascii="Garamond" w:cs="Garamond" w:eastAsia="Garamond" w:hAnsi="Garamond"/>
          <w:b w:val="false"/>
          <w:bCs w:val="false"/>
          <w:i/>
          <w:iCs/>
          <w:sz w:val="21"/>
          <w:szCs w:val="21"/>
        </w:rPr>
        <w:t xml:space="preserve">The published-data test of Candidates 1 and 3 for the 0.69%</w:t>
      </w:r>
    </w:p>
    <w:p>
      <w:pPr>
        <w:spacing w:after="60"/>
        <w:jc w:val="center"/>
      </w:pPr>
      <w:r>
        <w:rPr>
          <w:rFonts w:ascii="Garamond" w:cs="Garamond" w:eastAsia="Garamond" w:hAnsi="Garamond"/>
          <w:b w:val="false"/>
          <w:bCs w:val="false"/>
          <w:i/>
          <w:iCs/>
          <w:sz w:val="19"/>
          <w:szCs w:val="19"/>
        </w:rPr>
        <w:t xml:space="preserve">Executed under KS-CCC.4 · The Snap, Draft v0.2 · Ø Predictions Part II, Appendix C</w:t>
      </w:r>
    </w:p>
    <w:p>
      <w:pPr>
        <w:spacing w:after="140"/>
        <w:jc w:val="center"/>
      </w:pPr>
      <w:r>
        <w:rPr>
          <w:rFonts w:ascii="Garamond" w:cs="Garamond" w:eastAsia="Garamond" w:hAnsi="Garamond"/>
          <w:b w:val="false"/>
          <w:bCs w:val="false"/>
          <w:i/>
          <w:iCs/>
          <w:sz w:val="20"/>
          <w:szCs w:val="20"/>
        </w:rPr>
        <w:t xml:space="preserve">Studio G, Strand, Cape Town · 2026</w:t>
      </w:r>
    </w:p>
    <w:p>
      <w:pPr>
        <w:spacing w:after="60"/>
        <w:jc w:val="center"/>
      </w:pPr>
      <w:r>
        <w:rPr>
          <w:rFonts w:ascii="Garamond" w:cs="Garamond" w:eastAsia="Garamond" w:hAnsi="Garamond"/>
          <w:b w:val="false"/>
          <w:bCs w:val="false"/>
          <w:i/>
          <w:iCs/>
          <w:sz w:val="17"/>
          <w:szCs w:val="17"/>
        </w:rPr>
        <w:t xml:space="preserve">Status: internal working paper, pre-adoption. Not for circulation before the v0.2 ruling and canon sync.</w:t>
      </w:r>
    </w:p>
    <w:p>
      <w:pPr>
        <w:spacing w:after="220"/>
        <w:jc w:val="center"/>
      </w:pPr>
      <w:r>
        <w:rPr>
          <w:rFonts w:ascii="Garamond" w:cs="Garamond" w:eastAsia="Garamond" w:hAnsi="Garamond"/>
          <w:b w:val="false"/>
          <w:bCs w:val="false"/>
          <w:i/>
          <w:iCs/>
          <w:sz w:val="16"/>
          <w:szCs w:val="16"/>
        </w:rPr>
        <w:t xml:space="preserve">Rev 1.4 — the strain factor stated exact (27.4; 12.6 against the outer bound), per the author’s correction to the unblinding key; seventeen-point Birge 3.53 noted. Rev 1.1–1.3 retained.</w:t>
      </w:r>
    </w:p>
    <w:p>
      <w:pPr>
        <w:pStyle w:val="Heading1"/>
        <w:spacing w:after="130" w:before="280"/>
      </w:pPr>
      <w:r>
        <w:rPr>
          <w:rFonts w:ascii="Garamond" w:cs="Garamond" w:eastAsia="Garamond" w:hAnsi="Garamond"/>
          <w:b/>
          <w:bCs/>
          <w:color w:val="000000"/>
          <w:sz w:val="26"/>
          <w:szCs w:val="26"/>
        </w:rPr>
        <w:t xml:space="preserve">0 — What this is, and what it is not</w:t>
      </w:r>
    </w:p>
    <w:p>
      <w:pPr>
        <w:spacing w:after="140" w:line="264"/>
        <w:jc w:val="both"/>
      </w:pPr>
      <w:r>
        <w:rPr>
          <w:rFonts w:ascii="Garamond" w:cs="Garamond" w:eastAsia="Garamond" w:hAnsi="Garamond"/>
          <w:sz w:val="21"/>
          <w:szCs w:val="21"/>
        </w:rPr>
        <w:t xml:space="preserve">Ø Predictions Part II holds the 0.69% gap between AP28’s structural G and the measured value open between two candidates, and its Appendix C proposes the experiment that would decide: characterise every published high-precision G apparatus by its boundary geometry and test the leakage correlation. The Snap (Draft v0.2) enters a third candidate and binds itself to that experiment through KS-CCC.4: under Candidate 1, apparatus corrections must come out near the gap scale (~6,900 ppm) and correlate; under Candidate 3, at scatter scale (hundreds of ppm at most).</w:t>
      </w:r>
    </w:p>
    <w:p>
      <w:pPr>
        <w:spacing w:after="140" w:line="264"/>
        <w:jc w:val="both"/>
      </w:pPr>
      <w:r>
        <w:rPr>
          <w:rFonts w:ascii="Garamond" w:cs="Garamond" w:eastAsia="Garamond" w:hAnsi="Garamond"/>
          <w:sz w:val="21"/>
          <w:szCs w:val="21"/>
        </w:rPr>
        <w:t xml:space="preserve">This paper executes the first tier of that proposal — everything decidable from published values, published method classes, and the natural calibration experiments the record already contains — and pre-registers the second tier. What it deliberately does not do: score each apparatus’s boundary geometry retroactively. A closure scale invented while the values are visible cannot be pre-registered, and a correlation computed against it would be §10’s sin performed with statistics. Tier 2 defines the blind protocol instead (§7). All statistics here are descriptive, not a formal adjustment: several inputs are correlated (shared laboratories, shared apparatus), and no consensus value is being recommended.</w:t>
      </w:r>
    </w:p>
    <w:p>
      <w:pPr>
        <w:spacing w:after="140" w:line="264"/>
        <w:jc w:val="both"/>
      </w:pPr>
      <w:r>
        <w:rPr>
          <w:rFonts w:ascii="Garamond" w:cs="Garamond" w:eastAsia="Garamond" w:hAnsi="Garamond"/>
          <w:sz w:val="21"/>
          <w:szCs w:val="21"/>
        </w:rPr>
        <w:t xml:space="preserve">Revision 1.1 incorporates four corrections from independent review, adopted after verification: the between-class variance statistic of §4.2 was inflated by singleton classes and is replaced by a proper one-way ANOVA; the anelasticity mechanism of §4.5 is restated as already spent inside the CODATA input values; §4.4 now quantifies how little the BIPM story relieves the residual; and HUST-05 is reconciled to the current CODATA table. None of the four changes the verdict; all four change what the verdict is allowed to lean on.</w:t>
      </w:r>
    </w:p>
    <w:p>
      <w:pPr>
        <w:pStyle w:val="Heading1"/>
        <w:spacing w:after="130" w:before="280"/>
      </w:pPr>
      <w:r>
        <w:rPr>
          <w:rFonts w:ascii="Garamond" w:cs="Garamond" w:eastAsia="Garamond" w:hAnsi="Garamond"/>
          <w:b/>
          <w:bCs/>
          <w:color w:val="000000"/>
          <w:sz w:val="26"/>
          <w:szCs w:val="26"/>
        </w:rPr>
        <w:t xml:space="preserve">1 — The question, sharpened to one observable</w:t>
      </w:r>
    </w:p>
    <w:p>
      <w:pPr>
        <w:spacing w:after="140" w:line="264"/>
        <w:jc w:val="both"/>
      </w:pPr>
      <w:r>
        <w:rPr>
          <w:rFonts w:ascii="Garamond" w:cs="Garamond" w:eastAsia="Garamond" w:hAnsi="Garamond"/>
          <w:sz w:val="21"/>
          <w:szCs w:val="21"/>
        </w:rPr>
        <w:t xml:space="preserve">Candidate 1 requires every laboratory’s reading to sit below the structural value by its own apparatus leakage: G_i = G_struct × (1 − η_i), with η_i a physical property of boundary geometry (AP06). Candidate 3 requires a universal factor 1/(1 + ε) with apparatus effects only at their honest, demonstrated size. The two candidates therefore separate on a single observable that published data already constrains: </w:t>
      </w:r>
      <w:r>
        <w:rPr>
          <w:rFonts w:ascii="Garamond" w:cs="Garamond" w:eastAsia="Garamond" w:hAnsi="Garamond"/>
          <w:b/>
          <w:bCs/>
          <w:sz w:val="21"/>
          <w:szCs w:val="21"/>
        </w:rPr>
        <w:t xml:space="preserve">the demonstrated scale of apparatus-dependent systematics in G metrology.</w:t>
      </w:r>
      <w:r>
        <w:rPr>
          <w:rFonts w:ascii="Garamond" w:cs="Garamond" w:eastAsia="Garamond" w:hAnsi="Garamond"/>
          <w:sz w:val="21"/>
          <w:szCs w:val="21"/>
        </w:rPr>
        <w:t xml:space="preserve"> If that scale is near 6,900 ppm, Candidate 1 lives. If it is at hundreds of ppm, Candidate 1 must make an apparatus-dependent effect be almost entirely apparatus-independent — which is a contradiction wearing a lab coat.</w:t>
      </w:r>
    </w:p>
    <w:p>
      <w:pPr>
        <w:pStyle w:val="Heading1"/>
        <w:spacing w:after="130" w:before="280"/>
      </w:pPr>
      <w:r>
        <w:rPr>
          <w:rFonts w:ascii="Garamond" w:cs="Garamond" w:eastAsia="Garamond" w:hAnsi="Garamond"/>
          <w:b/>
          <w:bCs/>
          <w:color w:val="000000"/>
          <w:sz w:val="26"/>
          <w:szCs w:val="26"/>
        </w:rPr>
        <w:t xml:space="preserve">2 — The dataset</w:t>
      </w:r>
    </w:p>
    <w:p>
      <w:pPr>
        <w:spacing w:after="140" w:line="264"/>
        <w:jc w:val="both"/>
      </w:pPr>
      <w:r>
        <w:rPr>
          <w:rFonts w:ascii="Garamond" w:cs="Garamond" w:eastAsia="Garamond" w:hAnsi="Garamond"/>
          <w:sz w:val="21"/>
          <w:szCs w:val="21"/>
        </w:rPr>
        <w:t xml:space="preserve">Seventeen determinations: the sixteen input data of the CODATA 2018 and 2022 adjustments (no new inputs were available for 2022; the JILA 2010 result is superseded by its 2019 correction, JILA-18), plus the one determination published since — NIST-26, the first replication of a high-precision G experiment, performed on the original BIPM torsion balance relocated to NIST (Schlamminger et al., Metrologia 63, 025012, April 2026). Values and uncertainties are taken from the CODATA 2010 input table, the CODATA 2022 input table, and the NIST-26 paper; UCI-14 is confirmed via the CODATA table and its published relative uncertainty; HUST-05 is carried at the corrected 6.672 22(87) of the CODATA 2014–2022 input tables and the Merkatas et al. table — the CODATA 2010 table prints 6.672 28, a nine-ppm difference immaterial to every statistic below. Known correlations (NIST-82/LANL-97; HUST-05/HUST-09; the HUST-18 pair) are noted and not modelled. Method classes follow the literature’s own taxonomy.</w:t>
      </w:r>
    </w:p>
    <w:tbl>
      <w:tblPr>
        <w:tblW w:type="dxa" w:w="6480"/>
        <w:tblBorders>
          <w:top w:val="single" w:color="auto" w:sz="4"/>
          <w:left w:val="single" w:color="auto" w:sz="4"/>
          <w:bottom w:val="single" w:color="auto" w:sz="4"/>
          <w:right w:val="single" w:color="auto" w:sz="4"/>
          <w:insideH w:val="single" w:color="auto" w:sz="4"/>
          <w:insideV w:val="single" w:color="auto" w:sz="4"/>
        </w:tblBorders>
      </w:tblPr>
      <w:tblGrid>
        <w:gridCol w:w="1150"/>
        <w:gridCol w:w="640"/>
        <w:gridCol w:w="1180"/>
        <w:gridCol w:w="900"/>
        <w:gridCol w:w="700"/>
        <w:gridCol w:w="1910"/>
      </w:tblGrid>
      <w:tr>
        <w:tc>
          <w:tcPr>
            <w:tcW w:type="auto" w:w="0"/>
            <w:shd w:fill="EFEBE3" w:val="clear"/>
            <w:tcMar>
              <w:top w:type="dxa" w:w="40"/>
              <w:left w:type="dxa" w:w="80"/>
              <w:bottom w:type="dxa" w:w="40"/>
              <w:right w:type="dxa" w:w="80"/>
            </w:tcMar>
          </w:tcPr>
          <w:p>
            <w:pPr>
              <w:spacing w:after="0"/>
            </w:pPr>
            <w:r>
              <w:rPr>
                <w:rFonts w:ascii="Garamond" w:cs="Garamond" w:eastAsia="Garamond" w:hAnsi="Garamond"/>
                <w:b/>
                <w:bCs/>
                <w:sz w:val="17"/>
                <w:szCs w:val="17"/>
              </w:rPr>
              <w:t xml:space="preserve">ID</w:t>
            </w:r>
          </w:p>
        </w:tc>
        <w:tc>
          <w:tcPr>
            <w:tcW w:type="auto" w:w="0"/>
            <w:shd w:fill="EFEBE3" w:val="clear"/>
            <w:tcMar>
              <w:top w:type="dxa" w:w="40"/>
              <w:left w:type="dxa" w:w="80"/>
              <w:bottom w:type="dxa" w:w="40"/>
              <w:right w:type="dxa" w:w="80"/>
            </w:tcMar>
          </w:tcPr>
          <w:p>
            <w:pPr>
              <w:spacing w:after="0"/>
            </w:pPr>
            <w:r>
              <w:rPr>
                <w:rFonts w:ascii="Garamond" w:cs="Garamond" w:eastAsia="Garamond" w:hAnsi="Garamond"/>
                <w:b/>
                <w:bCs/>
                <w:sz w:val="17"/>
                <w:szCs w:val="17"/>
              </w:rPr>
              <w:t xml:space="preserve">Year</w:t>
            </w:r>
          </w:p>
        </w:tc>
        <w:tc>
          <w:tcPr>
            <w:tcW w:type="auto" w:w="0"/>
            <w:shd w:fill="EFEBE3" w:val="clear"/>
            <w:tcMar>
              <w:top w:type="dxa" w:w="40"/>
              <w:left w:type="dxa" w:w="80"/>
              <w:bottom w:type="dxa" w:w="40"/>
              <w:right w:type="dxa" w:w="80"/>
            </w:tcMar>
          </w:tcPr>
          <w:p>
            <w:pPr>
              <w:spacing w:after="0"/>
            </w:pPr>
            <w:r>
              <w:rPr>
                <w:rFonts w:ascii="Garamond" w:cs="Garamond" w:eastAsia="Garamond" w:hAnsi="Garamond"/>
                <w:b/>
                <w:bCs/>
                <w:sz w:val="17"/>
                <w:szCs w:val="17"/>
              </w:rPr>
              <w:t xml:space="preserve">G (10⁻¹¹)</w:t>
            </w:r>
          </w:p>
        </w:tc>
        <w:tc>
          <w:tcPr>
            <w:tcW w:type="auto" w:w="0"/>
            <w:shd w:fill="EFEBE3" w:val="clear"/>
            <w:tcMar>
              <w:top w:type="dxa" w:w="40"/>
              <w:left w:type="dxa" w:w="80"/>
              <w:bottom w:type="dxa" w:w="40"/>
              <w:right w:type="dxa" w:w="80"/>
            </w:tcMar>
          </w:tcPr>
          <w:p>
            <w:pPr>
              <w:spacing w:after="0"/>
            </w:pPr>
            <w:r>
              <w:rPr>
                <w:rFonts w:ascii="Garamond" w:cs="Garamond" w:eastAsia="Garamond" w:hAnsi="Garamond"/>
                <w:b/>
                <w:bCs/>
                <w:sz w:val="17"/>
                <w:szCs w:val="17"/>
              </w:rPr>
              <w:t xml:space="preserve">u_r (ppm)</w:t>
            </w:r>
          </w:p>
        </w:tc>
        <w:tc>
          <w:tcPr>
            <w:tcW w:type="auto" w:w="0"/>
            <w:shd w:fill="EFEBE3" w:val="clear"/>
            <w:tcMar>
              <w:top w:type="dxa" w:w="40"/>
              <w:left w:type="dxa" w:w="80"/>
              <w:bottom w:type="dxa" w:w="40"/>
              <w:right w:type="dxa" w:w="80"/>
            </w:tcMar>
          </w:tcPr>
          <w:p>
            <w:pPr>
              <w:spacing w:after="0"/>
            </w:pPr>
            <w:r>
              <w:rPr>
                <w:rFonts w:ascii="Garamond" w:cs="Garamond" w:eastAsia="Garamond" w:hAnsi="Garamond"/>
                <w:b/>
                <w:bCs/>
                <w:sz w:val="17"/>
                <w:szCs w:val="17"/>
              </w:rPr>
              <w:t xml:space="preserve">Class</w:t>
            </w:r>
          </w:p>
        </w:tc>
        <w:tc>
          <w:tcPr>
            <w:tcW w:type="auto" w:w="0"/>
            <w:shd w:fill="EFEBE3" w:val="clear"/>
            <w:tcMar>
              <w:top w:type="dxa" w:w="40"/>
              <w:left w:type="dxa" w:w="80"/>
              <w:bottom w:type="dxa" w:w="40"/>
              <w:right w:type="dxa" w:w="80"/>
            </w:tcMar>
          </w:tcPr>
          <w:p>
            <w:pPr>
              <w:spacing w:after="0"/>
            </w:pPr>
            <w:r>
              <w:rPr>
                <w:rFonts w:ascii="Garamond" w:cs="Garamond" w:eastAsia="Garamond" w:hAnsi="Garamond"/>
                <w:b/>
                <w:bCs/>
                <w:sz w:val="17"/>
                <w:szCs w:val="17"/>
              </w:rPr>
              <w:t xml:space="preserve">Method</w:t>
            </w:r>
          </w:p>
        </w:tc>
      </w:tr>
      <w:tr>
        <w:tc>
          <w:tcPr>
            <w:tcW w:type="auto" w:w="0"/>
            <w:tcMar>
              <w:top w:type="dxa" w:w="40"/>
              <w:left w:type="dxa" w:w="80"/>
              <w:bottom w:type="dxa" w:w="40"/>
              <w:right w:type="dxa" w:w="80"/>
            </w:tcMar>
          </w:tcPr>
          <w:p>
            <w:pPr>
              <w:spacing w:after="0"/>
            </w:pPr>
            <w:r>
              <w:rPr>
                <w:rFonts w:ascii="Garamond" w:cs="Garamond" w:eastAsia="Garamond" w:hAnsi="Garamond"/>
                <w:b w:val="false"/>
                <w:bCs w:val="false"/>
                <w:sz w:val="17"/>
                <w:szCs w:val="17"/>
              </w:rPr>
              <w:t xml:space="preserve">NIST-82</w:t>
            </w:r>
          </w:p>
        </w:tc>
        <w:tc>
          <w:tcPr>
            <w:tcW w:type="auto" w:w="0"/>
            <w:tcMar>
              <w:top w:type="dxa" w:w="40"/>
              <w:left w:type="dxa" w:w="80"/>
              <w:bottom w:type="dxa" w:w="40"/>
              <w:right w:type="dxa" w:w="80"/>
            </w:tcMar>
          </w:tcPr>
          <w:p>
            <w:pPr>
              <w:spacing w:after="0"/>
            </w:pPr>
            <w:r>
              <w:rPr>
                <w:rFonts w:ascii="Garamond" w:cs="Garamond" w:eastAsia="Garamond" w:hAnsi="Garamond"/>
                <w:b w:val="false"/>
                <w:bCs w:val="false"/>
                <w:sz w:val="17"/>
                <w:szCs w:val="17"/>
              </w:rPr>
              <w:t xml:space="preserve">1982</w:t>
            </w:r>
          </w:p>
        </w:tc>
        <w:tc>
          <w:tcPr>
            <w:tcW w:type="auto" w:w="0"/>
            <w:tcMar>
              <w:top w:type="dxa" w:w="40"/>
              <w:left w:type="dxa" w:w="80"/>
              <w:bottom w:type="dxa" w:w="40"/>
              <w:right w:type="dxa" w:w="80"/>
            </w:tcMar>
          </w:tcPr>
          <w:p>
            <w:pPr>
              <w:spacing w:after="0"/>
            </w:pPr>
            <w:r>
              <w:rPr>
                <w:rFonts w:ascii="Garamond" w:cs="Garamond" w:eastAsia="Garamond" w:hAnsi="Garamond"/>
                <w:b w:val="false"/>
                <w:bCs w:val="false"/>
                <w:sz w:val="17"/>
                <w:szCs w:val="17"/>
              </w:rPr>
              <w:t xml:space="preserve">6.672 48(43)</w:t>
            </w:r>
          </w:p>
        </w:tc>
        <w:tc>
          <w:tcPr>
            <w:tcW w:type="auto" w:w="0"/>
            <w:tcMar>
              <w:top w:type="dxa" w:w="40"/>
              <w:left w:type="dxa" w:w="80"/>
              <w:bottom w:type="dxa" w:w="40"/>
              <w:right w:type="dxa" w:w="80"/>
            </w:tcMar>
          </w:tcPr>
          <w:p>
            <w:pPr>
              <w:spacing w:after="0"/>
            </w:pPr>
            <w:r>
              <w:rPr>
                <w:rFonts w:ascii="Garamond" w:cs="Garamond" w:eastAsia="Garamond" w:hAnsi="Garamond"/>
                <w:b w:val="false"/>
                <w:bCs w:val="false"/>
                <w:sz w:val="17"/>
                <w:szCs w:val="17"/>
              </w:rPr>
              <w:t xml:space="preserve">64</w:t>
            </w:r>
          </w:p>
        </w:tc>
        <w:tc>
          <w:tcPr>
            <w:tcW w:type="auto" w:w="0"/>
            <w:tcMar>
              <w:top w:type="dxa" w:w="40"/>
              <w:left w:type="dxa" w:w="80"/>
              <w:bottom w:type="dxa" w:w="40"/>
              <w:right w:type="dxa" w:w="80"/>
            </w:tcMar>
          </w:tcPr>
          <w:p>
            <w:pPr>
              <w:spacing w:after="0"/>
            </w:pPr>
            <w:r>
              <w:rPr>
                <w:rFonts w:ascii="Garamond" w:cs="Garamond" w:eastAsia="Garamond" w:hAnsi="Garamond"/>
                <w:b w:val="false"/>
                <w:bCs w:val="false"/>
                <w:sz w:val="17"/>
                <w:szCs w:val="17"/>
              </w:rPr>
              <w:t xml:space="preserve">ToS</w:t>
            </w:r>
          </w:p>
        </w:tc>
        <w:tc>
          <w:tcPr>
            <w:tcW w:type="auto" w:w="0"/>
            <w:tcMar>
              <w:top w:type="dxa" w:w="40"/>
              <w:left w:type="dxa" w:w="80"/>
              <w:bottom w:type="dxa" w:w="40"/>
              <w:right w:type="dxa" w:w="80"/>
            </w:tcMar>
          </w:tcPr>
          <w:p>
            <w:pPr>
              <w:spacing w:after="0"/>
            </w:pPr>
            <w:r>
              <w:rPr>
                <w:rFonts w:ascii="Garamond" w:cs="Garamond" w:eastAsia="Garamond" w:hAnsi="Garamond"/>
                <w:b w:val="false"/>
                <w:bCs w:val="false"/>
                <w:sz w:val="17"/>
                <w:szCs w:val="17"/>
              </w:rPr>
              <w:t xml:space="preserve">Fiber torsion, time-of-swing</w:t>
            </w:r>
          </w:p>
        </w:tc>
      </w:tr>
      <w:tr>
        <w:tc>
          <w:tcPr>
            <w:tcW w:type="auto" w:w="0"/>
            <w:tcMar>
              <w:top w:type="dxa" w:w="40"/>
              <w:left w:type="dxa" w:w="80"/>
              <w:bottom w:type="dxa" w:w="40"/>
              <w:right w:type="dxa" w:w="80"/>
            </w:tcMar>
          </w:tcPr>
          <w:p>
            <w:pPr>
              <w:spacing w:after="0"/>
            </w:pPr>
            <w:r>
              <w:rPr>
                <w:rFonts w:ascii="Garamond" w:cs="Garamond" w:eastAsia="Garamond" w:hAnsi="Garamond"/>
                <w:b w:val="false"/>
                <w:bCs w:val="false"/>
                <w:sz w:val="17"/>
                <w:szCs w:val="17"/>
              </w:rPr>
              <w:t xml:space="preserve">TR&amp;D-96</w:t>
            </w:r>
          </w:p>
        </w:tc>
        <w:tc>
          <w:tcPr>
            <w:tcW w:type="auto" w:w="0"/>
            <w:tcMar>
              <w:top w:type="dxa" w:w="40"/>
              <w:left w:type="dxa" w:w="80"/>
              <w:bottom w:type="dxa" w:w="40"/>
              <w:right w:type="dxa" w:w="80"/>
            </w:tcMar>
          </w:tcPr>
          <w:p>
            <w:pPr>
              <w:spacing w:after="0"/>
            </w:pPr>
            <w:r>
              <w:rPr>
                <w:rFonts w:ascii="Garamond" w:cs="Garamond" w:eastAsia="Garamond" w:hAnsi="Garamond"/>
                <w:b w:val="false"/>
                <w:bCs w:val="false"/>
                <w:sz w:val="17"/>
                <w:szCs w:val="17"/>
              </w:rPr>
              <w:t xml:space="preserve">1996</w:t>
            </w:r>
          </w:p>
        </w:tc>
        <w:tc>
          <w:tcPr>
            <w:tcW w:type="auto" w:w="0"/>
            <w:tcMar>
              <w:top w:type="dxa" w:w="40"/>
              <w:left w:type="dxa" w:w="80"/>
              <w:bottom w:type="dxa" w:w="40"/>
              <w:right w:type="dxa" w:w="80"/>
            </w:tcMar>
          </w:tcPr>
          <w:p>
            <w:pPr>
              <w:spacing w:after="0"/>
            </w:pPr>
            <w:r>
              <w:rPr>
                <w:rFonts w:ascii="Garamond" w:cs="Garamond" w:eastAsia="Garamond" w:hAnsi="Garamond"/>
                <w:b w:val="false"/>
                <w:bCs w:val="false"/>
                <w:sz w:val="17"/>
                <w:szCs w:val="17"/>
              </w:rPr>
              <w:t xml:space="preserve">6.672 9(5)</w:t>
            </w:r>
          </w:p>
        </w:tc>
        <w:tc>
          <w:tcPr>
            <w:tcW w:type="auto" w:w="0"/>
            <w:tcMar>
              <w:top w:type="dxa" w:w="40"/>
              <w:left w:type="dxa" w:w="80"/>
              <w:bottom w:type="dxa" w:w="40"/>
              <w:right w:type="dxa" w:w="80"/>
            </w:tcMar>
          </w:tcPr>
          <w:p>
            <w:pPr>
              <w:spacing w:after="0"/>
            </w:pPr>
            <w:r>
              <w:rPr>
                <w:rFonts w:ascii="Garamond" w:cs="Garamond" w:eastAsia="Garamond" w:hAnsi="Garamond"/>
                <w:b w:val="false"/>
                <w:bCs w:val="false"/>
                <w:sz w:val="17"/>
                <w:szCs w:val="17"/>
              </w:rPr>
              <w:t xml:space="preserve">75</w:t>
            </w:r>
          </w:p>
        </w:tc>
        <w:tc>
          <w:tcPr>
            <w:tcW w:type="auto" w:w="0"/>
            <w:tcMar>
              <w:top w:type="dxa" w:w="40"/>
              <w:left w:type="dxa" w:w="80"/>
              <w:bottom w:type="dxa" w:w="40"/>
              <w:right w:type="dxa" w:w="80"/>
            </w:tcMar>
          </w:tcPr>
          <w:p>
            <w:pPr>
              <w:spacing w:after="0"/>
            </w:pPr>
            <w:r>
              <w:rPr>
                <w:rFonts w:ascii="Garamond" w:cs="Garamond" w:eastAsia="Garamond" w:hAnsi="Garamond"/>
                <w:b w:val="false"/>
                <w:bCs w:val="false"/>
                <w:sz w:val="17"/>
                <w:szCs w:val="17"/>
              </w:rPr>
              <w:t xml:space="preserve">ToS</w:t>
            </w:r>
          </w:p>
        </w:tc>
        <w:tc>
          <w:tcPr>
            <w:tcW w:type="auto" w:w="0"/>
            <w:tcMar>
              <w:top w:type="dxa" w:w="40"/>
              <w:left w:type="dxa" w:w="80"/>
              <w:bottom w:type="dxa" w:w="40"/>
              <w:right w:type="dxa" w:w="80"/>
            </w:tcMar>
          </w:tcPr>
          <w:p>
            <w:pPr>
              <w:spacing w:after="0"/>
            </w:pPr>
            <w:r>
              <w:rPr>
                <w:rFonts w:ascii="Garamond" w:cs="Garamond" w:eastAsia="Garamond" w:hAnsi="Garamond"/>
                <w:b w:val="false"/>
                <w:bCs w:val="false"/>
                <w:sz w:val="17"/>
                <w:szCs w:val="17"/>
              </w:rPr>
              <w:t xml:space="preserve">Fiber torsion, time-of-swing</w:t>
            </w:r>
          </w:p>
        </w:tc>
      </w:tr>
      <w:tr>
        <w:tc>
          <w:tcPr>
            <w:tcW w:type="auto" w:w="0"/>
            <w:tcMar>
              <w:top w:type="dxa" w:w="40"/>
              <w:left w:type="dxa" w:w="80"/>
              <w:bottom w:type="dxa" w:w="40"/>
              <w:right w:type="dxa" w:w="80"/>
            </w:tcMar>
          </w:tcPr>
          <w:p>
            <w:pPr>
              <w:spacing w:after="0"/>
            </w:pPr>
            <w:r>
              <w:rPr>
                <w:rFonts w:ascii="Garamond" w:cs="Garamond" w:eastAsia="Garamond" w:hAnsi="Garamond"/>
                <w:b w:val="false"/>
                <w:bCs w:val="false"/>
                <w:sz w:val="17"/>
                <w:szCs w:val="17"/>
              </w:rPr>
              <w:t xml:space="preserve">LANL-97</w:t>
            </w:r>
          </w:p>
        </w:tc>
        <w:tc>
          <w:tcPr>
            <w:tcW w:type="auto" w:w="0"/>
            <w:tcMar>
              <w:top w:type="dxa" w:w="40"/>
              <w:left w:type="dxa" w:w="80"/>
              <w:bottom w:type="dxa" w:w="40"/>
              <w:right w:type="dxa" w:w="80"/>
            </w:tcMar>
          </w:tcPr>
          <w:p>
            <w:pPr>
              <w:spacing w:after="0"/>
            </w:pPr>
            <w:r>
              <w:rPr>
                <w:rFonts w:ascii="Garamond" w:cs="Garamond" w:eastAsia="Garamond" w:hAnsi="Garamond"/>
                <w:b w:val="false"/>
                <w:bCs w:val="false"/>
                <w:sz w:val="17"/>
                <w:szCs w:val="17"/>
              </w:rPr>
              <w:t xml:space="preserve">1997</w:t>
            </w:r>
          </w:p>
        </w:tc>
        <w:tc>
          <w:tcPr>
            <w:tcW w:type="auto" w:w="0"/>
            <w:tcMar>
              <w:top w:type="dxa" w:w="40"/>
              <w:left w:type="dxa" w:w="80"/>
              <w:bottom w:type="dxa" w:w="40"/>
              <w:right w:type="dxa" w:w="80"/>
            </w:tcMar>
          </w:tcPr>
          <w:p>
            <w:pPr>
              <w:spacing w:after="0"/>
            </w:pPr>
            <w:r>
              <w:rPr>
                <w:rFonts w:ascii="Garamond" w:cs="Garamond" w:eastAsia="Garamond" w:hAnsi="Garamond"/>
                <w:b w:val="false"/>
                <w:bCs w:val="false"/>
                <w:sz w:val="17"/>
                <w:szCs w:val="17"/>
              </w:rPr>
              <w:t xml:space="preserve">6.673 98(70)</w:t>
            </w:r>
          </w:p>
        </w:tc>
        <w:tc>
          <w:tcPr>
            <w:tcW w:type="auto" w:w="0"/>
            <w:tcMar>
              <w:top w:type="dxa" w:w="40"/>
              <w:left w:type="dxa" w:w="80"/>
              <w:bottom w:type="dxa" w:w="40"/>
              <w:right w:type="dxa" w:w="80"/>
            </w:tcMar>
          </w:tcPr>
          <w:p>
            <w:pPr>
              <w:spacing w:after="0"/>
            </w:pPr>
            <w:r>
              <w:rPr>
                <w:rFonts w:ascii="Garamond" w:cs="Garamond" w:eastAsia="Garamond" w:hAnsi="Garamond"/>
                <w:b w:val="false"/>
                <w:bCs w:val="false"/>
                <w:sz w:val="17"/>
                <w:szCs w:val="17"/>
              </w:rPr>
              <w:t xml:space="preserve">100</w:t>
            </w:r>
          </w:p>
        </w:tc>
        <w:tc>
          <w:tcPr>
            <w:tcW w:type="auto" w:w="0"/>
            <w:tcMar>
              <w:top w:type="dxa" w:w="40"/>
              <w:left w:type="dxa" w:w="80"/>
              <w:bottom w:type="dxa" w:w="40"/>
              <w:right w:type="dxa" w:w="80"/>
            </w:tcMar>
          </w:tcPr>
          <w:p>
            <w:pPr>
              <w:spacing w:after="0"/>
            </w:pPr>
            <w:r>
              <w:rPr>
                <w:rFonts w:ascii="Garamond" w:cs="Garamond" w:eastAsia="Garamond" w:hAnsi="Garamond"/>
                <w:b w:val="false"/>
                <w:bCs w:val="false"/>
                <w:sz w:val="17"/>
                <w:szCs w:val="17"/>
              </w:rPr>
              <w:t xml:space="preserve">ToS</w:t>
            </w:r>
          </w:p>
        </w:tc>
        <w:tc>
          <w:tcPr>
            <w:tcW w:type="auto" w:w="0"/>
            <w:tcMar>
              <w:top w:type="dxa" w:w="40"/>
              <w:left w:type="dxa" w:w="80"/>
              <w:bottom w:type="dxa" w:w="40"/>
              <w:right w:type="dxa" w:w="80"/>
            </w:tcMar>
          </w:tcPr>
          <w:p>
            <w:pPr>
              <w:spacing w:after="0"/>
            </w:pPr>
            <w:r>
              <w:rPr>
                <w:rFonts w:ascii="Garamond" w:cs="Garamond" w:eastAsia="Garamond" w:hAnsi="Garamond"/>
                <w:b w:val="false"/>
                <w:bCs w:val="false"/>
                <w:sz w:val="17"/>
                <w:szCs w:val="17"/>
              </w:rPr>
              <w:t xml:space="preserve">Fiber torsion, time-of-swing</w:t>
            </w:r>
          </w:p>
        </w:tc>
      </w:tr>
      <w:tr>
        <w:tc>
          <w:tcPr>
            <w:tcW w:type="auto" w:w="0"/>
            <w:tcMar>
              <w:top w:type="dxa" w:w="40"/>
              <w:left w:type="dxa" w:w="80"/>
              <w:bottom w:type="dxa" w:w="40"/>
              <w:right w:type="dxa" w:w="80"/>
            </w:tcMar>
          </w:tcPr>
          <w:p>
            <w:pPr>
              <w:spacing w:after="0"/>
            </w:pPr>
            <w:r>
              <w:rPr>
                <w:rFonts w:ascii="Garamond" w:cs="Garamond" w:eastAsia="Garamond" w:hAnsi="Garamond"/>
                <w:b w:val="false"/>
                <w:bCs w:val="false"/>
                <w:sz w:val="17"/>
                <w:szCs w:val="17"/>
              </w:rPr>
              <w:t xml:space="preserve">UWash-00</w:t>
            </w:r>
          </w:p>
        </w:tc>
        <w:tc>
          <w:tcPr>
            <w:tcW w:type="auto" w:w="0"/>
            <w:tcMar>
              <w:top w:type="dxa" w:w="40"/>
              <w:left w:type="dxa" w:w="80"/>
              <w:bottom w:type="dxa" w:w="40"/>
              <w:right w:type="dxa" w:w="80"/>
            </w:tcMar>
          </w:tcPr>
          <w:p>
            <w:pPr>
              <w:spacing w:after="0"/>
            </w:pPr>
            <w:r>
              <w:rPr>
                <w:rFonts w:ascii="Garamond" w:cs="Garamond" w:eastAsia="Garamond" w:hAnsi="Garamond"/>
                <w:b w:val="false"/>
                <w:bCs w:val="false"/>
                <w:sz w:val="17"/>
                <w:szCs w:val="17"/>
              </w:rPr>
              <w:t xml:space="preserve">2000</w:t>
            </w:r>
          </w:p>
        </w:tc>
        <w:tc>
          <w:tcPr>
            <w:tcW w:type="auto" w:w="0"/>
            <w:tcMar>
              <w:top w:type="dxa" w:w="40"/>
              <w:left w:type="dxa" w:w="80"/>
              <w:bottom w:type="dxa" w:w="40"/>
              <w:right w:type="dxa" w:w="80"/>
            </w:tcMar>
          </w:tcPr>
          <w:p>
            <w:pPr>
              <w:spacing w:after="0"/>
            </w:pPr>
            <w:r>
              <w:rPr>
                <w:rFonts w:ascii="Garamond" w:cs="Garamond" w:eastAsia="Garamond" w:hAnsi="Garamond"/>
                <w:b w:val="false"/>
                <w:bCs w:val="false"/>
                <w:sz w:val="17"/>
                <w:szCs w:val="17"/>
              </w:rPr>
              <w:t xml:space="preserve">6.674 255(92)</w:t>
            </w:r>
          </w:p>
        </w:tc>
        <w:tc>
          <w:tcPr>
            <w:tcW w:type="auto" w:w="0"/>
            <w:tcMar>
              <w:top w:type="dxa" w:w="40"/>
              <w:left w:type="dxa" w:w="80"/>
              <w:bottom w:type="dxa" w:w="40"/>
              <w:right w:type="dxa" w:w="80"/>
            </w:tcMar>
          </w:tcPr>
          <w:p>
            <w:pPr>
              <w:spacing w:after="0"/>
            </w:pPr>
            <w:r>
              <w:rPr>
                <w:rFonts w:ascii="Garamond" w:cs="Garamond" w:eastAsia="Garamond" w:hAnsi="Garamond"/>
                <w:b w:val="false"/>
                <w:bCs w:val="false"/>
                <w:sz w:val="17"/>
                <w:szCs w:val="17"/>
              </w:rPr>
              <w:t xml:space="preserve">14</w:t>
            </w:r>
          </w:p>
        </w:tc>
        <w:tc>
          <w:tcPr>
            <w:tcW w:type="auto" w:w="0"/>
            <w:tcMar>
              <w:top w:type="dxa" w:w="40"/>
              <w:left w:type="dxa" w:w="80"/>
              <w:bottom w:type="dxa" w:w="40"/>
              <w:right w:type="dxa" w:w="80"/>
            </w:tcMar>
          </w:tcPr>
          <w:p>
            <w:pPr>
              <w:spacing w:after="0"/>
            </w:pPr>
            <w:r>
              <w:rPr>
                <w:rFonts w:ascii="Garamond" w:cs="Garamond" w:eastAsia="Garamond" w:hAnsi="Garamond"/>
                <w:b w:val="false"/>
                <w:bCs w:val="false"/>
                <w:sz w:val="17"/>
                <w:szCs w:val="17"/>
              </w:rPr>
              <w:t xml:space="preserve">AAF</w:t>
            </w:r>
          </w:p>
        </w:tc>
        <w:tc>
          <w:tcPr>
            <w:tcW w:type="auto" w:w="0"/>
            <w:tcMar>
              <w:top w:type="dxa" w:w="40"/>
              <w:left w:type="dxa" w:w="80"/>
              <w:bottom w:type="dxa" w:w="40"/>
              <w:right w:type="dxa" w:w="80"/>
            </w:tcMar>
          </w:tcPr>
          <w:p>
            <w:pPr>
              <w:spacing w:after="0"/>
            </w:pPr>
            <w:r>
              <w:rPr>
                <w:rFonts w:ascii="Garamond" w:cs="Garamond" w:eastAsia="Garamond" w:hAnsi="Garamond"/>
                <w:b w:val="false"/>
                <w:bCs w:val="false"/>
                <w:sz w:val="17"/>
                <w:szCs w:val="17"/>
              </w:rPr>
              <w:t xml:space="preserve">Torsion, angular-acceleration feedback</w:t>
            </w:r>
          </w:p>
        </w:tc>
      </w:tr>
      <w:tr>
        <w:tc>
          <w:tcPr>
            <w:tcW w:type="auto" w:w="0"/>
            <w:tcMar>
              <w:top w:type="dxa" w:w="40"/>
              <w:left w:type="dxa" w:w="80"/>
              <w:bottom w:type="dxa" w:w="40"/>
              <w:right w:type="dxa" w:w="80"/>
            </w:tcMar>
          </w:tcPr>
          <w:p>
            <w:pPr>
              <w:spacing w:after="0"/>
            </w:pPr>
            <w:r>
              <w:rPr>
                <w:rFonts w:ascii="Garamond" w:cs="Garamond" w:eastAsia="Garamond" w:hAnsi="Garamond"/>
                <w:b w:val="false"/>
                <w:bCs w:val="false"/>
                <w:sz w:val="17"/>
                <w:szCs w:val="17"/>
              </w:rPr>
              <w:t xml:space="preserve">BIPM-01</w:t>
            </w:r>
          </w:p>
        </w:tc>
        <w:tc>
          <w:tcPr>
            <w:tcW w:type="auto" w:w="0"/>
            <w:tcMar>
              <w:top w:type="dxa" w:w="40"/>
              <w:left w:type="dxa" w:w="80"/>
              <w:bottom w:type="dxa" w:w="40"/>
              <w:right w:type="dxa" w:w="80"/>
            </w:tcMar>
          </w:tcPr>
          <w:p>
            <w:pPr>
              <w:spacing w:after="0"/>
            </w:pPr>
            <w:r>
              <w:rPr>
                <w:rFonts w:ascii="Garamond" w:cs="Garamond" w:eastAsia="Garamond" w:hAnsi="Garamond"/>
                <w:b w:val="false"/>
                <w:bCs w:val="false"/>
                <w:sz w:val="17"/>
                <w:szCs w:val="17"/>
              </w:rPr>
              <w:t xml:space="preserve">2001</w:t>
            </w:r>
          </w:p>
        </w:tc>
        <w:tc>
          <w:tcPr>
            <w:tcW w:type="auto" w:w="0"/>
            <w:tcMar>
              <w:top w:type="dxa" w:w="40"/>
              <w:left w:type="dxa" w:w="80"/>
              <w:bottom w:type="dxa" w:w="40"/>
              <w:right w:type="dxa" w:w="80"/>
            </w:tcMar>
          </w:tcPr>
          <w:p>
            <w:pPr>
              <w:spacing w:after="0"/>
            </w:pPr>
            <w:r>
              <w:rPr>
                <w:rFonts w:ascii="Garamond" w:cs="Garamond" w:eastAsia="Garamond" w:hAnsi="Garamond"/>
                <w:b w:val="false"/>
                <w:bCs w:val="false"/>
                <w:sz w:val="17"/>
                <w:szCs w:val="17"/>
              </w:rPr>
              <w:t xml:space="preserve">6.675 59(27)</w:t>
            </w:r>
          </w:p>
        </w:tc>
        <w:tc>
          <w:tcPr>
            <w:tcW w:type="auto" w:w="0"/>
            <w:tcMar>
              <w:top w:type="dxa" w:w="40"/>
              <w:left w:type="dxa" w:w="80"/>
              <w:bottom w:type="dxa" w:w="40"/>
              <w:right w:type="dxa" w:w="80"/>
            </w:tcMar>
          </w:tcPr>
          <w:p>
            <w:pPr>
              <w:spacing w:after="0"/>
            </w:pPr>
            <w:r>
              <w:rPr>
                <w:rFonts w:ascii="Garamond" w:cs="Garamond" w:eastAsia="Garamond" w:hAnsi="Garamond"/>
                <w:b w:val="false"/>
                <w:bCs w:val="false"/>
                <w:sz w:val="17"/>
                <w:szCs w:val="17"/>
              </w:rPr>
              <w:t xml:space="preserve">40</w:t>
            </w:r>
          </w:p>
        </w:tc>
        <w:tc>
          <w:tcPr>
            <w:tcW w:type="auto" w:w="0"/>
            <w:tcMar>
              <w:top w:type="dxa" w:w="40"/>
              <w:left w:type="dxa" w:w="80"/>
              <w:bottom w:type="dxa" w:w="40"/>
              <w:right w:type="dxa" w:w="80"/>
            </w:tcMar>
          </w:tcPr>
          <w:p>
            <w:pPr>
              <w:spacing w:after="0"/>
            </w:pPr>
            <w:r>
              <w:rPr>
                <w:rFonts w:ascii="Garamond" w:cs="Garamond" w:eastAsia="Garamond" w:hAnsi="Garamond"/>
                <w:b w:val="false"/>
                <w:bCs w:val="false"/>
                <w:sz w:val="17"/>
                <w:szCs w:val="17"/>
              </w:rPr>
              <w:t xml:space="preserve">Strip</w:t>
            </w:r>
          </w:p>
        </w:tc>
        <w:tc>
          <w:tcPr>
            <w:tcW w:type="auto" w:w="0"/>
            <w:tcMar>
              <w:top w:type="dxa" w:w="40"/>
              <w:left w:type="dxa" w:w="80"/>
              <w:bottom w:type="dxa" w:w="40"/>
              <w:right w:type="dxa" w:w="80"/>
            </w:tcMar>
          </w:tcPr>
          <w:p>
            <w:pPr>
              <w:spacing w:after="0"/>
            </w:pPr>
            <w:r>
              <w:rPr>
                <w:rFonts w:ascii="Garamond" w:cs="Garamond" w:eastAsia="Garamond" w:hAnsi="Garamond"/>
                <w:b w:val="false"/>
                <w:bCs w:val="false"/>
                <w:sz w:val="17"/>
                <w:szCs w:val="17"/>
              </w:rPr>
              <w:t xml:space="preserve">Torsion strip, servo + Cavendish</w:t>
            </w:r>
          </w:p>
        </w:tc>
      </w:tr>
      <w:tr>
        <w:tc>
          <w:tcPr>
            <w:tcW w:type="auto" w:w="0"/>
            <w:tcMar>
              <w:top w:type="dxa" w:w="40"/>
              <w:left w:type="dxa" w:w="80"/>
              <w:bottom w:type="dxa" w:w="40"/>
              <w:right w:type="dxa" w:w="80"/>
            </w:tcMar>
          </w:tcPr>
          <w:p>
            <w:pPr>
              <w:spacing w:after="0"/>
            </w:pPr>
            <w:r>
              <w:rPr>
                <w:rFonts w:ascii="Garamond" w:cs="Garamond" w:eastAsia="Garamond" w:hAnsi="Garamond"/>
                <w:b w:val="false"/>
                <w:bCs w:val="false"/>
                <w:sz w:val="17"/>
                <w:szCs w:val="17"/>
              </w:rPr>
              <w:t xml:space="preserve">UWup-02</w:t>
            </w:r>
          </w:p>
        </w:tc>
        <w:tc>
          <w:tcPr>
            <w:tcW w:type="auto" w:w="0"/>
            <w:tcMar>
              <w:top w:type="dxa" w:w="40"/>
              <w:left w:type="dxa" w:w="80"/>
              <w:bottom w:type="dxa" w:w="40"/>
              <w:right w:type="dxa" w:w="80"/>
            </w:tcMar>
          </w:tcPr>
          <w:p>
            <w:pPr>
              <w:spacing w:after="0"/>
            </w:pPr>
            <w:r>
              <w:rPr>
                <w:rFonts w:ascii="Garamond" w:cs="Garamond" w:eastAsia="Garamond" w:hAnsi="Garamond"/>
                <w:b w:val="false"/>
                <w:bCs w:val="false"/>
                <w:sz w:val="17"/>
                <w:szCs w:val="17"/>
              </w:rPr>
              <w:t xml:space="preserve">2002</w:t>
            </w:r>
          </w:p>
        </w:tc>
        <w:tc>
          <w:tcPr>
            <w:tcW w:type="auto" w:w="0"/>
            <w:tcMar>
              <w:top w:type="dxa" w:w="40"/>
              <w:left w:type="dxa" w:w="80"/>
              <w:bottom w:type="dxa" w:w="40"/>
              <w:right w:type="dxa" w:w="80"/>
            </w:tcMar>
          </w:tcPr>
          <w:p>
            <w:pPr>
              <w:spacing w:after="0"/>
            </w:pPr>
            <w:r>
              <w:rPr>
                <w:rFonts w:ascii="Garamond" w:cs="Garamond" w:eastAsia="Garamond" w:hAnsi="Garamond"/>
                <w:b w:val="false"/>
                <w:bCs w:val="false"/>
                <w:sz w:val="17"/>
                <w:szCs w:val="17"/>
              </w:rPr>
              <w:t xml:space="preserve">6.674 22(98)</w:t>
            </w:r>
          </w:p>
        </w:tc>
        <w:tc>
          <w:tcPr>
            <w:tcW w:type="auto" w:w="0"/>
            <w:tcMar>
              <w:top w:type="dxa" w:w="40"/>
              <w:left w:type="dxa" w:w="80"/>
              <w:bottom w:type="dxa" w:w="40"/>
              <w:right w:type="dxa" w:w="80"/>
            </w:tcMar>
          </w:tcPr>
          <w:p>
            <w:pPr>
              <w:spacing w:after="0"/>
            </w:pPr>
            <w:r>
              <w:rPr>
                <w:rFonts w:ascii="Garamond" w:cs="Garamond" w:eastAsia="Garamond" w:hAnsi="Garamond"/>
                <w:b w:val="false"/>
                <w:bCs w:val="false"/>
                <w:sz w:val="17"/>
                <w:szCs w:val="17"/>
              </w:rPr>
              <w:t xml:space="preserve">150</w:t>
            </w:r>
          </w:p>
        </w:tc>
        <w:tc>
          <w:tcPr>
            <w:tcW w:type="auto" w:w="0"/>
            <w:tcMar>
              <w:top w:type="dxa" w:w="40"/>
              <w:left w:type="dxa" w:w="80"/>
              <w:bottom w:type="dxa" w:w="40"/>
              <w:right w:type="dxa" w:w="80"/>
            </w:tcMar>
          </w:tcPr>
          <w:p>
            <w:pPr>
              <w:spacing w:after="0"/>
            </w:pPr>
            <w:r>
              <w:rPr>
                <w:rFonts w:ascii="Garamond" w:cs="Garamond" w:eastAsia="Garamond" w:hAnsi="Garamond"/>
                <w:b w:val="false"/>
                <w:bCs w:val="false"/>
                <w:sz w:val="17"/>
                <w:szCs w:val="17"/>
              </w:rPr>
              <w:t xml:space="preserve">F-P</w:t>
            </w:r>
          </w:p>
        </w:tc>
        <w:tc>
          <w:tcPr>
            <w:tcW w:type="auto" w:w="0"/>
            <w:tcMar>
              <w:top w:type="dxa" w:w="40"/>
              <w:left w:type="dxa" w:w="80"/>
              <w:bottom w:type="dxa" w:w="40"/>
              <w:right w:type="dxa" w:w="80"/>
            </w:tcMar>
          </w:tcPr>
          <w:p>
            <w:pPr>
              <w:spacing w:after="0"/>
            </w:pPr>
            <w:r>
              <w:rPr>
                <w:rFonts w:ascii="Garamond" w:cs="Garamond" w:eastAsia="Garamond" w:hAnsi="Garamond"/>
                <w:b w:val="false"/>
                <w:bCs w:val="false"/>
                <w:sz w:val="17"/>
                <w:szCs w:val="17"/>
              </w:rPr>
              <w:t xml:space="preserve">Suspended microwave Fabry–Pérot</w:t>
            </w:r>
          </w:p>
        </w:tc>
      </w:tr>
      <w:tr>
        <w:tc>
          <w:tcPr>
            <w:tcW w:type="auto" w:w="0"/>
            <w:tcMar>
              <w:top w:type="dxa" w:w="40"/>
              <w:left w:type="dxa" w:w="80"/>
              <w:bottom w:type="dxa" w:w="40"/>
              <w:right w:type="dxa" w:w="80"/>
            </w:tcMar>
          </w:tcPr>
          <w:p>
            <w:pPr>
              <w:spacing w:after="0"/>
            </w:pPr>
            <w:r>
              <w:rPr>
                <w:rFonts w:ascii="Garamond" w:cs="Garamond" w:eastAsia="Garamond" w:hAnsi="Garamond"/>
                <w:b w:val="false"/>
                <w:bCs w:val="false"/>
                <w:sz w:val="17"/>
                <w:szCs w:val="17"/>
              </w:rPr>
              <w:t xml:space="preserve">MSL-03</w:t>
            </w:r>
          </w:p>
        </w:tc>
        <w:tc>
          <w:tcPr>
            <w:tcW w:type="auto" w:w="0"/>
            <w:tcMar>
              <w:top w:type="dxa" w:w="40"/>
              <w:left w:type="dxa" w:w="80"/>
              <w:bottom w:type="dxa" w:w="40"/>
              <w:right w:type="dxa" w:w="80"/>
            </w:tcMar>
          </w:tcPr>
          <w:p>
            <w:pPr>
              <w:spacing w:after="0"/>
            </w:pPr>
            <w:r>
              <w:rPr>
                <w:rFonts w:ascii="Garamond" w:cs="Garamond" w:eastAsia="Garamond" w:hAnsi="Garamond"/>
                <w:b w:val="false"/>
                <w:bCs w:val="false"/>
                <w:sz w:val="17"/>
                <w:szCs w:val="17"/>
              </w:rPr>
              <w:t xml:space="preserve">2003</w:t>
            </w:r>
          </w:p>
        </w:tc>
        <w:tc>
          <w:tcPr>
            <w:tcW w:type="auto" w:w="0"/>
            <w:tcMar>
              <w:top w:type="dxa" w:w="40"/>
              <w:left w:type="dxa" w:w="80"/>
              <w:bottom w:type="dxa" w:w="40"/>
              <w:right w:type="dxa" w:w="80"/>
            </w:tcMar>
          </w:tcPr>
          <w:p>
            <w:pPr>
              <w:spacing w:after="0"/>
            </w:pPr>
            <w:r>
              <w:rPr>
                <w:rFonts w:ascii="Garamond" w:cs="Garamond" w:eastAsia="Garamond" w:hAnsi="Garamond"/>
                <w:b w:val="false"/>
                <w:bCs w:val="false"/>
                <w:sz w:val="17"/>
                <w:szCs w:val="17"/>
              </w:rPr>
              <w:t xml:space="preserve">6.673 87(27)</w:t>
            </w:r>
          </w:p>
        </w:tc>
        <w:tc>
          <w:tcPr>
            <w:tcW w:type="auto" w:w="0"/>
            <w:tcMar>
              <w:top w:type="dxa" w:w="40"/>
              <w:left w:type="dxa" w:w="80"/>
              <w:bottom w:type="dxa" w:w="40"/>
              <w:right w:type="dxa" w:w="80"/>
            </w:tcMar>
          </w:tcPr>
          <w:p>
            <w:pPr>
              <w:spacing w:after="0"/>
            </w:pPr>
            <w:r>
              <w:rPr>
                <w:rFonts w:ascii="Garamond" w:cs="Garamond" w:eastAsia="Garamond" w:hAnsi="Garamond"/>
                <w:b w:val="false"/>
                <w:bCs w:val="false"/>
                <w:sz w:val="17"/>
                <w:szCs w:val="17"/>
              </w:rPr>
              <w:t xml:space="preserve">40</w:t>
            </w:r>
          </w:p>
        </w:tc>
        <w:tc>
          <w:tcPr>
            <w:tcW w:type="auto" w:w="0"/>
            <w:tcMar>
              <w:top w:type="dxa" w:w="40"/>
              <w:left w:type="dxa" w:w="80"/>
              <w:bottom w:type="dxa" w:w="40"/>
              <w:right w:type="dxa" w:w="80"/>
            </w:tcMar>
          </w:tcPr>
          <w:p>
            <w:pPr>
              <w:spacing w:after="0"/>
            </w:pPr>
            <w:r>
              <w:rPr>
                <w:rFonts w:ascii="Garamond" w:cs="Garamond" w:eastAsia="Garamond" w:hAnsi="Garamond"/>
                <w:b w:val="false"/>
                <w:bCs w:val="false"/>
                <w:sz w:val="17"/>
                <w:szCs w:val="17"/>
              </w:rPr>
              <w:t xml:space="preserve">Servo</w:t>
            </w:r>
          </w:p>
        </w:tc>
        <w:tc>
          <w:tcPr>
            <w:tcW w:type="auto" w:w="0"/>
            <w:tcMar>
              <w:top w:type="dxa" w:w="40"/>
              <w:left w:type="dxa" w:w="80"/>
              <w:bottom w:type="dxa" w:w="40"/>
              <w:right w:type="dxa" w:w="80"/>
            </w:tcMar>
          </w:tcPr>
          <w:p>
            <w:pPr>
              <w:spacing w:after="0"/>
            </w:pPr>
            <w:r>
              <w:rPr>
                <w:rFonts w:ascii="Garamond" w:cs="Garamond" w:eastAsia="Garamond" w:hAnsi="Garamond"/>
                <w:b w:val="false"/>
                <w:bCs w:val="false"/>
                <w:sz w:val="17"/>
                <w:szCs w:val="17"/>
              </w:rPr>
              <w:t xml:space="preserve">Torsion, electrostatic servo</w:t>
            </w:r>
          </w:p>
        </w:tc>
      </w:tr>
      <w:tr>
        <w:tc>
          <w:tcPr>
            <w:tcW w:type="auto" w:w="0"/>
            <w:tcMar>
              <w:top w:type="dxa" w:w="40"/>
              <w:left w:type="dxa" w:w="80"/>
              <w:bottom w:type="dxa" w:w="40"/>
              <w:right w:type="dxa" w:w="80"/>
            </w:tcMar>
          </w:tcPr>
          <w:p>
            <w:pPr>
              <w:spacing w:after="0"/>
            </w:pPr>
            <w:r>
              <w:rPr>
                <w:rFonts w:ascii="Garamond" w:cs="Garamond" w:eastAsia="Garamond" w:hAnsi="Garamond"/>
                <w:b w:val="false"/>
                <w:bCs w:val="false"/>
                <w:sz w:val="17"/>
                <w:szCs w:val="17"/>
              </w:rPr>
              <w:t xml:space="preserve">HUST-05</w:t>
            </w:r>
          </w:p>
        </w:tc>
        <w:tc>
          <w:tcPr>
            <w:tcW w:type="auto" w:w="0"/>
            <w:tcMar>
              <w:top w:type="dxa" w:w="40"/>
              <w:left w:type="dxa" w:w="80"/>
              <w:bottom w:type="dxa" w:w="40"/>
              <w:right w:type="dxa" w:w="80"/>
            </w:tcMar>
          </w:tcPr>
          <w:p>
            <w:pPr>
              <w:spacing w:after="0"/>
            </w:pPr>
            <w:r>
              <w:rPr>
                <w:rFonts w:ascii="Garamond" w:cs="Garamond" w:eastAsia="Garamond" w:hAnsi="Garamond"/>
                <w:b w:val="false"/>
                <w:bCs w:val="false"/>
                <w:sz w:val="17"/>
                <w:szCs w:val="17"/>
              </w:rPr>
              <w:t xml:space="preserve">2005</w:t>
            </w:r>
          </w:p>
        </w:tc>
        <w:tc>
          <w:tcPr>
            <w:tcW w:type="auto" w:w="0"/>
            <w:tcMar>
              <w:top w:type="dxa" w:w="40"/>
              <w:left w:type="dxa" w:w="80"/>
              <w:bottom w:type="dxa" w:w="40"/>
              <w:right w:type="dxa" w:w="80"/>
            </w:tcMar>
          </w:tcPr>
          <w:p>
            <w:pPr>
              <w:spacing w:after="0"/>
            </w:pPr>
            <w:r>
              <w:rPr>
                <w:rFonts w:ascii="Garamond" w:cs="Garamond" w:eastAsia="Garamond" w:hAnsi="Garamond"/>
                <w:b w:val="false"/>
                <w:bCs w:val="false"/>
                <w:sz w:val="17"/>
                <w:szCs w:val="17"/>
              </w:rPr>
              <w:t xml:space="preserve">6.672 22(87)</w:t>
            </w:r>
          </w:p>
        </w:tc>
        <w:tc>
          <w:tcPr>
            <w:tcW w:type="auto" w:w="0"/>
            <w:tcMar>
              <w:top w:type="dxa" w:w="40"/>
              <w:left w:type="dxa" w:w="80"/>
              <w:bottom w:type="dxa" w:w="40"/>
              <w:right w:type="dxa" w:w="80"/>
            </w:tcMar>
          </w:tcPr>
          <w:p>
            <w:pPr>
              <w:spacing w:after="0"/>
            </w:pPr>
            <w:r>
              <w:rPr>
                <w:rFonts w:ascii="Garamond" w:cs="Garamond" w:eastAsia="Garamond" w:hAnsi="Garamond"/>
                <w:b w:val="false"/>
                <w:bCs w:val="false"/>
                <w:sz w:val="17"/>
                <w:szCs w:val="17"/>
              </w:rPr>
              <w:t xml:space="preserve">130</w:t>
            </w:r>
          </w:p>
        </w:tc>
        <w:tc>
          <w:tcPr>
            <w:tcW w:type="auto" w:w="0"/>
            <w:tcMar>
              <w:top w:type="dxa" w:w="40"/>
              <w:left w:type="dxa" w:w="80"/>
              <w:bottom w:type="dxa" w:w="40"/>
              <w:right w:type="dxa" w:w="80"/>
            </w:tcMar>
          </w:tcPr>
          <w:p>
            <w:pPr>
              <w:spacing w:after="0"/>
            </w:pPr>
            <w:r>
              <w:rPr>
                <w:rFonts w:ascii="Garamond" w:cs="Garamond" w:eastAsia="Garamond" w:hAnsi="Garamond"/>
                <w:b w:val="false"/>
                <w:bCs w:val="false"/>
                <w:sz w:val="17"/>
                <w:szCs w:val="17"/>
              </w:rPr>
              <w:t xml:space="preserve">ToS</w:t>
            </w:r>
          </w:p>
        </w:tc>
        <w:tc>
          <w:tcPr>
            <w:tcW w:type="auto" w:w="0"/>
            <w:tcMar>
              <w:top w:type="dxa" w:w="40"/>
              <w:left w:type="dxa" w:w="80"/>
              <w:bottom w:type="dxa" w:w="40"/>
              <w:right w:type="dxa" w:w="80"/>
            </w:tcMar>
          </w:tcPr>
          <w:p>
            <w:pPr>
              <w:spacing w:after="0"/>
            </w:pPr>
            <w:r>
              <w:rPr>
                <w:rFonts w:ascii="Garamond" w:cs="Garamond" w:eastAsia="Garamond" w:hAnsi="Garamond"/>
                <w:b w:val="false"/>
                <w:bCs w:val="false"/>
                <w:sz w:val="17"/>
                <w:szCs w:val="17"/>
              </w:rPr>
              <w:t xml:space="preserve">Fiber torsion, time-of-swing</w:t>
            </w:r>
          </w:p>
        </w:tc>
      </w:tr>
      <w:tr>
        <w:tc>
          <w:tcPr>
            <w:tcW w:type="auto" w:w="0"/>
            <w:tcMar>
              <w:top w:type="dxa" w:w="40"/>
              <w:left w:type="dxa" w:w="80"/>
              <w:bottom w:type="dxa" w:w="40"/>
              <w:right w:type="dxa" w:w="80"/>
            </w:tcMar>
          </w:tcPr>
          <w:p>
            <w:pPr>
              <w:spacing w:after="0"/>
            </w:pPr>
            <w:r>
              <w:rPr>
                <w:rFonts w:ascii="Garamond" w:cs="Garamond" w:eastAsia="Garamond" w:hAnsi="Garamond"/>
                <w:b w:val="false"/>
                <w:bCs w:val="false"/>
                <w:sz w:val="17"/>
                <w:szCs w:val="17"/>
              </w:rPr>
              <w:t xml:space="preserve">UZur-06</w:t>
            </w:r>
          </w:p>
        </w:tc>
        <w:tc>
          <w:tcPr>
            <w:tcW w:type="auto" w:w="0"/>
            <w:tcMar>
              <w:top w:type="dxa" w:w="40"/>
              <w:left w:type="dxa" w:w="80"/>
              <w:bottom w:type="dxa" w:w="40"/>
              <w:right w:type="dxa" w:w="80"/>
            </w:tcMar>
          </w:tcPr>
          <w:p>
            <w:pPr>
              <w:spacing w:after="0"/>
            </w:pPr>
            <w:r>
              <w:rPr>
                <w:rFonts w:ascii="Garamond" w:cs="Garamond" w:eastAsia="Garamond" w:hAnsi="Garamond"/>
                <w:b w:val="false"/>
                <w:bCs w:val="false"/>
                <w:sz w:val="17"/>
                <w:szCs w:val="17"/>
              </w:rPr>
              <w:t xml:space="preserve">2006</w:t>
            </w:r>
          </w:p>
        </w:tc>
        <w:tc>
          <w:tcPr>
            <w:tcW w:type="auto" w:w="0"/>
            <w:tcMar>
              <w:top w:type="dxa" w:w="40"/>
              <w:left w:type="dxa" w:w="80"/>
              <w:bottom w:type="dxa" w:w="40"/>
              <w:right w:type="dxa" w:w="80"/>
            </w:tcMar>
          </w:tcPr>
          <w:p>
            <w:pPr>
              <w:spacing w:after="0"/>
            </w:pPr>
            <w:r>
              <w:rPr>
                <w:rFonts w:ascii="Garamond" w:cs="Garamond" w:eastAsia="Garamond" w:hAnsi="Garamond"/>
                <w:b w:val="false"/>
                <w:bCs w:val="false"/>
                <w:sz w:val="17"/>
                <w:szCs w:val="17"/>
              </w:rPr>
              <w:t xml:space="preserve">6.674 25(12)</w:t>
            </w:r>
          </w:p>
        </w:tc>
        <w:tc>
          <w:tcPr>
            <w:tcW w:type="auto" w:w="0"/>
            <w:tcMar>
              <w:top w:type="dxa" w:w="40"/>
              <w:left w:type="dxa" w:w="80"/>
              <w:bottom w:type="dxa" w:w="40"/>
              <w:right w:type="dxa" w:w="80"/>
            </w:tcMar>
          </w:tcPr>
          <w:p>
            <w:pPr>
              <w:spacing w:after="0"/>
            </w:pPr>
            <w:r>
              <w:rPr>
                <w:rFonts w:ascii="Garamond" w:cs="Garamond" w:eastAsia="Garamond" w:hAnsi="Garamond"/>
                <w:b w:val="false"/>
                <w:bCs w:val="false"/>
                <w:sz w:val="17"/>
                <w:szCs w:val="17"/>
              </w:rPr>
              <w:t xml:space="preserve">19</w:t>
            </w:r>
          </w:p>
        </w:tc>
        <w:tc>
          <w:tcPr>
            <w:tcW w:type="auto" w:w="0"/>
            <w:tcMar>
              <w:top w:type="dxa" w:w="40"/>
              <w:left w:type="dxa" w:w="80"/>
              <w:bottom w:type="dxa" w:w="40"/>
              <w:right w:type="dxa" w:w="80"/>
            </w:tcMar>
          </w:tcPr>
          <w:p>
            <w:pPr>
              <w:spacing w:after="0"/>
            </w:pPr>
            <w:r>
              <w:rPr>
                <w:rFonts w:ascii="Garamond" w:cs="Garamond" w:eastAsia="Garamond" w:hAnsi="Garamond"/>
                <w:b w:val="false"/>
                <w:bCs w:val="false"/>
                <w:sz w:val="17"/>
                <w:szCs w:val="17"/>
              </w:rPr>
              <w:t xml:space="preserve">Beam</w:t>
            </w:r>
          </w:p>
        </w:tc>
        <w:tc>
          <w:tcPr>
            <w:tcW w:type="auto" w:w="0"/>
            <w:tcMar>
              <w:top w:type="dxa" w:w="40"/>
              <w:left w:type="dxa" w:w="80"/>
              <w:bottom w:type="dxa" w:w="40"/>
              <w:right w:type="dxa" w:w="80"/>
            </w:tcMar>
          </w:tcPr>
          <w:p>
            <w:pPr>
              <w:spacing w:after="0"/>
            </w:pPr>
            <w:r>
              <w:rPr>
                <w:rFonts w:ascii="Garamond" w:cs="Garamond" w:eastAsia="Garamond" w:hAnsi="Garamond"/>
                <w:b w:val="false"/>
                <w:bCs w:val="false"/>
                <w:sz w:val="17"/>
                <w:szCs w:val="17"/>
              </w:rPr>
              <w:t xml:space="preserve">Beam balance</w:t>
            </w:r>
          </w:p>
        </w:tc>
      </w:tr>
      <w:tr>
        <w:tc>
          <w:tcPr>
            <w:tcW w:type="auto" w:w="0"/>
            <w:tcMar>
              <w:top w:type="dxa" w:w="40"/>
              <w:left w:type="dxa" w:w="80"/>
              <w:bottom w:type="dxa" w:w="40"/>
              <w:right w:type="dxa" w:w="80"/>
            </w:tcMar>
          </w:tcPr>
          <w:p>
            <w:pPr>
              <w:spacing w:after="0"/>
            </w:pPr>
            <w:r>
              <w:rPr>
                <w:rFonts w:ascii="Garamond" w:cs="Garamond" w:eastAsia="Garamond" w:hAnsi="Garamond"/>
                <w:b w:val="false"/>
                <w:bCs w:val="false"/>
                <w:sz w:val="17"/>
                <w:szCs w:val="17"/>
              </w:rPr>
              <w:t xml:space="preserve">HUST-09</w:t>
            </w:r>
          </w:p>
        </w:tc>
        <w:tc>
          <w:tcPr>
            <w:tcW w:type="auto" w:w="0"/>
            <w:tcMar>
              <w:top w:type="dxa" w:w="40"/>
              <w:left w:type="dxa" w:w="80"/>
              <w:bottom w:type="dxa" w:w="40"/>
              <w:right w:type="dxa" w:w="80"/>
            </w:tcMar>
          </w:tcPr>
          <w:p>
            <w:pPr>
              <w:spacing w:after="0"/>
            </w:pPr>
            <w:r>
              <w:rPr>
                <w:rFonts w:ascii="Garamond" w:cs="Garamond" w:eastAsia="Garamond" w:hAnsi="Garamond"/>
                <w:b w:val="false"/>
                <w:bCs w:val="false"/>
                <w:sz w:val="17"/>
                <w:szCs w:val="17"/>
              </w:rPr>
              <w:t xml:space="preserve">2009</w:t>
            </w:r>
          </w:p>
        </w:tc>
        <w:tc>
          <w:tcPr>
            <w:tcW w:type="auto" w:w="0"/>
            <w:tcMar>
              <w:top w:type="dxa" w:w="40"/>
              <w:left w:type="dxa" w:w="80"/>
              <w:bottom w:type="dxa" w:w="40"/>
              <w:right w:type="dxa" w:w="80"/>
            </w:tcMar>
          </w:tcPr>
          <w:p>
            <w:pPr>
              <w:spacing w:after="0"/>
            </w:pPr>
            <w:r>
              <w:rPr>
                <w:rFonts w:ascii="Garamond" w:cs="Garamond" w:eastAsia="Garamond" w:hAnsi="Garamond"/>
                <w:b w:val="false"/>
                <w:bCs w:val="false"/>
                <w:sz w:val="17"/>
                <w:szCs w:val="17"/>
              </w:rPr>
              <w:t xml:space="preserve">6.673 49(18)</w:t>
            </w:r>
          </w:p>
        </w:tc>
        <w:tc>
          <w:tcPr>
            <w:tcW w:type="auto" w:w="0"/>
            <w:tcMar>
              <w:top w:type="dxa" w:w="40"/>
              <w:left w:type="dxa" w:w="80"/>
              <w:bottom w:type="dxa" w:w="40"/>
              <w:right w:type="dxa" w:w="80"/>
            </w:tcMar>
          </w:tcPr>
          <w:p>
            <w:pPr>
              <w:spacing w:after="0"/>
            </w:pPr>
            <w:r>
              <w:rPr>
                <w:rFonts w:ascii="Garamond" w:cs="Garamond" w:eastAsia="Garamond" w:hAnsi="Garamond"/>
                <w:b w:val="false"/>
                <w:bCs w:val="false"/>
                <w:sz w:val="17"/>
                <w:szCs w:val="17"/>
              </w:rPr>
              <w:t xml:space="preserve">27</w:t>
            </w:r>
          </w:p>
        </w:tc>
        <w:tc>
          <w:tcPr>
            <w:tcW w:type="auto" w:w="0"/>
            <w:tcMar>
              <w:top w:type="dxa" w:w="40"/>
              <w:left w:type="dxa" w:w="80"/>
              <w:bottom w:type="dxa" w:w="40"/>
              <w:right w:type="dxa" w:w="80"/>
            </w:tcMar>
          </w:tcPr>
          <w:p>
            <w:pPr>
              <w:spacing w:after="0"/>
            </w:pPr>
            <w:r>
              <w:rPr>
                <w:rFonts w:ascii="Garamond" w:cs="Garamond" w:eastAsia="Garamond" w:hAnsi="Garamond"/>
                <w:b w:val="false"/>
                <w:bCs w:val="false"/>
                <w:sz w:val="17"/>
                <w:szCs w:val="17"/>
              </w:rPr>
              <w:t xml:space="preserve">ToS</w:t>
            </w:r>
          </w:p>
        </w:tc>
        <w:tc>
          <w:tcPr>
            <w:tcW w:type="auto" w:w="0"/>
            <w:tcMar>
              <w:top w:type="dxa" w:w="40"/>
              <w:left w:type="dxa" w:w="80"/>
              <w:bottom w:type="dxa" w:w="40"/>
              <w:right w:type="dxa" w:w="80"/>
            </w:tcMar>
          </w:tcPr>
          <w:p>
            <w:pPr>
              <w:spacing w:after="0"/>
            </w:pPr>
            <w:r>
              <w:rPr>
                <w:rFonts w:ascii="Garamond" w:cs="Garamond" w:eastAsia="Garamond" w:hAnsi="Garamond"/>
                <w:b w:val="false"/>
                <w:bCs w:val="false"/>
                <w:sz w:val="17"/>
                <w:szCs w:val="17"/>
              </w:rPr>
              <w:t xml:space="preserve">Fiber torsion, time-of-swing</w:t>
            </w:r>
          </w:p>
        </w:tc>
      </w:tr>
      <w:tr>
        <w:tc>
          <w:tcPr>
            <w:tcW w:type="auto" w:w="0"/>
            <w:tcMar>
              <w:top w:type="dxa" w:w="40"/>
              <w:left w:type="dxa" w:w="80"/>
              <w:bottom w:type="dxa" w:w="40"/>
              <w:right w:type="dxa" w:w="80"/>
            </w:tcMar>
          </w:tcPr>
          <w:p>
            <w:pPr>
              <w:spacing w:after="0"/>
            </w:pPr>
            <w:r>
              <w:rPr>
                <w:rFonts w:ascii="Garamond" w:cs="Garamond" w:eastAsia="Garamond" w:hAnsi="Garamond"/>
                <w:b w:val="false"/>
                <w:bCs w:val="false"/>
                <w:sz w:val="17"/>
                <w:szCs w:val="17"/>
              </w:rPr>
              <w:t xml:space="preserve">LENS-14</w:t>
            </w:r>
          </w:p>
        </w:tc>
        <w:tc>
          <w:tcPr>
            <w:tcW w:type="auto" w:w="0"/>
            <w:tcMar>
              <w:top w:type="dxa" w:w="40"/>
              <w:left w:type="dxa" w:w="80"/>
              <w:bottom w:type="dxa" w:w="40"/>
              <w:right w:type="dxa" w:w="80"/>
            </w:tcMar>
          </w:tcPr>
          <w:p>
            <w:pPr>
              <w:spacing w:after="0"/>
            </w:pPr>
            <w:r>
              <w:rPr>
                <w:rFonts w:ascii="Garamond" w:cs="Garamond" w:eastAsia="Garamond" w:hAnsi="Garamond"/>
                <w:b w:val="false"/>
                <w:bCs w:val="false"/>
                <w:sz w:val="17"/>
                <w:szCs w:val="17"/>
              </w:rPr>
              <w:t xml:space="preserve">2014</w:t>
            </w:r>
          </w:p>
        </w:tc>
        <w:tc>
          <w:tcPr>
            <w:tcW w:type="auto" w:w="0"/>
            <w:tcMar>
              <w:top w:type="dxa" w:w="40"/>
              <w:left w:type="dxa" w:w="80"/>
              <w:bottom w:type="dxa" w:w="40"/>
              <w:right w:type="dxa" w:w="80"/>
            </w:tcMar>
          </w:tcPr>
          <w:p>
            <w:pPr>
              <w:spacing w:after="0"/>
            </w:pPr>
            <w:r>
              <w:rPr>
                <w:rFonts w:ascii="Garamond" w:cs="Garamond" w:eastAsia="Garamond" w:hAnsi="Garamond"/>
                <w:b w:val="false"/>
                <w:bCs w:val="false"/>
                <w:sz w:val="17"/>
                <w:szCs w:val="17"/>
              </w:rPr>
              <w:t xml:space="preserve">6.671 91(99)</w:t>
            </w:r>
          </w:p>
        </w:tc>
        <w:tc>
          <w:tcPr>
            <w:tcW w:type="auto" w:w="0"/>
            <w:tcMar>
              <w:top w:type="dxa" w:w="40"/>
              <w:left w:type="dxa" w:w="80"/>
              <w:bottom w:type="dxa" w:w="40"/>
              <w:right w:type="dxa" w:w="80"/>
            </w:tcMar>
          </w:tcPr>
          <w:p>
            <w:pPr>
              <w:spacing w:after="0"/>
            </w:pPr>
            <w:r>
              <w:rPr>
                <w:rFonts w:ascii="Garamond" w:cs="Garamond" w:eastAsia="Garamond" w:hAnsi="Garamond"/>
                <w:b w:val="false"/>
                <w:bCs w:val="false"/>
                <w:sz w:val="17"/>
                <w:szCs w:val="17"/>
              </w:rPr>
              <w:t xml:space="preserve">150</w:t>
            </w:r>
          </w:p>
        </w:tc>
        <w:tc>
          <w:tcPr>
            <w:tcW w:type="auto" w:w="0"/>
            <w:tcMar>
              <w:top w:type="dxa" w:w="40"/>
              <w:left w:type="dxa" w:w="80"/>
              <w:bottom w:type="dxa" w:w="40"/>
              <w:right w:type="dxa" w:w="80"/>
            </w:tcMar>
          </w:tcPr>
          <w:p>
            <w:pPr>
              <w:spacing w:after="0"/>
            </w:pPr>
            <w:r>
              <w:rPr>
                <w:rFonts w:ascii="Garamond" w:cs="Garamond" w:eastAsia="Garamond" w:hAnsi="Garamond"/>
                <w:b w:val="false"/>
                <w:bCs w:val="false"/>
                <w:sz w:val="17"/>
                <w:szCs w:val="17"/>
              </w:rPr>
              <w:t xml:space="preserve">Atom</w:t>
            </w:r>
          </w:p>
        </w:tc>
        <w:tc>
          <w:tcPr>
            <w:tcW w:type="auto" w:w="0"/>
            <w:tcMar>
              <w:top w:type="dxa" w:w="40"/>
              <w:left w:type="dxa" w:w="80"/>
              <w:bottom w:type="dxa" w:w="40"/>
              <w:right w:type="dxa" w:w="80"/>
            </w:tcMar>
          </w:tcPr>
          <w:p>
            <w:pPr>
              <w:spacing w:after="0"/>
            </w:pPr>
            <w:r>
              <w:rPr>
                <w:rFonts w:ascii="Garamond" w:cs="Garamond" w:eastAsia="Garamond" w:hAnsi="Garamond"/>
                <w:b w:val="false"/>
                <w:bCs w:val="false"/>
                <w:sz w:val="17"/>
                <w:szCs w:val="17"/>
              </w:rPr>
              <w:t xml:space="preserve">Cold-atom interferometry</w:t>
            </w:r>
          </w:p>
        </w:tc>
      </w:tr>
      <w:tr>
        <w:tc>
          <w:tcPr>
            <w:tcW w:type="auto" w:w="0"/>
            <w:tcMar>
              <w:top w:type="dxa" w:w="40"/>
              <w:left w:type="dxa" w:w="80"/>
              <w:bottom w:type="dxa" w:w="40"/>
              <w:right w:type="dxa" w:w="80"/>
            </w:tcMar>
          </w:tcPr>
          <w:p>
            <w:pPr>
              <w:spacing w:after="0"/>
            </w:pPr>
            <w:r>
              <w:rPr>
                <w:rFonts w:ascii="Garamond" w:cs="Garamond" w:eastAsia="Garamond" w:hAnsi="Garamond"/>
                <w:b w:val="false"/>
                <w:bCs w:val="false"/>
                <w:sz w:val="17"/>
                <w:szCs w:val="17"/>
              </w:rPr>
              <w:t xml:space="preserve">BIPM-14</w:t>
            </w:r>
          </w:p>
        </w:tc>
        <w:tc>
          <w:tcPr>
            <w:tcW w:type="auto" w:w="0"/>
            <w:tcMar>
              <w:top w:type="dxa" w:w="40"/>
              <w:left w:type="dxa" w:w="80"/>
              <w:bottom w:type="dxa" w:w="40"/>
              <w:right w:type="dxa" w:w="80"/>
            </w:tcMar>
          </w:tcPr>
          <w:p>
            <w:pPr>
              <w:spacing w:after="0"/>
            </w:pPr>
            <w:r>
              <w:rPr>
                <w:rFonts w:ascii="Garamond" w:cs="Garamond" w:eastAsia="Garamond" w:hAnsi="Garamond"/>
                <w:b w:val="false"/>
                <w:bCs w:val="false"/>
                <w:sz w:val="17"/>
                <w:szCs w:val="17"/>
              </w:rPr>
              <w:t xml:space="preserve">2014</w:t>
            </w:r>
          </w:p>
        </w:tc>
        <w:tc>
          <w:tcPr>
            <w:tcW w:type="auto" w:w="0"/>
            <w:tcMar>
              <w:top w:type="dxa" w:w="40"/>
              <w:left w:type="dxa" w:w="80"/>
              <w:bottom w:type="dxa" w:w="40"/>
              <w:right w:type="dxa" w:w="80"/>
            </w:tcMar>
          </w:tcPr>
          <w:p>
            <w:pPr>
              <w:spacing w:after="0"/>
            </w:pPr>
            <w:r>
              <w:rPr>
                <w:rFonts w:ascii="Garamond" w:cs="Garamond" w:eastAsia="Garamond" w:hAnsi="Garamond"/>
                <w:b w:val="false"/>
                <w:bCs w:val="false"/>
                <w:sz w:val="17"/>
                <w:szCs w:val="17"/>
              </w:rPr>
              <w:t xml:space="preserve">6.675 54(16)</w:t>
            </w:r>
          </w:p>
        </w:tc>
        <w:tc>
          <w:tcPr>
            <w:tcW w:type="auto" w:w="0"/>
            <w:tcMar>
              <w:top w:type="dxa" w:w="40"/>
              <w:left w:type="dxa" w:w="80"/>
              <w:bottom w:type="dxa" w:w="40"/>
              <w:right w:type="dxa" w:w="80"/>
            </w:tcMar>
          </w:tcPr>
          <w:p>
            <w:pPr>
              <w:spacing w:after="0"/>
            </w:pPr>
            <w:r>
              <w:rPr>
                <w:rFonts w:ascii="Garamond" w:cs="Garamond" w:eastAsia="Garamond" w:hAnsi="Garamond"/>
                <w:b w:val="false"/>
                <w:bCs w:val="false"/>
                <w:sz w:val="17"/>
                <w:szCs w:val="17"/>
              </w:rPr>
              <w:t xml:space="preserve">24</w:t>
            </w:r>
          </w:p>
        </w:tc>
        <w:tc>
          <w:tcPr>
            <w:tcW w:type="auto" w:w="0"/>
            <w:tcMar>
              <w:top w:type="dxa" w:w="40"/>
              <w:left w:type="dxa" w:w="80"/>
              <w:bottom w:type="dxa" w:w="40"/>
              <w:right w:type="dxa" w:w="80"/>
            </w:tcMar>
          </w:tcPr>
          <w:p>
            <w:pPr>
              <w:spacing w:after="0"/>
            </w:pPr>
            <w:r>
              <w:rPr>
                <w:rFonts w:ascii="Garamond" w:cs="Garamond" w:eastAsia="Garamond" w:hAnsi="Garamond"/>
                <w:b w:val="false"/>
                <w:bCs w:val="false"/>
                <w:sz w:val="17"/>
                <w:szCs w:val="17"/>
              </w:rPr>
              <w:t xml:space="preserve">Strip</w:t>
            </w:r>
          </w:p>
        </w:tc>
        <w:tc>
          <w:tcPr>
            <w:tcW w:type="auto" w:w="0"/>
            <w:tcMar>
              <w:top w:type="dxa" w:w="40"/>
              <w:left w:type="dxa" w:w="80"/>
              <w:bottom w:type="dxa" w:w="40"/>
              <w:right w:type="dxa" w:w="80"/>
            </w:tcMar>
          </w:tcPr>
          <w:p>
            <w:pPr>
              <w:spacing w:after="0"/>
            </w:pPr>
            <w:r>
              <w:rPr>
                <w:rFonts w:ascii="Garamond" w:cs="Garamond" w:eastAsia="Garamond" w:hAnsi="Garamond"/>
                <w:b w:val="false"/>
                <w:bCs w:val="false"/>
                <w:sz w:val="17"/>
                <w:szCs w:val="17"/>
              </w:rPr>
              <w:t xml:space="preserve">Torsion strip, servo + Cavendish</w:t>
            </w:r>
          </w:p>
        </w:tc>
      </w:tr>
      <w:tr>
        <w:tc>
          <w:tcPr>
            <w:tcW w:type="auto" w:w="0"/>
            <w:tcMar>
              <w:top w:type="dxa" w:w="40"/>
              <w:left w:type="dxa" w:w="80"/>
              <w:bottom w:type="dxa" w:w="40"/>
              <w:right w:type="dxa" w:w="80"/>
            </w:tcMar>
          </w:tcPr>
          <w:p>
            <w:pPr>
              <w:spacing w:after="0"/>
            </w:pPr>
            <w:r>
              <w:rPr>
                <w:rFonts w:ascii="Garamond" w:cs="Garamond" w:eastAsia="Garamond" w:hAnsi="Garamond"/>
                <w:b w:val="false"/>
                <w:bCs w:val="false"/>
                <w:sz w:val="17"/>
                <w:szCs w:val="17"/>
              </w:rPr>
              <w:t xml:space="preserve">UCI-14</w:t>
            </w:r>
          </w:p>
        </w:tc>
        <w:tc>
          <w:tcPr>
            <w:tcW w:type="auto" w:w="0"/>
            <w:tcMar>
              <w:top w:type="dxa" w:w="40"/>
              <w:left w:type="dxa" w:w="80"/>
              <w:bottom w:type="dxa" w:w="40"/>
              <w:right w:type="dxa" w:w="80"/>
            </w:tcMar>
          </w:tcPr>
          <w:p>
            <w:pPr>
              <w:spacing w:after="0"/>
            </w:pPr>
            <w:r>
              <w:rPr>
                <w:rFonts w:ascii="Garamond" w:cs="Garamond" w:eastAsia="Garamond" w:hAnsi="Garamond"/>
                <w:b w:val="false"/>
                <w:bCs w:val="false"/>
                <w:sz w:val="17"/>
                <w:szCs w:val="17"/>
              </w:rPr>
              <w:t xml:space="preserve">2014</w:t>
            </w:r>
          </w:p>
        </w:tc>
        <w:tc>
          <w:tcPr>
            <w:tcW w:type="auto" w:w="0"/>
            <w:tcMar>
              <w:top w:type="dxa" w:w="40"/>
              <w:left w:type="dxa" w:w="80"/>
              <w:bottom w:type="dxa" w:w="40"/>
              <w:right w:type="dxa" w:w="80"/>
            </w:tcMar>
          </w:tcPr>
          <w:p>
            <w:pPr>
              <w:spacing w:after="0"/>
            </w:pPr>
            <w:r>
              <w:rPr>
                <w:rFonts w:ascii="Garamond" w:cs="Garamond" w:eastAsia="Garamond" w:hAnsi="Garamond"/>
                <w:b w:val="false"/>
                <w:bCs w:val="false"/>
                <w:sz w:val="17"/>
                <w:szCs w:val="17"/>
              </w:rPr>
              <w:t xml:space="preserve">6.674 35(13)</w:t>
            </w:r>
          </w:p>
        </w:tc>
        <w:tc>
          <w:tcPr>
            <w:tcW w:type="auto" w:w="0"/>
            <w:tcMar>
              <w:top w:type="dxa" w:w="40"/>
              <w:left w:type="dxa" w:w="80"/>
              <w:bottom w:type="dxa" w:w="40"/>
              <w:right w:type="dxa" w:w="80"/>
            </w:tcMar>
          </w:tcPr>
          <w:p>
            <w:pPr>
              <w:spacing w:after="0"/>
            </w:pPr>
            <w:r>
              <w:rPr>
                <w:rFonts w:ascii="Garamond" w:cs="Garamond" w:eastAsia="Garamond" w:hAnsi="Garamond"/>
                <w:b w:val="false"/>
                <w:bCs w:val="false"/>
                <w:sz w:val="17"/>
                <w:szCs w:val="17"/>
              </w:rPr>
              <w:t xml:space="preserve">19</w:t>
            </w:r>
          </w:p>
        </w:tc>
        <w:tc>
          <w:tcPr>
            <w:tcW w:type="auto" w:w="0"/>
            <w:tcMar>
              <w:top w:type="dxa" w:w="40"/>
              <w:left w:type="dxa" w:w="80"/>
              <w:bottom w:type="dxa" w:w="40"/>
              <w:right w:type="dxa" w:w="80"/>
            </w:tcMar>
          </w:tcPr>
          <w:p>
            <w:pPr>
              <w:spacing w:after="0"/>
            </w:pPr>
            <w:r>
              <w:rPr>
                <w:rFonts w:ascii="Garamond" w:cs="Garamond" w:eastAsia="Garamond" w:hAnsi="Garamond"/>
                <w:b w:val="false"/>
                <w:bCs w:val="false"/>
                <w:sz w:val="17"/>
                <w:szCs w:val="17"/>
              </w:rPr>
              <w:t xml:space="preserve">ToS</w:t>
            </w:r>
          </w:p>
        </w:tc>
        <w:tc>
          <w:tcPr>
            <w:tcW w:type="auto" w:w="0"/>
            <w:tcMar>
              <w:top w:type="dxa" w:w="40"/>
              <w:left w:type="dxa" w:w="80"/>
              <w:bottom w:type="dxa" w:w="40"/>
              <w:right w:type="dxa" w:w="80"/>
            </w:tcMar>
          </w:tcPr>
          <w:p>
            <w:pPr>
              <w:spacing w:after="0"/>
            </w:pPr>
            <w:r>
              <w:rPr>
                <w:rFonts w:ascii="Garamond" w:cs="Garamond" w:eastAsia="Garamond" w:hAnsi="Garamond"/>
                <w:b w:val="false"/>
                <w:bCs w:val="false"/>
                <w:sz w:val="17"/>
                <w:szCs w:val="17"/>
              </w:rPr>
              <w:t xml:space="preserve">Cryogenic fiber torsion, time-of-swing</w:t>
            </w:r>
          </w:p>
        </w:tc>
      </w:tr>
      <w:tr>
        <w:tc>
          <w:tcPr>
            <w:tcW w:type="auto" w:w="0"/>
            <w:tcMar>
              <w:top w:type="dxa" w:w="40"/>
              <w:left w:type="dxa" w:w="80"/>
              <w:bottom w:type="dxa" w:w="40"/>
              <w:right w:type="dxa" w:w="80"/>
            </w:tcMar>
          </w:tcPr>
          <w:p>
            <w:pPr>
              <w:spacing w:after="0"/>
            </w:pPr>
            <w:r>
              <w:rPr>
                <w:rFonts w:ascii="Garamond" w:cs="Garamond" w:eastAsia="Garamond" w:hAnsi="Garamond"/>
                <w:b w:val="false"/>
                <w:bCs w:val="false"/>
                <w:sz w:val="17"/>
                <w:szCs w:val="17"/>
              </w:rPr>
              <w:t xml:space="preserve">HUST-T-18</w:t>
            </w:r>
          </w:p>
        </w:tc>
        <w:tc>
          <w:tcPr>
            <w:tcW w:type="auto" w:w="0"/>
            <w:tcMar>
              <w:top w:type="dxa" w:w="40"/>
              <w:left w:type="dxa" w:w="80"/>
              <w:bottom w:type="dxa" w:w="40"/>
              <w:right w:type="dxa" w:w="80"/>
            </w:tcMar>
          </w:tcPr>
          <w:p>
            <w:pPr>
              <w:spacing w:after="0"/>
            </w:pPr>
            <w:r>
              <w:rPr>
                <w:rFonts w:ascii="Garamond" w:cs="Garamond" w:eastAsia="Garamond" w:hAnsi="Garamond"/>
                <w:b w:val="false"/>
                <w:bCs w:val="false"/>
                <w:sz w:val="17"/>
                <w:szCs w:val="17"/>
              </w:rPr>
              <w:t xml:space="preserve">2018</w:t>
            </w:r>
          </w:p>
        </w:tc>
        <w:tc>
          <w:tcPr>
            <w:tcW w:type="auto" w:w="0"/>
            <w:tcMar>
              <w:top w:type="dxa" w:w="40"/>
              <w:left w:type="dxa" w:w="80"/>
              <w:bottom w:type="dxa" w:w="40"/>
              <w:right w:type="dxa" w:w="80"/>
            </w:tcMar>
          </w:tcPr>
          <w:p>
            <w:pPr>
              <w:spacing w:after="0"/>
            </w:pPr>
            <w:r>
              <w:rPr>
                <w:rFonts w:ascii="Garamond" w:cs="Garamond" w:eastAsia="Garamond" w:hAnsi="Garamond"/>
                <w:b w:val="false"/>
                <w:bCs w:val="false"/>
                <w:sz w:val="17"/>
                <w:szCs w:val="17"/>
              </w:rPr>
              <w:t xml:space="preserve">6.674 184(78)</w:t>
            </w:r>
          </w:p>
        </w:tc>
        <w:tc>
          <w:tcPr>
            <w:tcW w:type="auto" w:w="0"/>
            <w:tcMar>
              <w:top w:type="dxa" w:w="40"/>
              <w:left w:type="dxa" w:w="80"/>
              <w:bottom w:type="dxa" w:w="40"/>
              <w:right w:type="dxa" w:w="80"/>
            </w:tcMar>
          </w:tcPr>
          <w:p>
            <w:pPr>
              <w:spacing w:after="0"/>
            </w:pPr>
            <w:r>
              <w:rPr>
                <w:rFonts w:ascii="Garamond" w:cs="Garamond" w:eastAsia="Garamond" w:hAnsi="Garamond"/>
                <w:b w:val="false"/>
                <w:bCs w:val="false"/>
                <w:sz w:val="17"/>
                <w:szCs w:val="17"/>
              </w:rPr>
              <w:t xml:space="preserve">12</w:t>
            </w:r>
          </w:p>
        </w:tc>
        <w:tc>
          <w:tcPr>
            <w:tcW w:type="auto" w:w="0"/>
            <w:tcMar>
              <w:top w:type="dxa" w:w="40"/>
              <w:left w:type="dxa" w:w="80"/>
              <w:bottom w:type="dxa" w:w="40"/>
              <w:right w:type="dxa" w:w="80"/>
            </w:tcMar>
          </w:tcPr>
          <w:p>
            <w:pPr>
              <w:spacing w:after="0"/>
            </w:pPr>
            <w:r>
              <w:rPr>
                <w:rFonts w:ascii="Garamond" w:cs="Garamond" w:eastAsia="Garamond" w:hAnsi="Garamond"/>
                <w:b w:val="false"/>
                <w:bCs w:val="false"/>
                <w:sz w:val="17"/>
                <w:szCs w:val="17"/>
              </w:rPr>
              <w:t xml:space="preserve">ToS</w:t>
            </w:r>
          </w:p>
        </w:tc>
        <w:tc>
          <w:tcPr>
            <w:tcW w:type="auto" w:w="0"/>
            <w:tcMar>
              <w:top w:type="dxa" w:w="40"/>
              <w:left w:type="dxa" w:w="80"/>
              <w:bottom w:type="dxa" w:w="40"/>
              <w:right w:type="dxa" w:w="80"/>
            </w:tcMar>
          </w:tcPr>
          <w:p>
            <w:pPr>
              <w:spacing w:after="0"/>
            </w:pPr>
            <w:r>
              <w:rPr>
                <w:rFonts w:ascii="Garamond" w:cs="Garamond" w:eastAsia="Garamond" w:hAnsi="Garamond"/>
                <w:b w:val="false"/>
                <w:bCs w:val="false"/>
                <w:sz w:val="17"/>
                <w:szCs w:val="17"/>
              </w:rPr>
              <w:t xml:space="preserve">Fiber torsion, time-of-swing</w:t>
            </w:r>
          </w:p>
        </w:tc>
      </w:tr>
      <w:tr>
        <w:tc>
          <w:tcPr>
            <w:tcW w:type="auto" w:w="0"/>
            <w:tcMar>
              <w:top w:type="dxa" w:w="40"/>
              <w:left w:type="dxa" w:w="80"/>
              <w:bottom w:type="dxa" w:w="40"/>
              <w:right w:type="dxa" w:w="80"/>
            </w:tcMar>
          </w:tcPr>
          <w:p>
            <w:pPr>
              <w:spacing w:after="0"/>
            </w:pPr>
            <w:r>
              <w:rPr>
                <w:rFonts w:ascii="Garamond" w:cs="Garamond" w:eastAsia="Garamond" w:hAnsi="Garamond"/>
                <w:b w:val="false"/>
                <w:bCs w:val="false"/>
                <w:sz w:val="17"/>
                <w:szCs w:val="17"/>
              </w:rPr>
              <w:t xml:space="preserve">HUST-A-18</w:t>
            </w:r>
          </w:p>
        </w:tc>
        <w:tc>
          <w:tcPr>
            <w:tcW w:type="auto" w:w="0"/>
            <w:tcMar>
              <w:top w:type="dxa" w:w="40"/>
              <w:left w:type="dxa" w:w="80"/>
              <w:bottom w:type="dxa" w:w="40"/>
              <w:right w:type="dxa" w:w="80"/>
            </w:tcMar>
          </w:tcPr>
          <w:p>
            <w:pPr>
              <w:spacing w:after="0"/>
            </w:pPr>
            <w:r>
              <w:rPr>
                <w:rFonts w:ascii="Garamond" w:cs="Garamond" w:eastAsia="Garamond" w:hAnsi="Garamond"/>
                <w:b w:val="false"/>
                <w:bCs w:val="false"/>
                <w:sz w:val="17"/>
                <w:szCs w:val="17"/>
              </w:rPr>
              <w:t xml:space="preserve">2018</w:t>
            </w:r>
          </w:p>
        </w:tc>
        <w:tc>
          <w:tcPr>
            <w:tcW w:type="auto" w:w="0"/>
            <w:tcMar>
              <w:top w:type="dxa" w:w="40"/>
              <w:left w:type="dxa" w:w="80"/>
              <w:bottom w:type="dxa" w:w="40"/>
              <w:right w:type="dxa" w:w="80"/>
            </w:tcMar>
          </w:tcPr>
          <w:p>
            <w:pPr>
              <w:spacing w:after="0"/>
            </w:pPr>
            <w:r>
              <w:rPr>
                <w:rFonts w:ascii="Garamond" w:cs="Garamond" w:eastAsia="Garamond" w:hAnsi="Garamond"/>
                <w:b w:val="false"/>
                <w:bCs w:val="false"/>
                <w:sz w:val="17"/>
                <w:szCs w:val="17"/>
              </w:rPr>
              <w:t xml:space="preserve">6.674 484(77)</w:t>
            </w:r>
          </w:p>
        </w:tc>
        <w:tc>
          <w:tcPr>
            <w:tcW w:type="auto" w:w="0"/>
            <w:tcMar>
              <w:top w:type="dxa" w:w="40"/>
              <w:left w:type="dxa" w:w="80"/>
              <w:bottom w:type="dxa" w:w="40"/>
              <w:right w:type="dxa" w:w="80"/>
            </w:tcMar>
          </w:tcPr>
          <w:p>
            <w:pPr>
              <w:spacing w:after="0"/>
            </w:pPr>
            <w:r>
              <w:rPr>
                <w:rFonts w:ascii="Garamond" w:cs="Garamond" w:eastAsia="Garamond" w:hAnsi="Garamond"/>
                <w:b w:val="false"/>
                <w:bCs w:val="false"/>
                <w:sz w:val="17"/>
                <w:szCs w:val="17"/>
              </w:rPr>
              <w:t xml:space="preserve">12</w:t>
            </w:r>
          </w:p>
        </w:tc>
        <w:tc>
          <w:tcPr>
            <w:tcW w:type="auto" w:w="0"/>
            <w:tcMar>
              <w:top w:type="dxa" w:w="40"/>
              <w:left w:type="dxa" w:w="80"/>
              <w:bottom w:type="dxa" w:w="40"/>
              <w:right w:type="dxa" w:w="80"/>
            </w:tcMar>
          </w:tcPr>
          <w:p>
            <w:pPr>
              <w:spacing w:after="0"/>
            </w:pPr>
            <w:r>
              <w:rPr>
                <w:rFonts w:ascii="Garamond" w:cs="Garamond" w:eastAsia="Garamond" w:hAnsi="Garamond"/>
                <w:b w:val="false"/>
                <w:bCs w:val="false"/>
                <w:sz w:val="17"/>
                <w:szCs w:val="17"/>
              </w:rPr>
              <w:t xml:space="preserve">AAF</w:t>
            </w:r>
          </w:p>
        </w:tc>
        <w:tc>
          <w:tcPr>
            <w:tcW w:type="auto" w:w="0"/>
            <w:tcMar>
              <w:top w:type="dxa" w:w="40"/>
              <w:left w:type="dxa" w:w="80"/>
              <w:bottom w:type="dxa" w:w="40"/>
              <w:right w:type="dxa" w:w="80"/>
            </w:tcMar>
          </w:tcPr>
          <w:p>
            <w:pPr>
              <w:spacing w:after="0"/>
            </w:pPr>
            <w:r>
              <w:rPr>
                <w:rFonts w:ascii="Garamond" w:cs="Garamond" w:eastAsia="Garamond" w:hAnsi="Garamond"/>
                <w:b w:val="false"/>
                <w:bCs w:val="false"/>
                <w:sz w:val="17"/>
                <w:szCs w:val="17"/>
              </w:rPr>
              <w:t xml:space="preserve">Torsion, angular-acceleration feedback</w:t>
            </w:r>
          </w:p>
        </w:tc>
      </w:tr>
      <w:tr>
        <w:tc>
          <w:tcPr>
            <w:tcW w:type="auto" w:w="0"/>
            <w:tcMar>
              <w:top w:type="dxa" w:w="40"/>
              <w:left w:type="dxa" w:w="80"/>
              <w:bottom w:type="dxa" w:w="40"/>
              <w:right w:type="dxa" w:w="80"/>
            </w:tcMar>
          </w:tcPr>
          <w:p>
            <w:pPr>
              <w:spacing w:after="0"/>
            </w:pPr>
            <w:r>
              <w:rPr>
                <w:rFonts w:ascii="Garamond" w:cs="Garamond" w:eastAsia="Garamond" w:hAnsi="Garamond"/>
                <w:b w:val="false"/>
                <w:bCs w:val="false"/>
                <w:sz w:val="17"/>
                <w:szCs w:val="17"/>
              </w:rPr>
              <w:t xml:space="preserve">JILA-18</w:t>
            </w:r>
          </w:p>
        </w:tc>
        <w:tc>
          <w:tcPr>
            <w:tcW w:type="auto" w:w="0"/>
            <w:tcMar>
              <w:top w:type="dxa" w:w="40"/>
              <w:left w:type="dxa" w:w="80"/>
              <w:bottom w:type="dxa" w:w="40"/>
              <w:right w:type="dxa" w:w="80"/>
            </w:tcMar>
          </w:tcPr>
          <w:p>
            <w:pPr>
              <w:spacing w:after="0"/>
            </w:pPr>
            <w:r>
              <w:rPr>
                <w:rFonts w:ascii="Garamond" w:cs="Garamond" w:eastAsia="Garamond" w:hAnsi="Garamond"/>
                <w:b w:val="false"/>
                <w:bCs w:val="false"/>
                <w:sz w:val="17"/>
                <w:szCs w:val="17"/>
              </w:rPr>
              <w:t xml:space="preserve">2019</w:t>
            </w:r>
          </w:p>
        </w:tc>
        <w:tc>
          <w:tcPr>
            <w:tcW w:type="auto" w:w="0"/>
            <w:tcMar>
              <w:top w:type="dxa" w:w="40"/>
              <w:left w:type="dxa" w:w="80"/>
              <w:bottom w:type="dxa" w:w="40"/>
              <w:right w:type="dxa" w:w="80"/>
            </w:tcMar>
          </w:tcPr>
          <w:p>
            <w:pPr>
              <w:spacing w:after="0"/>
            </w:pPr>
            <w:r>
              <w:rPr>
                <w:rFonts w:ascii="Garamond" w:cs="Garamond" w:eastAsia="Garamond" w:hAnsi="Garamond"/>
                <w:b w:val="false"/>
                <w:bCs w:val="false"/>
                <w:sz w:val="17"/>
                <w:szCs w:val="17"/>
              </w:rPr>
              <w:t xml:space="preserve">6.672 60(25)</w:t>
            </w:r>
          </w:p>
        </w:tc>
        <w:tc>
          <w:tcPr>
            <w:tcW w:type="auto" w:w="0"/>
            <w:tcMar>
              <w:top w:type="dxa" w:w="40"/>
              <w:left w:type="dxa" w:w="80"/>
              <w:bottom w:type="dxa" w:w="40"/>
              <w:right w:type="dxa" w:w="80"/>
            </w:tcMar>
          </w:tcPr>
          <w:p>
            <w:pPr>
              <w:spacing w:after="0"/>
            </w:pPr>
            <w:r>
              <w:rPr>
                <w:rFonts w:ascii="Garamond" w:cs="Garamond" w:eastAsia="Garamond" w:hAnsi="Garamond"/>
                <w:b w:val="false"/>
                <w:bCs w:val="false"/>
                <w:sz w:val="17"/>
                <w:szCs w:val="17"/>
              </w:rPr>
              <w:t xml:space="preserve">37</w:t>
            </w:r>
          </w:p>
        </w:tc>
        <w:tc>
          <w:tcPr>
            <w:tcW w:type="auto" w:w="0"/>
            <w:tcMar>
              <w:top w:type="dxa" w:w="40"/>
              <w:left w:type="dxa" w:w="80"/>
              <w:bottom w:type="dxa" w:w="40"/>
              <w:right w:type="dxa" w:w="80"/>
            </w:tcMar>
          </w:tcPr>
          <w:p>
            <w:pPr>
              <w:spacing w:after="0"/>
            </w:pPr>
            <w:r>
              <w:rPr>
                <w:rFonts w:ascii="Garamond" w:cs="Garamond" w:eastAsia="Garamond" w:hAnsi="Garamond"/>
                <w:b w:val="false"/>
                <w:bCs w:val="false"/>
                <w:sz w:val="17"/>
                <w:szCs w:val="17"/>
              </w:rPr>
              <w:t xml:space="preserve">F-P</w:t>
            </w:r>
          </w:p>
        </w:tc>
        <w:tc>
          <w:tcPr>
            <w:tcW w:type="auto" w:w="0"/>
            <w:tcMar>
              <w:top w:type="dxa" w:w="40"/>
              <w:left w:type="dxa" w:w="80"/>
              <w:bottom w:type="dxa" w:w="40"/>
              <w:right w:type="dxa" w:w="80"/>
            </w:tcMar>
          </w:tcPr>
          <w:p>
            <w:pPr>
              <w:spacing w:after="0"/>
            </w:pPr>
            <w:r>
              <w:rPr>
                <w:rFonts w:ascii="Garamond" w:cs="Garamond" w:eastAsia="Garamond" w:hAnsi="Garamond"/>
                <w:b w:val="false"/>
                <w:bCs w:val="false"/>
                <w:sz w:val="17"/>
                <w:szCs w:val="17"/>
              </w:rPr>
              <w:t xml:space="preserve">Suspended pendulums, laser interferometry (corrected JILA-10)</w:t>
            </w:r>
          </w:p>
        </w:tc>
      </w:tr>
      <w:tr>
        <w:tc>
          <w:tcPr>
            <w:tcW w:type="auto" w:w="0"/>
            <w:tcMar>
              <w:top w:type="dxa" w:w="40"/>
              <w:left w:type="dxa" w:w="80"/>
              <w:bottom w:type="dxa" w:w="40"/>
              <w:right w:type="dxa" w:w="80"/>
            </w:tcMar>
          </w:tcPr>
          <w:p>
            <w:pPr>
              <w:spacing w:after="0"/>
            </w:pPr>
            <w:r>
              <w:rPr>
                <w:rFonts w:ascii="Garamond" w:cs="Garamond" w:eastAsia="Garamond" w:hAnsi="Garamond"/>
                <w:b w:val="false"/>
                <w:bCs w:val="false"/>
                <w:sz w:val="17"/>
                <w:szCs w:val="17"/>
              </w:rPr>
              <w:t xml:space="preserve">NIST-26</w:t>
            </w:r>
          </w:p>
        </w:tc>
        <w:tc>
          <w:tcPr>
            <w:tcW w:type="auto" w:w="0"/>
            <w:tcMar>
              <w:top w:type="dxa" w:w="40"/>
              <w:left w:type="dxa" w:w="80"/>
              <w:bottom w:type="dxa" w:w="40"/>
              <w:right w:type="dxa" w:w="80"/>
            </w:tcMar>
          </w:tcPr>
          <w:p>
            <w:pPr>
              <w:spacing w:after="0"/>
            </w:pPr>
            <w:r>
              <w:rPr>
                <w:rFonts w:ascii="Garamond" w:cs="Garamond" w:eastAsia="Garamond" w:hAnsi="Garamond"/>
                <w:b w:val="false"/>
                <w:bCs w:val="false"/>
                <w:sz w:val="17"/>
                <w:szCs w:val="17"/>
              </w:rPr>
              <w:t xml:space="preserve">2026</w:t>
            </w:r>
          </w:p>
        </w:tc>
        <w:tc>
          <w:tcPr>
            <w:tcW w:type="auto" w:w="0"/>
            <w:tcMar>
              <w:top w:type="dxa" w:w="40"/>
              <w:left w:type="dxa" w:w="80"/>
              <w:bottom w:type="dxa" w:w="40"/>
              <w:right w:type="dxa" w:w="80"/>
            </w:tcMar>
          </w:tcPr>
          <w:p>
            <w:pPr>
              <w:spacing w:after="0"/>
            </w:pPr>
            <w:r>
              <w:rPr>
                <w:rFonts w:ascii="Garamond" w:cs="Garamond" w:eastAsia="Garamond" w:hAnsi="Garamond"/>
                <w:b w:val="false"/>
                <w:bCs w:val="false"/>
                <w:sz w:val="17"/>
                <w:szCs w:val="17"/>
              </w:rPr>
              <w:t xml:space="preserve">6.673 87(38)</w:t>
            </w:r>
          </w:p>
        </w:tc>
        <w:tc>
          <w:tcPr>
            <w:tcW w:type="auto" w:w="0"/>
            <w:tcMar>
              <w:top w:type="dxa" w:w="40"/>
              <w:left w:type="dxa" w:w="80"/>
              <w:bottom w:type="dxa" w:w="40"/>
              <w:right w:type="dxa" w:w="80"/>
            </w:tcMar>
          </w:tcPr>
          <w:p>
            <w:pPr>
              <w:spacing w:after="0"/>
            </w:pPr>
            <w:r>
              <w:rPr>
                <w:rFonts w:ascii="Garamond" w:cs="Garamond" w:eastAsia="Garamond" w:hAnsi="Garamond"/>
                <w:b w:val="false"/>
                <w:bCs w:val="false"/>
                <w:sz w:val="17"/>
                <w:szCs w:val="17"/>
              </w:rPr>
              <w:t xml:space="preserve">57</w:t>
            </w:r>
          </w:p>
        </w:tc>
        <w:tc>
          <w:tcPr>
            <w:tcW w:type="auto" w:w="0"/>
            <w:tcMar>
              <w:top w:type="dxa" w:w="40"/>
              <w:left w:type="dxa" w:w="80"/>
              <w:bottom w:type="dxa" w:w="40"/>
              <w:right w:type="dxa" w:w="80"/>
            </w:tcMar>
          </w:tcPr>
          <w:p>
            <w:pPr>
              <w:spacing w:after="0"/>
            </w:pPr>
            <w:r>
              <w:rPr>
                <w:rFonts w:ascii="Garamond" w:cs="Garamond" w:eastAsia="Garamond" w:hAnsi="Garamond"/>
                <w:b w:val="false"/>
                <w:bCs w:val="false"/>
                <w:sz w:val="17"/>
                <w:szCs w:val="17"/>
              </w:rPr>
              <w:t xml:space="preserve">Strip</w:t>
            </w:r>
          </w:p>
        </w:tc>
        <w:tc>
          <w:tcPr>
            <w:tcW w:type="auto" w:w="0"/>
            <w:tcMar>
              <w:top w:type="dxa" w:w="40"/>
              <w:left w:type="dxa" w:w="80"/>
              <w:bottom w:type="dxa" w:w="40"/>
              <w:right w:type="dxa" w:w="80"/>
            </w:tcMar>
          </w:tcPr>
          <w:p>
            <w:pPr>
              <w:spacing w:after="0"/>
            </w:pPr>
            <w:r>
              <w:rPr>
                <w:rFonts w:ascii="Garamond" w:cs="Garamond" w:eastAsia="Garamond" w:hAnsi="Garamond"/>
                <w:b w:val="false"/>
                <w:bCs w:val="false"/>
                <w:sz w:val="17"/>
                <w:szCs w:val="17"/>
              </w:rPr>
              <w:t xml:space="preserve">BIPM torsion balance replicated at NIST — not yet a CODATA input</w:t>
            </w:r>
          </w:p>
        </w:tc>
      </w:tr>
    </w:tbl>
    <w:p>
      <w:pPr>
        <w:spacing w:after="140"/>
      </w:pPr>
    </w:p>
    <w:p>
      <w:pPr>
        <w:spacing w:after="60"/>
        <w:jc w:val="center"/>
      </w:pPr>
      <w:r>
        <w:drawing>
          <wp:inline distT="0" distB="0" distL="0" distR="0">
            <wp:extent cx="5334000" cy="31337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334000" cy="3133725"/>
                    </a:xfrm>
                    <a:prstGeom prst="rect">
                      <a:avLst/>
                    </a:prstGeom>
                  </pic:spPr>
                </pic:pic>
              </a:graphicData>
            </a:graphic>
          </wp:inline>
        </w:drawing>
      </w:r>
    </w:p>
    <w:p>
      <w:pPr>
        <w:spacing w:after="200" w:line="264"/>
        <w:jc w:val="both"/>
      </w:pPr>
      <w:r>
        <w:rPr>
          <w:rFonts w:ascii="Garamond" w:cs="Garamond" w:eastAsia="Garamond" w:hAnsi="Garamond"/>
          <w:i/>
          <w:iCs/>
          <w:sz w:val="18"/>
          <w:szCs w:val="18"/>
        </w:rPr>
        <w:t xml:space="preserve">Figure 1. The seventeen determinations against the three reference values. The AP28 structural value, 6.72060 × 10⁻¹¹, sits +0.69% above the frame — outside every experiment ever performed. The realised value of The Snap v0.2 (dashed) sits at the low edge of the landscape; the CODATA 2022 band at its centre. NIST-26 (square) is the BIPM apparatus replicated at a new site by a new team: −254 ppm.</w:t>
      </w:r>
    </w:p>
    <w:p>
      <w:pPr>
        <w:pStyle w:val="Heading1"/>
        <w:spacing w:after="130" w:before="280"/>
      </w:pPr>
      <w:r>
        <w:rPr>
          <w:rFonts w:ascii="Garamond" w:cs="Garamond" w:eastAsia="Garamond" w:hAnsi="Garamond"/>
          <w:b/>
          <w:bCs/>
          <w:color w:val="000000"/>
          <w:sz w:val="26"/>
          <w:szCs w:val="26"/>
        </w:rPr>
        <w:t xml:space="preserve">3 — Method, fixed before computation</w:t>
      </w:r>
    </w:p>
    <w:p>
      <w:pPr>
        <w:spacing w:after="140" w:line="264"/>
        <w:jc w:val="both"/>
      </w:pPr>
      <w:r>
        <w:rPr>
          <w:rFonts w:ascii="Garamond" w:cs="Garamond" w:eastAsia="Garamond" w:hAnsi="Garamond"/>
          <w:sz w:val="21"/>
          <w:szCs w:val="21"/>
        </w:rPr>
        <w:t xml:space="preserve">Three commitments were fixed before any statistic was computed. First: the classification is the literature’s own method taxonomy (time-of-swing, angular-acceleration feedback, servo/strip, Fabry–Pérot suspension, beam balance, atom interferometry) — nothing invented for this analysis. Second: the calibration experiments are the three the record naturally contains — same laboratory with two methods (the HUST-18 pair), same apparatus across thirteen years (BIPM-01 against BIPM-14), and same apparatus at a new site with a new team (BIPM against NIST-26) — plus the full field range as the outer bound. Third: no retroactive boundary scoring (§0). The Candidate 1 quantity computed is the implied leakage η_i = 1 − G_i/G_struct with G_struct = 6.72060 × 10⁻¹¹; the Candidate 3 quantity is the residual r_i = G_i/G_real − 1 with G_real = 6.67192 × 10⁻¹¹.</w:t>
      </w:r>
    </w:p>
    <w:p>
      <w:pPr>
        <w:pStyle w:val="Heading1"/>
        <w:spacing w:after="130" w:before="280"/>
      </w:pPr>
      <w:r>
        <w:rPr>
          <w:rFonts w:ascii="Garamond" w:cs="Garamond" w:eastAsia="Garamond" w:hAnsi="Garamond"/>
          <w:b/>
          <w:bCs/>
          <w:color w:val="000000"/>
          <w:sz w:val="26"/>
          <w:szCs w:val="26"/>
        </w:rPr>
        <w:t xml:space="preserve">4 — Results</w:t>
      </w:r>
    </w:p>
    <w:p>
      <w:pPr>
        <w:pStyle w:val="Heading2"/>
        <w:spacing w:after="100" w:before="200"/>
      </w:pPr>
      <w:r>
        <w:rPr>
          <w:rFonts w:ascii="Garamond" w:cs="Garamond" w:eastAsia="Garamond" w:hAnsi="Garamond"/>
          <w:b/>
          <w:bCs/>
          <w:color w:val="000000"/>
          <w:sz w:val="22"/>
          <w:szCs w:val="22"/>
        </w:rPr>
        <w:t xml:space="preserve">4.1 — The field</w:t>
      </w:r>
    </w:p>
    <w:p>
      <w:pPr>
        <w:spacing w:after="140" w:line="264"/>
        <w:jc w:val="both"/>
      </w:pPr>
      <w:r>
        <w:rPr>
          <w:rFonts w:ascii="Garamond" w:cs="Garamond" w:eastAsia="Garamond" w:hAnsi="Garamond"/>
          <w:sz w:val="21"/>
          <w:szCs w:val="21"/>
        </w:rPr>
        <w:t xml:space="preserve">The sixteen CODATA inputs span 551 ppm (unweighted scatter 163 ppm about the mean), with a Birge ratio of 3.6 — consistent with CODATA’s own remedy of expanding all sixteen uncertainties by a factor of 3.9 to force consistency. The three largest normalised residuals sit on both sides of the mean: BIPM-14 (+, 7.7), JILA-18 (−, 6.8), BIPM-01 (+, 4.8). The inconsistency of G metrology is real, two-sided, and of order a few hundred ppm.</w:t>
      </w:r>
    </w:p>
    <w:p>
      <w:pPr>
        <w:pStyle w:val="Heading2"/>
        <w:spacing w:after="100" w:before="200"/>
      </w:pPr>
      <w:r>
        <w:rPr>
          <w:rFonts w:ascii="Garamond" w:cs="Garamond" w:eastAsia="Garamond" w:hAnsi="Garamond"/>
          <w:b/>
          <w:bCs/>
          <w:color w:val="000000"/>
          <w:sz w:val="22"/>
          <w:szCs w:val="22"/>
        </w:rPr>
        <w:t xml:space="preserve">4.2 — Candidate 1’s implied leakages</w:t>
      </w:r>
    </w:p>
    <w:p>
      <w:pPr>
        <w:spacing w:after="140" w:line="264"/>
        <w:jc w:val="both"/>
      </w:pPr>
      <w:r>
        <w:rPr>
          <w:rFonts w:ascii="Garamond" w:cs="Garamond" w:eastAsia="Garamond" w:hAnsi="Garamond"/>
          <w:sz w:val="21"/>
          <w:szCs w:val="21"/>
        </w:rPr>
        <w:t xml:space="preserve">Computed against the structural value, the seventeen implied leakages have mean 6,968 ppm and standard deviation 157 ppm — a coefficient of variation of 2.3%. Grouped by method class, every class mean lies between 6,786 and 7,245 ppm: the entire design-to-design span is 460 ppm against a common component of 6,968 ppm. Under Candidate 1, then, at least 93% of a “boundary-geometry-dependent” effect is identical across a sealed cryogenic torsion fibre, a beam balance, and a cloud of cold atoms in free fall with no material boundary at all.</w:t>
      </w:r>
    </w:p>
    <w:p>
      <w:pPr>
        <w:spacing w:after="140" w:line="264"/>
        <w:jc w:val="both"/>
      </w:pPr>
      <w:r>
        <w:rPr>
          <w:rFonts w:ascii="Garamond" w:cs="Garamond" w:eastAsia="Garamond" w:hAnsi="Garamond"/>
          <w:sz w:val="21"/>
          <w:szCs w:val="21"/>
        </w:rPr>
        <w:t xml:space="preserve">On the structure </w:t>
      </w:r>
      <w:r>
        <w:rPr>
          <w:rFonts w:ascii="Garamond" w:cs="Garamond" w:eastAsia="Garamond" w:hAnsi="Garamond"/>
          <w:i/>
          <w:iCs/>
          <w:sz w:val="21"/>
          <w:szCs w:val="21"/>
        </w:rPr>
        <w:t xml:space="preserve">within</w:t>
      </w:r>
      <w:r>
        <w:rPr>
          <w:rFonts w:ascii="Garamond" w:cs="Garamond" w:eastAsia="Garamond" w:hAnsi="Garamond"/>
          <w:sz w:val="21"/>
          <w:szCs w:val="21"/>
        </w:rPr>
        <w:t xml:space="preserve"> the scatter, this revision corrects its own first pass. The raw between-class variance share (71%) is an artifact of the taxonomy: nine classes over seventeen points leave six singletons, and a singleton contributes its whole deviation to the between-class sum and nothing to the within — the statistic is inflated by construction. Run properly, a one-way ANOVA gives F(8,8) = 2.47, p = 0.11 on the nine classes, and p ≈ 0.06–0.20 across reasonable merged groupings. Method structure in the scatter is therefore </w:t>
      </w:r>
      <w:r>
        <w:rPr>
          <w:rFonts w:ascii="Garamond" w:cs="Garamond" w:eastAsia="Garamond" w:hAnsi="Garamond"/>
          <w:i/>
          <w:iCs/>
          <w:sz w:val="21"/>
          <w:szCs w:val="21"/>
        </w:rPr>
        <w:t xml:space="preserve">at best marginal, not established</w:t>
      </w:r>
      <w:r>
        <w:rPr>
          <w:rFonts w:ascii="Garamond" w:cs="Garamond" w:eastAsia="Garamond" w:hAnsi="Garamond"/>
          <w:sz w:val="21"/>
          <w:szCs w:val="21"/>
        </w:rPr>
        <w:t xml:space="preserve"> — the strip-servo family reads high and the time-of-swing family low-centred, suggestively but not significantly — and settling exactly that correlation is what Tier 2 exists to do.</w:t>
      </w:r>
    </w:p>
    <w:p>
      <w:pPr>
        <w:pStyle w:val="Heading2"/>
        <w:spacing w:after="100" w:before="200"/>
      </w:pPr>
      <w:r>
        <w:rPr>
          <w:rFonts w:ascii="Garamond" w:cs="Garamond" w:eastAsia="Garamond" w:hAnsi="Garamond"/>
          <w:b/>
          <w:bCs/>
          <w:color w:val="000000"/>
          <w:sz w:val="22"/>
          <w:szCs w:val="22"/>
        </w:rPr>
        <w:t xml:space="preserve">4.3 — The three calibrations</w:t>
      </w:r>
    </w:p>
    <w:p>
      <w:pPr>
        <w:spacing w:after="140" w:line="264"/>
        <w:jc w:val="both"/>
      </w:pPr>
      <w:r>
        <w:rPr>
          <w:rFonts w:ascii="Garamond" w:cs="Garamond" w:eastAsia="Garamond" w:hAnsi="Garamond"/>
          <w:sz w:val="21"/>
          <w:szCs w:val="21"/>
        </w:rPr>
        <w:t xml:space="preserve">Same laboratory, two methods (HUST-18): </w:t>
      </w:r>
      <w:r>
        <w:rPr>
          <w:rFonts w:ascii="Garamond" w:cs="Garamond" w:eastAsia="Garamond" w:hAnsi="Garamond"/>
          <w:b/>
          <w:bCs/>
          <w:sz w:val="21"/>
          <w:szCs w:val="21"/>
        </w:rPr>
        <w:t xml:space="preserve">45 ppm.</w:t>
      </w:r>
      <w:r>
        <w:rPr>
          <w:rFonts w:ascii="Garamond" w:cs="Garamond" w:eastAsia="Garamond" w:hAnsi="Garamond"/>
          <w:sz w:val="21"/>
          <w:szCs w:val="21"/>
        </w:rPr>
        <w:t xml:space="preserve"> Same apparatus, thirteen years apart (BIPM-01 vs BIPM-14): </w:t>
      </w:r>
      <w:r>
        <w:rPr>
          <w:rFonts w:ascii="Garamond" w:cs="Garamond" w:eastAsia="Garamond" w:hAnsi="Garamond"/>
          <w:b/>
          <w:bCs/>
          <w:sz w:val="21"/>
          <w:szCs w:val="21"/>
        </w:rPr>
        <w:t xml:space="preserve">7.5 ppm.</w:t>
      </w:r>
      <w:r>
        <w:rPr>
          <w:rFonts w:ascii="Garamond" w:cs="Garamond" w:eastAsia="Garamond" w:hAnsi="Garamond"/>
          <w:sz w:val="21"/>
          <w:szCs w:val="21"/>
        </w:rPr>
        <w:t xml:space="preserve"> Same apparatus, new site, new team (BIPM mean vs NIST-26): </w:t>
      </w:r>
      <w:r>
        <w:rPr>
          <w:rFonts w:ascii="Garamond" w:cs="Garamond" w:eastAsia="Garamond" w:hAnsi="Garamond"/>
          <w:b/>
          <w:bCs/>
          <w:sz w:val="21"/>
          <w:szCs w:val="21"/>
        </w:rPr>
        <w:t xml:space="preserve">254 ppm.</w:t>
      </w:r>
      <w:r>
        <w:rPr>
          <w:rFonts w:ascii="Garamond" w:cs="Garamond" w:eastAsia="Garamond" w:hAnsi="Garamond"/>
          <w:sz w:val="21"/>
          <w:szCs w:val="21"/>
        </w:rPr>
        <w:t xml:space="preserve"> Full field range: </w:t>
      </w:r>
      <w:r>
        <w:rPr>
          <w:rFonts w:ascii="Garamond" w:cs="Garamond" w:eastAsia="Garamond" w:hAnsi="Garamond"/>
          <w:b/>
          <w:bCs/>
          <w:sz w:val="21"/>
          <w:szCs w:val="21"/>
        </w:rPr>
        <w:t xml:space="preserve">551 ppm</w:t>
      </w:r>
      <w:r>
        <w:rPr>
          <w:rFonts w:ascii="Garamond" w:cs="Garamond" w:eastAsia="Garamond" w:hAnsi="Garamond"/>
          <w:sz w:val="21"/>
          <w:szCs w:val="21"/>
        </w:rPr>
        <w:t xml:space="preserve"> (386 ppm excluding the BIPM pair). Every direct calibration of apparatus-plus-site-plus-team effects lands between 7.5 and 254 ppm; the outer bound from the whole field is 551. The scale Candidate 1 requires is 6,967 — a strain factor of </w:t>
      </w:r>
      <w:r>
        <w:rPr>
          <w:rFonts w:ascii="Garamond" w:cs="Garamond" w:eastAsia="Garamond" w:hAnsi="Garamond"/>
          <w:b/>
          <w:bCs/>
          <w:sz w:val="21"/>
          <w:szCs w:val="21"/>
        </w:rPr>
        <w:t xml:space="preserve">27.4</w:t>
      </w:r>
      <w:r>
        <w:rPr>
          <w:rFonts w:ascii="Garamond" w:cs="Garamond" w:eastAsia="Garamond" w:hAnsi="Garamond"/>
          <w:sz w:val="21"/>
          <w:szCs w:val="21"/>
        </w:rPr>
        <w:t xml:space="preserve"> against the strongest calibration and </w:t>
      </w:r>
      <w:r>
        <w:rPr>
          <w:rFonts w:ascii="Garamond" w:cs="Garamond" w:eastAsia="Garamond" w:hAnsi="Garamond"/>
          <w:b/>
          <w:bCs/>
          <w:sz w:val="21"/>
          <w:szCs w:val="21"/>
        </w:rPr>
        <w:t xml:space="preserve">12.6</w:t>
      </w:r>
      <w:r>
        <w:rPr>
          <w:rFonts w:ascii="Garamond" w:cs="Garamond" w:eastAsia="Garamond" w:hAnsi="Garamond"/>
          <w:sz w:val="21"/>
          <w:szCs w:val="21"/>
        </w:rPr>
        <w:t xml:space="preserve"> against the outermost bound. And the bound is external — a measured reproducibility limit from the field’s only replication — not an internal reading of AP06 that a hostile reader could dispute. The AC-magnetic side door is closed twice over: Speake et al. (2023, as cited in the CODATA 2022 adjustment) bounded the stray-field explanation of the BIPM outliers as unlikely, and NIST-26 tested it conclusively by re-running with single-crystal sapphire source masses.</w:t>
      </w:r>
    </w:p>
    <w:p>
      <w:pPr>
        <w:pStyle w:val="Heading2"/>
        <w:spacing w:after="100" w:before="200"/>
      </w:pPr>
      <w:r>
        <w:rPr>
          <w:rFonts w:ascii="Garamond" w:cs="Garamond" w:eastAsia="Garamond" w:hAnsi="Garamond"/>
          <w:b/>
          <w:bCs/>
          <w:color w:val="000000"/>
          <w:sz w:val="22"/>
          <w:szCs w:val="22"/>
        </w:rPr>
        <w:t xml:space="preserve">4.4 — NIST-26, the decisive point</w:t>
      </w:r>
    </w:p>
    <w:p>
      <w:pPr>
        <w:spacing w:after="140" w:line="264"/>
        <w:jc w:val="both"/>
      </w:pPr>
      <w:r>
        <w:rPr>
          <w:rFonts w:ascii="Garamond" w:cs="Garamond" w:eastAsia="Garamond" w:hAnsi="Garamond"/>
          <w:sz w:val="21"/>
          <w:szCs w:val="21"/>
        </w:rPr>
        <w:t xml:space="preserve">NIST-26 is the first replication in the history of high-precision G metrology: the identical BIPM torsion balance, the historically highest-reading and most divergent apparatus, rebuilt and re-run at NIST over a decade by an independent team. It returned 6.67387(38) — </w:t>
      </w:r>
      <w:r>
        <w:rPr>
          <w:rFonts w:ascii="Garamond" w:cs="Garamond" w:eastAsia="Garamond" w:hAnsi="Garamond"/>
          <w:b/>
          <w:bCs/>
          <w:sz w:val="21"/>
          <w:szCs w:val="21"/>
        </w:rPr>
        <w:t xml:space="preserve">254 ppm below</w:t>
      </w:r>
      <w:r>
        <w:rPr>
          <w:rFonts w:ascii="Garamond" w:cs="Garamond" w:eastAsia="Garamond" w:hAnsi="Garamond"/>
          <w:sz w:val="21"/>
          <w:szCs w:val="21"/>
        </w:rPr>
        <w:t xml:space="preserve"> the BIPM determinations, landing in the centre-low region of the field, essentially on the MSL-03 value. Two consequences. The high wing of the distribution loses its independent support: the same instrument no longer reproduces it, so the BIPM-01/14 elevation is now most plausibly a site- or configuration-level systematic of order 250 ppm — measured, not conjectured. And the ceiling on demonstrated apparatus effects is now set by the cleanest possible experiment at 254 ppm, which is the number the strain factor of §4.3 stands on.</w:t>
      </w:r>
    </w:p>
    <w:p>
      <w:pPr>
        <w:spacing w:after="140" w:line="264"/>
        <w:jc w:val="both"/>
      </w:pPr>
      <w:r>
        <w:rPr>
          <w:rFonts w:ascii="Garamond" w:cs="Garamond" w:eastAsia="Garamond" w:hAnsi="Garamond"/>
          <w:sz w:val="21"/>
          <w:szCs w:val="21"/>
        </w:rPr>
        <w:t xml:space="preserve">One inference must be blocked before a reader draws it: the fall of the high wing does </w:t>
      </w:r>
      <w:r>
        <w:rPr>
          <w:rFonts w:ascii="Garamond" w:cs="Garamond" w:eastAsia="Garamond" w:hAnsi="Garamond"/>
          <w:i/>
          <w:iCs/>
          <w:sz w:val="21"/>
          <w:szCs w:val="21"/>
        </w:rPr>
        <w:t xml:space="preserve">not</w:t>
      </w:r>
      <w:r>
        <w:rPr>
          <w:rFonts w:ascii="Garamond" w:cs="Garamond" w:eastAsia="Garamond" w:hAnsi="Garamond"/>
          <w:sz w:val="21"/>
          <w:szCs w:val="21"/>
        </w:rPr>
        <w:t xml:space="preserve"> dissolve the Candidate 3 residual. Remove the BIPM pair entirely and the weighted mean moves from 6.674290 to 6.674188 — the realised value sits 356 ppm below the full mean and 340 ppm below the BIPM-free mean. Fifteen ppm of relief. The residual is carried by the tight modern cluster — UWash-00, UZur-06, UCI-14 and the HUST-18 pair all sit 340–385 ppm above the realised value at 12–19 ppm uncertainties — and NIST-26 itself sits +293 ppm above it, +5.1σ in its own uncertainty (and −1.1σ against the CODATA centre). The BIPM story explains the high outliers. It does not touch the residual.</w:t>
      </w:r>
    </w:p>
    <w:p>
      <w:pPr>
        <w:pStyle w:val="Heading2"/>
        <w:spacing w:after="100" w:before="200"/>
      </w:pPr>
      <w:r>
        <w:rPr>
          <w:rFonts w:ascii="Garamond" w:cs="Garamond" w:eastAsia="Garamond" w:hAnsi="Garamond"/>
          <w:b/>
          <w:bCs/>
          <w:color w:val="000000"/>
          <w:sz w:val="22"/>
          <w:szCs w:val="22"/>
        </w:rPr>
        <w:t xml:space="preserve">4.5 — Candidate 3’s residuals</w:t>
      </w:r>
    </w:p>
    <w:p>
      <w:pPr>
        <w:spacing w:after="140" w:line="264"/>
        <w:jc w:val="both"/>
      </w:pPr>
      <w:r>
        <w:rPr>
          <w:rFonts w:ascii="Garamond" w:cs="Garamond" w:eastAsia="Garamond" w:hAnsi="Garamond"/>
          <w:sz w:val="21"/>
          <w:szCs w:val="21"/>
        </w:rPr>
        <w:t xml:space="preserve">Against the realised value, the seventeen residuals have mean </w:t>
      </w:r>
      <w:r>
        <w:rPr>
          <w:rFonts w:ascii="Garamond" w:cs="Garamond" w:eastAsia="Garamond" w:hAnsi="Garamond"/>
          <w:b/>
          <w:bCs/>
          <w:sz w:val="21"/>
          <w:szCs w:val="21"/>
        </w:rPr>
        <w:t xml:space="preserve">+279 ppm</w:t>
      </w:r>
      <w:r>
        <w:rPr>
          <w:rFonts w:ascii="Garamond" w:cs="Garamond" w:eastAsia="Garamond" w:hAnsi="Garamond"/>
          <w:sz w:val="21"/>
          <w:szCs w:val="21"/>
        </w:rPr>
        <w:t xml:space="preserve"> (SD 158). NIST-26 sits +293 ppm above the realised value and 64 ppm below the CODATA centre. Two honest readings of that mean. It is the same open item The Snap v0.2 §9 already reports — the unattributed −0.036% — now seen from the data side; the meta-analysis re-derives the paper’s own held-open residual rather than discovering a new one, which is consistency, not confirmation. And its sign is not leakage-shaped: residual downward leakage would deepen it, not explain it. Nor is there an upward mechanism in reserve, and this revision closes that door explicitly: the obvious candidate — fibre anelasticity biasing time-of-swing results upward (Kuroda, of order 1/πQ; LANL-97 was built as its test) — is </w:t>
      </w:r>
      <w:r>
        <w:rPr>
          <w:rFonts w:ascii="Garamond" w:cs="Garamond" w:eastAsia="Garamond" w:hAnsi="Garamond"/>
          <w:i/>
          <w:iCs/>
          <w:sz w:val="21"/>
          <w:szCs w:val="21"/>
        </w:rPr>
        <w:t xml:space="preserve">already spent inside the input values</w:t>
      </w:r>
      <w:r>
        <w:rPr>
          <w:rFonts w:ascii="Garamond" w:cs="Garamond" w:eastAsia="Garamond" w:hAnsi="Garamond"/>
          <w:sz w:val="21"/>
          <w:szCs w:val="21"/>
        </w:rPr>
        <w:t xml:space="preserve">. NIST-82 is carried by CODATA with the anelasticity correction applied (~16 ppm at Q ≈ 2 × 10⁴), and the HUST time-of-swing bias was directly measured at 211.8 ± 18.7 ppm and corrected in the reported result. What remains live is only the uncertainty on those corrections — tens of ppm — which cannot carry +279. The residual therefore stands fully open, with no mechanism waiting in the wings, exactly as The Snap v0.2 §9 reports it. KS-CCC.3 watches the direction: the one post-2018 replication-grade determination moved the field’s newest point </w:t>
      </w:r>
      <w:r>
        <w:rPr>
          <w:rFonts w:ascii="Garamond" w:cs="Garamond" w:eastAsia="Garamond" w:hAnsi="Garamond"/>
          <w:i/>
          <w:iCs/>
          <w:sz w:val="21"/>
          <w:szCs w:val="21"/>
        </w:rPr>
        <w:t xml:space="preserve">downward</w:t>
      </w:r>
      <w:r>
        <w:rPr>
          <w:rFonts w:ascii="Garamond" w:cs="Garamond" w:eastAsia="Garamond" w:hAnsi="Garamond"/>
          <w:sz w:val="21"/>
          <w:szCs w:val="21"/>
        </w:rPr>
        <w:t xml:space="preserve">, toward the realised value — one point, +5.1σ above the realised value in its own uncertainty, and therefore silent on magnitude.</w:t>
      </w:r>
    </w:p>
    <w:p>
      <w:pPr>
        <w:pStyle w:val="Heading2"/>
        <w:spacing w:after="100" w:before="200"/>
      </w:pPr>
      <w:r>
        <w:rPr>
          <w:rFonts w:ascii="Garamond" w:cs="Garamond" w:eastAsia="Garamond" w:hAnsi="Garamond"/>
          <w:b/>
          <w:bCs/>
          <w:color w:val="000000"/>
          <w:sz w:val="22"/>
          <w:szCs w:val="22"/>
        </w:rPr>
        <w:t xml:space="preserve">4.6 — The parallel execution</w:t>
      </w:r>
    </w:p>
    <w:p>
      <w:pPr>
        <w:spacing w:after="140" w:line="264"/>
        <w:jc w:val="both"/>
      </w:pPr>
      <w:r>
        <w:rPr>
          <w:rFonts w:ascii="Garamond" w:cs="Garamond" w:eastAsia="Garamond" w:hAnsi="Garamond"/>
          <w:sz w:val="21"/>
          <w:szCs w:val="21"/>
        </w:rPr>
        <w:t xml:space="preserve">Appendix C was executed twice at Tier 1, independently, on the same day: this paper on seventeen determinations including NIST-26, and the reviewer thread on the sixteen CODATA inputs (Appendix_C_Execution_The_Leakage_Discriminator_v0_1.md, companion file). The verdicts converge — required leakage 6,969 ppm at a 2.3% coefficient of variation there; strained to near-exclusion by the measured 254 ppm replication bound here — an internal argument and an external one arriving at the same place, which is now citable as a replication of the analysis itself. The parallel execution also established two results this paper had not, adopted here after verification. The </w:t>
      </w:r>
      <w:r>
        <w:rPr>
          <w:rFonts w:ascii="Garamond" w:cs="Garamond" w:eastAsia="Garamond" w:hAnsi="Garamond"/>
          <w:b/>
          <w:bCs/>
          <w:sz w:val="21"/>
          <w:szCs w:val="21"/>
        </w:rPr>
        <w:t xml:space="preserve">sign test</w:t>
      </w:r>
      <w:r>
        <w:rPr>
          <w:rFonts w:ascii="Garamond" w:cs="Garamond" w:eastAsia="Garamond" w:hAnsi="Garamond"/>
          <w:sz w:val="21"/>
          <w:szCs w:val="21"/>
        </w:rPr>
        <w:t xml:space="preserve">: leakage can only lower a reading, yet fifteen of the sixteen determinations sit </w:t>
      </w:r>
      <w:r>
        <w:rPr>
          <w:rFonts w:ascii="Garamond" w:cs="Garamond" w:eastAsia="Garamond" w:hAnsi="Garamond"/>
          <w:i/>
          <w:iCs/>
          <w:sz w:val="21"/>
          <w:szCs w:val="21"/>
        </w:rPr>
        <w:t xml:space="preserve">above</w:t>
      </w:r>
      <w:r>
        <w:rPr>
          <w:rFonts w:ascii="Garamond" w:cs="Garamond" w:eastAsia="Garamond" w:hAnsi="Garamond"/>
          <w:sz w:val="21"/>
          <w:szCs w:val="21"/>
        </w:rPr>
        <w:t xml:space="preserve"> the realised value (one-sided binomial p = 2.6 × 10⁻⁴), nine by more than 3σ, the largest at +33σ (HUST-A-18) — the +279 ppm residual stated at full strength, a consistent excess across four decades and five boundary geometries of a sign the corpus cannot currently produce. And the </w:t>
      </w:r>
      <w:r>
        <w:rPr>
          <w:rFonts w:ascii="Garamond" w:cs="Garamond" w:eastAsia="Garamond" w:hAnsi="Garamond"/>
          <w:b/>
          <w:bCs/>
          <w:sz w:val="21"/>
          <w:szCs w:val="21"/>
        </w:rPr>
        <w:t xml:space="preserve">uncertainty-model dependence</w:t>
      </w:r>
      <w:r>
        <w:rPr>
          <w:rFonts w:ascii="Garamond" w:cs="Garamond" w:eastAsia="Garamond" w:hAnsi="Garamond"/>
          <w:sz w:val="21"/>
          <w:szCs w:val="21"/>
        </w:rPr>
        <w:t xml:space="preserve">: the realised value stands 63σ low under the formal weighted mean, 16σ under CODATA’s 3.9-expanded uncertainty, and </w:t>
      </w:r>
      <w:r>
        <w:rPr>
          <w:rFonts w:ascii="Garamond" w:cs="Garamond" w:eastAsia="Garamond" w:hAnsi="Garamond"/>
          <w:b/>
          <w:bCs/>
          <w:sz w:val="21"/>
          <w:szCs w:val="21"/>
        </w:rPr>
        <w:t xml:space="preserve">1.6σ</w:t>
      </w:r>
      <w:r>
        <w:rPr>
          <w:rFonts w:ascii="Garamond" w:cs="Garamond" w:eastAsia="Garamond" w:hAnsi="Garamond"/>
          <w:sz w:val="21"/>
          <w:szCs w:val="21"/>
        </w:rPr>
        <w:t xml:space="preserve"> under the conservative dark-uncertainty treatment — unremarkable under the most conservative published model, while the structural value is excluded under every model, by 31σ at best. The choice of model is not the corpus’s to make, and both readings are reported. Finally, a design limit binding Tier 2: implied leakage is affine in G, so the between-class F statistic is identical under every constant-true-value hypothesis — no boundary-class correlation, however clean, can by itself discriminate the candidates’ central values. Tier 2’s criteria are restated under that limit in §7.</w:t>
      </w:r>
    </w:p>
    <w:p>
      <w:pPr>
        <w:pStyle w:val="Heading1"/>
        <w:spacing w:after="130" w:before="280"/>
      </w:pPr>
      <w:r>
        <w:rPr>
          <w:rFonts w:ascii="Garamond" w:cs="Garamond" w:eastAsia="Garamond" w:hAnsi="Garamond"/>
          <w:b/>
          <w:bCs/>
          <w:color w:val="000000"/>
          <w:sz w:val="26"/>
          <w:szCs w:val="26"/>
        </w:rPr>
        <w:t xml:space="preserve">5 — Verdict at Tier 1</w:t>
      </w:r>
    </w:p>
    <w:p>
      <w:pPr>
        <w:spacing w:after="140" w:line="264"/>
        <w:jc w:val="both"/>
      </w:pPr>
      <w:r>
        <w:rPr>
          <w:rFonts w:ascii="Garamond" w:cs="Garamond" w:eastAsia="Garamond" w:hAnsi="Garamond"/>
          <w:b/>
          <w:bCs/>
          <w:sz w:val="21"/>
          <w:szCs w:val="21"/>
        </w:rPr>
        <w:t xml:space="preserve">Candidate 1 — strained to near-exclusion.</w:t>
      </w:r>
      <w:r>
        <w:rPr>
          <w:rFonts w:ascii="Garamond" w:cs="Garamond" w:eastAsia="Garamond" w:hAnsi="Garamond"/>
          <w:sz w:val="21"/>
          <w:szCs w:val="21"/>
        </w:rPr>
        <w:t xml:space="preserve"> For apparatus leakage to carry the 0.69%, an effect AP06 defines as boundary-geometry-dependent must be ≥93% independent of boundary geometry; free-falling atoms with no absorbing boundary must leak within a few per cent of a sealed cryogenic fibre; and the same-apparatus replication that bounds site-and-team effects at 254 ppm must be wrong by a factor of 27.4. The remaining escape is a leakage mechanism common to all boundaries — which is by definition not apparatus leakage but a universal term, i.e., Candidate 3’s anatomy under Candidate 1’s name. Tier 1 cannot formally close Candidate 1 (Tier 2’s blind coding could in principle reveal a hidden common geometric factor), but the burden has moved decisively.</w:t>
      </w:r>
    </w:p>
    <w:p>
      <w:pPr>
        <w:spacing w:after="140" w:line="264"/>
        <w:jc w:val="both"/>
      </w:pPr>
      <w:r>
        <w:rPr>
          <w:rFonts w:ascii="Garamond" w:cs="Garamond" w:eastAsia="Garamond" w:hAnsi="Garamond"/>
          <w:b/>
          <w:bCs/>
          <w:sz w:val="21"/>
          <w:szCs w:val="21"/>
        </w:rPr>
        <w:t xml:space="preserve">Candidate 3 — consistent, and not confirmed.</w:t>
      </w:r>
      <w:r>
        <w:rPr>
          <w:rFonts w:ascii="Garamond" w:cs="Garamond" w:eastAsia="Garamond" w:hAnsi="Garamond"/>
          <w:sz w:val="21"/>
          <w:szCs w:val="21"/>
        </w:rPr>
        <w:t xml:space="preserve"> The tier’s discriminating observable comes out exactly where Candidate 3 requires it: apparatus effects demonstrated at 7.5–460 ppm, with genuine method structure inside the scatter for residual leakage to explain at its honest size. What the tier cannot do is confirm the magnitude — the admissible window of §10 of The Snap forbids that claim from data this soft — the method structure inside the scatter is at best marginal (p ≈ 0.06–0.2, §4.2) and is claimed as nothing more, and the +279 ppm mean residual above the realised value stands open with no mechanism in reserve (§4.5), in the same ledger line v0.2 already carries. Consistency at the discriminator, plus one open residual, plus a favourable direction from the newest point: that is the full honest statement, and nothing stronger will be claimed from it. And the hostile reader’s strongest sentence belongs here, written by this paper first: the realised value sits twenty-nine standard deviations below HUST-T-18 and twenty-five below UWash-00 in those experiments’ own uncertainties, and sixteen below the CODATA formal band — the commitment moved the exclusion from roughly six hundred sigma to twenty-nine, an improvement that is real and is still exclusion.</w:t>
      </w:r>
    </w:p>
    <w:p>
      <w:pPr>
        <w:spacing w:after="140" w:line="264"/>
        <w:jc w:val="both"/>
      </w:pPr>
      <w:r>
        <w:rPr>
          <w:rFonts w:ascii="Garamond" w:cs="Garamond" w:eastAsia="Garamond" w:hAnsi="Garamond"/>
          <w:b/>
          <w:bCs/>
          <w:sz w:val="21"/>
          <w:szCs w:val="21"/>
        </w:rPr>
        <w:t xml:space="preserve">Candidate 0 — the null, stated in full.</w:t>
      </w:r>
      <w:r>
        <w:rPr>
          <w:rFonts w:ascii="Garamond" w:cs="Garamond" w:eastAsia="Garamond" w:hAnsi="Garamond"/>
          <w:sz w:val="21"/>
          <w:szCs w:val="21"/>
        </w:rPr>
        <w:t xml:space="preserve"> Tier 1 separates Candidate 1 from Candidate 3 and moves no probability across the corpus boundary. The null — that AP28’s formula is a numerical coincidence, there is no commitment, and measured G is simply G — fits the published record at least as well as Candidate 3, and carries no open +279 ppm to explain. Nothing in this analysis bears against it; what bears against it, if anything does, is the corpus’s joint parameter-free record elsewhere, and this paper claims none of that here. The one forward observable that separates Candidate 3 from the null is the migration fork of §7: the commitment predicts the adjusted value of G migrates downward toward 6.672 × 10⁻¹¹ as systematics resolve; the null predicts it stays near 6.6743. Until that fork resolves, the honest posterior is: Candidate 1 strained by measurement, Candidates 3 and 0 both standing, and the trade between them — a large residual with a mechanism exchanged for a small residual with none — is only progress if the structural argument is right, which is exactly what data cannot establish.</w:t>
      </w:r>
    </w:p>
    <w:p>
      <w:pPr>
        <w:spacing w:after="140" w:line="264"/>
        <w:jc w:val="both"/>
      </w:pPr>
      <w:r>
        <w:rPr>
          <w:rFonts w:ascii="Garamond" w:cs="Garamond" w:eastAsia="Garamond" w:hAnsi="Garamond"/>
          <w:b/>
          <w:bCs/>
          <w:sz w:val="21"/>
          <w:szCs w:val="21"/>
        </w:rPr>
        <w:t xml:space="preserve">KS-CCC.4 — partially executed, survives, sharpened.</w:t>
      </w:r>
      <w:r>
        <w:rPr>
          <w:rFonts w:ascii="Garamond" w:cs="Garamond" w:eastAsia="Garamond" w:hAnsi="Garamond"/>
          <w:sz w:val="21"/>
          <w:szCs w:val="21"/>
        </w:rPr>
        <w:t xml:space="preserve"> The switch’s Tier 1 condition — that demonstrated apparatus corrections be of scatter scale, not gap scale — is met. Full execution is Tier 2.</w:t>
      </w:r>
    </w:p>
    <w:p>
      <w:pPr>
        <w:pStyle w:val="Heading1"/>
        <w:spacing w:after="130" w:before="280"/>
      </w:pPr>
      <w:r>
        <w:rPr>
          <w:rFonts w:ascii="Garamond" w:cs="Garamond" w:eastAsia="Garamond" w:hAnsi="Garamond"/>
          <w:b/>
          <w:bCs/>
          <w:color w:val="000000"/>
          <w:sz w:val="26"/>
          <w:szCs w:val="26"/>
        </w:rPr>
        <w:t xml:space="preserve">6 — Limits</w:t>
      </w:r>
    </w:p>
    <w:p>
      <w:pPr>
        <w:spacing w:after="140" w:line="264"/>
        <w:jc w:val="both"/>
      </w:pPr>
      <w:r>
        <w:rPr>
          <w:rFonts w:ascii="Garamond" w:cs="Garamond" w:eastAsia="Garamond" w:hAnsi="Garamond"/>
          <w:sz w:val="21"/>
          <w:szCs w:val="21"/>
        </w:rPr>
        <w:t xml:space="preserve">Seventeen points, several correlated; statistics descriptive throughout; one value (UCI-14) confirmed through the CODATA table and its published relative uncertainty rather than a second primary source; method classes are the literature’s but coarse — BIPM-01 combined two extraction methods on one instrument and is classed by its instrument; and the strain argument bounds apparatus effects by their demonstrated scale, which is an empirical ceiling, not a theorem. None of these limits touches the order-of-magnitude structure of the result: no reading of this dataset produces a 6,900 ppm apparatus-dependent effect with a 2% design variation.</w:t>
      </w:r>
    </w:p>
    <w:p>
      <w:pPr>
        <w:pStyle w:val="Heading1"/>
        <w:spacing w:after="130" w:before="280"/>
      </w:pPr>
      <w:r>
        <w:rPr>
          <w:rFonts w:ascii="Garamond" w:cs="Garamond" w:eastAsia="Garamond" w:hAnsi="Garamond"/>
          <w:b/>
          <w:bCs/>
          <w:color w:val="000000"/>
          <w:sz w:val="26"/>
          <w:szCs w:val="26"/>
        </w:rPr>
        <w:t xml:space="preserve">7 — Tier 2, pre-registered</w:t>
      </w:r>
    </w:p>
    <w:p>
      <w:pPr>
        <w:spacing w:after="140" w:line="264"/>
        <w:jc w:val="both"/>
      </w:pPr>
      <w:r>
        <w:rPr>
          <w:rFonts w:ascii="Garamond" w:cs="Garamond" w:eastAsia="Garamond" w:hAnsi="Garamond"/>
          <w:sz w:val="21"/>
          <w:szCs w:val="21"/>
        </w:rPr>
        <w:t xml:space="preserve">Tier 2 is the full Appendix C: per-apparatus boundary coding, done blind. Protocol, fixed now, before any coding: a coder who does not know which apparatus produced which value receives the seventeen apparatus descriptions with all values and identifying results redacted, and codes five dimensions — (1) test-mass containment: free fall / suspended in sealed chamber; (2) source-mass position: inside or outside the vacuum boundary; (3) enclosure closure: number and material of boundary layers between source and test mass; (4) suspension element: none / fibre / strip, with published Q where available (the anelasticity proxy); (5) boundary sphericity class per AP06 S5. Values are unblinded only after coding is complete, and the correlations are computed once. Success criteria, stated in advance and under §4.6’s F-invariance limit: Candidate 1 requires the coded boundary physics to support a common </w:t>
      </w:r>
      <w:r>
        <w:rPr>
          <w:rFonts w:ascii="Garamond" w:cs="Garamond" w:eastAsia="Garamond" w:hAnsi="Garamond"/>
          <w:b/>
          <w:bCs/>
          <w:sz w:val="21"/>
          <w:szCs w:val="21"/>
        </w:rPr>
        <w:t xml:space="preserve">absolute</w:t>
      </w:r>
      <w:r>
        <w:rPr>
          <w:rFonts w:ascii="Garamond" w:cs="Garamond" w:eastAsia="Garamond" w:hAnsi="Garamond"/>
          <w:sz w:val="21"/>
          <w:szCs w:val="21"/>
        </w:rPr>
        <w:t xml:space="preserve"> leakage capacity of order 6,000 ppm or more across all apparatus classes — a magnitude claim from physical features, not a residual correlation, which the affine degeneracy makes uninformative about central values; Candidate 3 and the null both require the absence of any such gap-scale term, and are not separated by this coding. What the coding </w:t>
      </w:r>
      <w:r>
        <w:rPr>
          <w:rFonts w:ascii="Garamond" w:cs="Garamond" w:eastAsia="Garamond" w:hAnsi="Garamond"/>
          <w:i/>
          <w:iCs/>
          <w:sz w:val="21"/>
          <w:szCs w:val="21"/>
        </w:rPr>
        <w:t xml:space="preserve">can</w:t>
      </w:r>
      <w:r>
        <w:rPr>
          <w:rFonts w:ascii="Garamond" w:cs="Garamond" w:eastAsia="Garamond" w:hAnsi="Garamond"/>
          <w:sz w:val="21"/>
          <w:szCs w:val="21"/>
        </w:rPr>
        <w:t xml:space="preserve"> decide is KS-CCC.4b: whether the ≤500 ppm scatter is boundary-structured at AP06’s honest size (in particular, Q against the time-of-swing elevations). The coding task is sized for the independent verifier, after the canon sync, under the sign-off protocol. One further watch item costs nothing: the next CODATA adjustment will incorporate NIST-26, and the direction its recommended value moves is exactly what KS-CCC.3 watches. For the switch’s record: NIST-26 is the first new datum since KS-CCC.3 was written, and it moved downward — the predicted direction — while its authors frame the result as bearing on the reproducibility limits of the field and leave the recommended value to others. One point, direction only, magnitude untouched. The switch itself is sharpened accordingly in AP44 v0.3 into a genuine fork against the null: Candidate 3 predicts the adjusted value migrates downward by roughly 300 ppm toward 6.672 × 10⁻¹¹ as systematics resolve; the null predicts stability near 6.6743. All seventeen existing determinations are compatible with both — LENS-14’s central value sits marginally below the realised value, one ppm, inside its 150 ppm uncertainty — so the fork is carried by future adjustments, not by anything here.</w:t>
      </w:r>
    </w:p>
    <w:p>
      <w:pPr>
        <w:pStyle w:val="Heading1"/>
        <w:spacing w:after="130" w:before="280"/>
      </w:pPr>
      <w:r>
        <w:rPr>
          <w:rFonts w:ascii="Garamond" w:cs="Garamond" w:eastAsia="Garamond" w:hAnsi="Garamond"/>
          <w:b/>
          <w:bCs/>
          <w:color w:val="000000"/>
          <w:sz w:val="26"/>
          <w:szCs w:val="26"/>
        </w:rPr>
        <w:t xml:space="preserve">8 — One page for the author</w:t>
      </w:r>
    </w:p>
    <w:p>
      <w:pPr>
        <w:spacing w:after="140" w:line="264"/>
        <w:jc w:val="both"/>
      </w:pPr>
      <w:r>
        <w:rPr>
          <w:rFonts w:ascii="Garamond" w:cs="Garamond" w:eastAsia="Garamond" w:hAnsi="Garamond"/>
          <w:sz w:val="21"/>
          <w:szCs w:val="21"/>
        </w:rPr>
        <w:t xml:space="preserve">The corpus proposed an experiment before it knew which answer it needed. Tier 1 of that experiment is now run, on seventeen published determinations including one that did not exist when the proposal was written. The result: the effect Candidate 1 requires would have to be twenty-eight times larger than the largest apparatus effect ever demonstrated — including by the first true replication in the field’s history — and ninety-three per cent identical across boundaries as different as a free-falling atom cloud and a sealed cryogenic fibre. The effect Candidate 3 requires is exactly the size the record shows. Nothing here confirms the commitment’s magnitude, and the +279 ppm residual above the realised value stays open where v0.2 put it. But the division of labour — a universal term for the gap, honest leakage for the scatter — is now the only reading of the published record that does not ask an apparatus effect to stop being one. The blade for the remaining step is written above, and it is in someone else’s hands, which is where blades belong.</w:t>
      </w:r>
    </w:p>
    <w:p>
      <w:pPr>
        <w:pStyle w:val="Heading1"/>
        <w:spacing w:after="130" w:before="280"/>
      </w:pPr>
      <w:r>
        <w:rPr>
          <w:rFonts w:ascii="Garamond" w:cs="Garamond" w:eastAsia="Garamond" w:hAnsi="Garamond"/>
          <w:b/>
          <w:bCs/>
          <w:color w:val="000000"/>
          <w:sz w:val="26"/>
          <w:szCs w:val="26"/>
        </w:rPr>
        <w:t xml:space="preserve">References and provenance</w:t>
      </w:r>
    </w:p>
    <w:p>
      <w:pPr>
        <w:spacing w:after="140" w:line="264"/>
        <w:jc w:val="both"/>
      </w:pPr>
      <w:r>
        <w:rPr>
          <w:rFonts w:ascii="Garamond" w:cs="Garamond" w:eastAsia="Garamond" w:hAnsi="Garamond"/>
          <w:sz w:val="21"/>
          <w:szCs w:val="21"/>
        </w:rPr>
        <w:t xml:space="preserve">S. Schlamminger, L. Chao, V. Lee, C. Shakarji, A. Possolo, D. Newell, J. Stirling, R. Cochrane, C. Speake, “Redetermination of the gravitational constant with the BIPM torsion balance at NIST,” Metrologia 63, 025012 (2026) — NIST-26 value, uncertainty, and the −2.5 × 10⁻⁴ shift statement.</w:t>
      </w:r>
    </w:p>
    <w:p>
      <w:pPr>
        <w:spacing w:after="140" w:line="264"/>
        <w:jc w:val="both"/>
      </w:pPr>
      <w:r>
        <w:rPr>
          <w:rFonts w:ascii="Garamond" w:cs="Garamond" w:eastAsia="Garamond" w:hAnsi="Garamond"/>
          <w:sz w:val="21"/>
          <w:szCs w:val="21"/>
        </w:rPr>
        <w:t xml:space="preserve">E. Tiesinga, P. J. Mohr, D. B. Newell, B. N. Taylor, “CODATA Recommended Values of the Fundamental Physical Constants: 2022” (arXiv:2409.03787) — the sixteen input data, the 3.9 expansion factor, the largest normalised residuals, the Speake et al. (2023) AC-field investigation, and the exclusion of Brack et al. (2022) at 1.7% uncertainty.</w:t>
      </w:r>
    </w:p>
    <w:p>
      <w:pPr>
        <w:spacing w:after="140" w:line="264"/>
        <w:jc w:val="both"/>
      </w:pPr>
      <w:r>
        <w:rPr>
          <w:rFonts w:ascii="Garamond" w:cs="Garamond" w:eastAsia="Garamond" w:hAnsi="Garamond"/>
          <w:sz w:val="21"/>
          <w:szCs w:val="21"/>
        </w:rPr>
        <w:t xml:space="preserve">P. J. Mohr, B. N. Taylor, D. B. Newell, “CODATA Recommended Values of the Fundamental Physical Constants: 2010” (arXiv:1203.5425) — input values NIST-82 through JILA-10 and the stated correlation coefficients.</w:t>
      </w:r>
    </w:p>
    <w:p>
      <w:pPr>
        <w:spacing w:after="140" w:line="264"/>
        <w:jc w:val="both"/>
      </w:pPr>
      <w:r>
        <w:rPr>
          <w:rFonts w:ascii="Garamond" w:cs="Garamond" w:eastAsia="Garamond" w:hAnsi="Garamond"/>
          <w:sz w:val="21"/>
          <w:szCs w:val="21"/>
        </w:rPr>
        <w:t xml:space="preserve">C. Merkatas, B. Toman, A. Possolo, S. Schlamminger, “Shades of dark uncertainty and consensus value for the Newtonian constant of gravitation,” Metrologia 56, 054001 (2019) — the dark-uncertainty treatment of inter-laboratory inconsistency.</w:t>
      </w:r>
    </w:p>
    <w:p>
      <w:pPr>
        <w:spacing w:after="140" w:line="264"/>
        <w:jc w:val="both"/>
      </w:pPr>
      <w:r>
        <w:rPr>
          <w:rFonts w:ascii="Garamond" w:cs="Garamond" w:eastAsia="Garamond" w:hAnsi="Garamond"/>
          <w:sz w:val="21"/>
          <w:szCs w:val="21"/>
        </w:rPr>
        <w:t xml:space="preserve">K. Kuroda, Phys. Rev. Lett. 75, 2796 (1995) — anelasticity bias of time-of-swing determinations; C. H. Bagley, G. G. Luther, Phys. Rev. Lett. 78, 3047 (1997) — LANL-97 as its test. The corrections are applied within the CODATA input values (NIST-82, ~16 ppm at Q ≈ 2 × 10⁴; the HUST time-of-swing bias directly measured at 211.8 ± 18.7 ppm), so the mechanism is spent, not in reserve (§4.5).</w:t>
      </w:r>
    </w:p>
    <w:p>
      <w:pPr>
        <w:spacing w:after="140" w:line="264"/>
        <w:jc w:val="both"/>
      </w:pPr>
      <w:r>
        <w:rPr>
          <w:rFonts w:ascii="Garamond" w:cs="Garamond" w:eastAsia="Garamond" w:hAnsi="Garamond"/>
          <w:sz w:val="21"/>
          <w:szCs w:val="21"/>
        </w:rPr>
        <w:t xml:space="preserve">Corpus: Ø Predictions Part II and Appendix C; AP06 (The Leakage Constant); AP28 (The Constant); AP44 The Snap, Draft v0.5 (KS-CCC.3, KS-CCC.4a/4b, §9, §10); the reviewer-thread execution, Appendix_C_Execution_The_Leakage_Discriminator_v0_1.md (companion file, same day, independent); PROV-CCC.1 through PROV-CCC.3 and the two session records, published with SHA-256 digests. Companion files: G_dataset.csv, appc_tier1.py, G_landscape.png — the analysis regenerates from the dataset in one run.</w:t>
      </w:r>
    </w:p>
    <w:p>
      <w:pPr>
        <w:spacing w:after="160"/>
      </w:pPr>
    </w:p>
    <w:p>
      <w:pPr>
        <w:spacing w:after="50"/>
        <w:jc w:val="center"/>
      </w:pPr>
      <w:r>
        <w:rPr>
          <w:rFonts w:ascii="Garamond" w:cs="Garamond" w:eastAsia="Garamond" w:hAnsi="Garamond"/>
          <w:b w:val="false"/>
          <w:bCs w:val="false"/>
          <w:i/>
          <w:iCs/>
          <w:sz w:val="19"/>
          <w:szCs w:val="19"/>
        </w:rPr>
        <w:t xml:space="preserve">This work is published for free, forever.</w:t>
      </w:r>
    </w:p>
    <w:p>
      <w:pPr>
        <w:spacing w:after="0"/>
        <w:jc w:val="center"/>
      </w:pPr>
      <w:r>
        <w:rPr>
          <w:rFonts w:ascii="Garamond" w:cs="Garamond" w:eastAsia="Garamond" w:hAnsi="Garamond"/>
          <w:b w:val="false"/>
          <w:bCs w:val="false"/>
          <w:i/>
          <w:iCs/>
          <w:sz w:val="19"/>
          <w:szCs w:val="19"/>
        </w:rPr>
        <w:t xml:space="preserve">End of WP-CCC.1, rev 1.4 — Tier 1 executed twice. Tier 2 pre-registered above.</w:t>
      </w:r>
    </w:p>
    <w:sectPr>
      <w:pgSz w:w="8640" w:h="12960" w:orient="portrait"/>
      <w:pgMar w:top="1000" w:right="1000" w:bottom="10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aramond" w:cs="Garamond" w:eastAsia="Garamond" w:hAnsi="Garamond"/>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15216627eb7be03226368ad2bf9b79507686e90d.png"/><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2026-08-11T14:23:44.287Z</dcterms:created>
  <dcterms:modified xsi:type="dcterms:W3CDTF">2026-08-11T14:23:44.303Z</dcterms:modified>
</cp:coreProperties>
</file>

<file path=docProps/custom.xml><?xml version="1.0" encoding="utf-8"?>
<Properties xmlns="http://schemas.openxmlformats.org/officeDocument/2006/custom-properties" xmlns:vt="http://schemas.openxmlformats.org/officeDocument/2006/docPropsVTypes"/>
</file>