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5b6fd62e03c6a7068f4ac0df4cd0919adf7240"/>
    <w:p>
      <w:pPr>
        <w:pStyle w:val="Heading1"/>
      </w:pPr>
      <w:r>
        <w:t xml:space="preserve">D-CCC.4 — The Boundary Selection: Closure Note</w:t>
      </w:r>
    </w:p>
    <w:p>
      <w:pPr>
        <w:pStyle w:val="FirstParagraph"/>
      </w:pPr>
      <w:r>
        <w:rPr>
          <w:bCs/>
          <w:b/>
        </w:rPr>
        <w:t xml:space="preserve">The 420 Code · Studio G · 2 September 2026 · issued on the lock of AP45, The Blink, FINAL v1.7, and AP46, The Stretch, FINAL v1.5</w:t>
      </w:r>
    </w:p>
    <w:p>
      <w:pPr>
        <w:pStyle w:val="BodyText"/>
      </w:pPr>
      <w:r>
        <w:rPr>
          <w:bCs/>
          <w:b/>
        </w:rPr>
        <w:t xml:space="preserve">Instrument, not paper.</w:t>
      </w:r>
      <w:r>
        <w:t xml:space="preserve"> </w:t>
      </w:r>
      <w:r>
        <w:t xml:space="preserve">This note pays a declared debt by citing two locked results at their loci. It edits nothing: AP44, AP45, AP46 and AP47 stand as locked. The registry line and the Root record what this note converts. Frozen instruments are never edited; the conversion lives beside them, here.</w:t>
      </w:r>
    </w:p>
    <w:bookmarkStart w:id="20" w:name="what-d-ccc.4-booked"/>
    <w:p>
      <w:pPr>
        <w:pStyle w:val="Heading2"/>
      </w:pPr>
      <w:r>
        <w:t xml:space="preserve">1 — What D-CCC.4 booked</w:t>
      </w:r>
    </w:p>
    <w:p>
      <w:pPr>
        <w:pStyle w:val="FirstParagraph"/>
      </w:pPr>
      <w:r>
        <w:t xml:space="preserve">AP44 §5 derived the form of the realised coupling — α_G∗ = α_G/(1 + ε), the quotient the axiom writes — and declined to derive the value of ε in it. In its own words:</w:t>
      </w:r>
      <w:r>
        <w:t xml:space="preserve"> </w:t>
      </w:r>
      <w:r>
        <w:rPr>
          <w:iCs/>
          <w:i/>
        </w:rPr>
        <w:t xml:space="preserve">the form above is derived; the value is not, and the paper says so.</w:t>
      </w:r>
      <w:r>
        <w:t xml:space="preserve"> </w:t>
      </w:r>
      <w:r>
        <w:t xml:space="preserve">AP06 §0.7 holds open a family of domain readings of ε — leakage ratios at the gravitational boundary near 10⁻¹⁷, the retinal boundary between 10⁻⁶ and 10⁻⁵, the cosmological boundary near 10⁻⁵ — beside the corpus-wide ε = α_em at the coupling boundary. AP44 chose α_em, argued the choice from AP28 Proposition 5 (the unpaired element’s one-channel coupling worth is α_em by definition), graded it SELECTED AMONG STRUCTURAL CANDIDATES, and booked the closure as D-CCC.4:</w:t>
      </w:r>
      <w:r>
        <w:t xml:space="preserve"> </w:t>
      </w:r>
      <w:r>
        <w:rPr>
          <w:iCs/>
          <w:i/>
        </w:rPr>
        <w:t xml:space="preserve">if the constitution is shown to read at a different boundary, the correction rescales and §9 fails.</w:t>
      </w:r>
    </w:p>
    <w:p>
      <w:pPr>
        <w:pStyle w:val="BodyText"/>
      </w:pPr>
      <w:r>
        <w:t xml:space="preserve">AP47 §0.4 and §11 carry the same value as a rider: the ε = α_em closure DERIVED-CONDITIONAL-ON-AP45, via D-CCC.4.</w:t>
      </w:r>
    </w:p>
    <w:bookmarkEnd w:id="20"/>
    <w:bookmarkStart w:id="21" w:name="the-route-as-the-family-built-it"/>
    <w:p>
      <w:pPr>
        <w:pStyle w:val="Heading2"/>
      </w:pPr>
      <w:r>
        <w:t xml:space="preserve">2 — The route, as the family built it</w:t>
      </w:r>
    </w:p>
    <w:p>
      <w:pPr>
        <w:pStyle w:val="FirstParagraph"/>
      </w:pPr>
      <w:r>
        <w:t xml:space="preserve">WP-ROAD.1 v1.2 §6.2 named the route before this note existed: the arena’s constitution is a snap — an instance of the event class AP45 prices, under the arena-blink identification — and AP45’s denomination theorem derives the coupling ledger for every such event, dissolving the domain-family alternatives as entries of the wrong ledger. One sitting after AP45 locks. This is that sitting.</w:t>
      </w:r>
    </w:p>
    <w:bookmarkEnd w:id="21"/>
    <w:bookmarkStart w:id="22" w:name="the-closure"/>
    <w:p>
      <w:pPr>
        <w:pStyle w:val="Heading2"/>
      </w:pPr>
      <w:r>
        <w:t xml:space="preserve">3 — The closure</w:t>
      </w:r>
    </w:p>
    <w:p>
      <w:pPr>
        <w:pStyle w:val="FirstParagraph"/>
      </w:pPr>
      <w:r>
        <w:rPr>
          <w:bCs/>
          <w:b/>
        </w:rPr>
        <w:t xml:space="preserve">Step 1 — the arena’s constitution is a blink.</w:t>
      </w:r>
      <w:r>
        <w:t xml:space="preserve"> </w:t>
      </w:r>
      <w:r>
        <w:t xml:space="preserve">AP44 defines a snap as a constitution event, the single Actualization State instant at which a configuration’s first record is written and holds, and names The Snap, capitalised, as the arena’s own. AP45 §1 defines the blink as one singular reconfiguration, break-and-snap as one event, and §8 names the arena’s commitment as the sole unpaired cost in the ledger AP45 writes. The arena-blink identification — the Snap, the Blink, and the Stretch as one event at three scales, the arena’s, the particle’s, the sky’s — was ruled in the family record on 16 August 2026 and is carried in AP46. Under it, the arena’s constitution is a member of the event class AP45 prices, at its largest scale.</w:t>
      </w:r>
    </w:p>
    <w:p>
      <w:pPr>
        <w:pStyle w:val="BodyText"/>
      </w:pPr>
      <w:r>
        <w:rPr>
          <w:bCs/>
          <w:b/>
        </w:rPr>
        <w:t xml:space="preserve">Step 2 — every blink’s grain is denominated α.</w:t>
      </w:r>
      <w:r>
        <w:t xml:space="preserve"> </w:t>
      </w:r>
      <w:r>
        <w:t xml:space="preserve">AP45 §5, the denomination theorem: the denomination is α by two arguments on two jurisdictions — the flow is one operation, so its two directions carry one currency, and the writing direction’s currency is α by construction (AP28); and the grip that opens is priced in the grip’s own coupling — with the rivals eliminated one by one: mass books and persists; c prices no crossing; G never lets go; stiffness and direction are readings, not currencies.</w:t>
      </w:r>
      <w:r>
        <w:t xml:space="preserve"> </w:t>
      </w:r>
      <w:r>
        <w:rPr>
          <w:iCs/>
          <w:i/>
        </w:rPr>
        <w:t xml:space="preserve">α is not chosen. It is what remains.</w:t>
      </w:r>
      <w:r>
        <w:t xml:space="preserve"> </w:t>
      </w:r>
      <w:r>
        <w:t xml:space="preserve">AP45 §2 fixes the coin as one across the two roles — one grain standing, one grain passing — so the denomination of the passing grain is the denomination of the held one.</w:t>
      </w:r>
    </w:p>
    <w:p>
      <w:pPr>
        <w:pStyle w:val="BodyText"/>
      </w:pPr>
      <w:r>
        <w:rPr>
          <w:bCs/>
          <w:b/>
        </w:rPr>
        <w:t xml:space="preserve">Step 3 — the alternatives were entries of another ledger line.</w:t>
      </w:r>
      <w:r>
        <w:t xml:space="preserve"> </w:t>
      </w:r>
      <w:r>
        <w:t xml:space="preserve">AP45 §9, Proposition 1, separates the ledger into three lines: HELD (the one splinter, the arena’s commitment), SHED (one flow-quantum per instant per held lineage — the leakage of AP06), and RATE (the flow’s 1/137). AP06 §0.7’s domain readings are leakage ratios of specific absorbing systems measured at boundaries: they are SHED-line quantities, rates read at particular sites. The value D-CCC.4 asked for is the worth of a HELD-line grain in the currency of the coupling it discounts. A rate at a boundary is not a candidate for the worth of a held grain; the candidates were never on the same line. AP44 §5 said this in prose —</w:t>
      </w:r>
      <w:r>
        <w:t xml:space="preserve"> </w:t>
      </w:r>
      <w:r>
        <w:rPr>
          <w:iCs/>
          <w:i/>
        </w:rPr>
        <w:t xml:space="preserve">they are leakage ratios of specific absorbing systems, flow quantities measured at boundaries, not the element’s denomination in the coupling it discounts</w:t>
      </w:r>
      <w:r>
        <w:t xml:space="preserve"> </w:t>
      </w:r>
      <w:r>
        <w:t xml:space="preserve">— and graded it a selection because the ledger that makes it a theorem had not been written. It has now.</w:t>
      </w:r>
    </w:p>
    <w:p>
      <w:pPr>
        <w:pStyle w:val="BodyText"/>
      </w:pPr>
      <w:r>
        <w:rPr>
          <w:bCs/>
          <w:b/>
        </w:rPr>
        <w:t xml:space="preserve">Therefore.</w:t>
      </w:r>
      <w:r>
        <w:t xml:space="preserve"> </w:t>
      </w:r>
      <w:r>
        <w:t xml:space="preserve">The value of ε in AP44 §5’s quotient is α_em because the arena’s commitment is one held grain of the event class AP45 prices, every such grain is α-worth by AP45 §5, and the alternatives AP06 catalogues are quantities of another ledger line. The selection dissolves; nothing was selected.</w:t>
      </w:r>
    </w:p>
    <w:bookmarkEnd w:id="22"/>
    <w:bookmarkStart w:id="23" w:name="what-moves-and-what-does-not"/>
    <w:p>
      <w:pPr>
        <w:pStyle w:val="Heading2"/>
      </w:pPr>
      <w:r>
        <w:t xml:space="preserve">4 — What moves, and what does not</w:t>
      </w:r>
    </w:p>
    <w:p>
      <w:pPr>
        <w:pStyle w:val="FirstParagraph"/>
      </w:pPr>
      <w:r>
        <w:rPr>
          <w:bCs/>
          <w:b/>
        </w:rPr>
        <w:t xml:space="preserve">Grades.</w:t>
      </w:r>
      <w:r>
        <w:t xml:space="preserve"> </w:t>
      </w:r>
      <w:r>
        <w:t xml:space="preserve">AP44 §5’s value of ε: SELECTED AMONG STRUCTURAL CANDIDATES → DERIVED, conditional as stated in §5 below. AP47’s rider — DERIVED-CONDITIONAL-ON-AP45 — cashes: AP45 is locked; AP47’s text is not edited, because its text already states the condition and the condition is now met. D-CCC.4: PAID.</w:t>
      </w:r>
    </w:p>
    <w:p>
      <w:pPr>
        <w:pStyle w:val="BodyText"/>
      </w:pPr>
      <w:r>
        <w:rPr>
          <w:bCs/>
          <w:b/>
        </w:rPr>
        <w:t xml:space="preserve">Numbers.</w:t>
      </w:r>
      <w:r>
        <w:t xml:space="preserve"> </w:t>
      </w:r>
      <w:r>
        <w:t xml:space="preserve">None. The value of ε in the quotient was α_em before this note and is α_em after it; G∗ = α²¹(1 + 1/π)/(1 + α)·ℏc/mₑ² is unchanged to every digit; the −0.036% residual stays open and unattributed exactly as AP44 §0.7 reports it. Nothing here was compared with any measurement.</w:t>
      </w:r>
    </w:p>
    <w:p>
      <w:pPr>
        <w:pStyle w:val="BodyText"/>
      </w:pPr>
      <w:r>
        <w:rPr>
          <w:bCs/>
          <w:b/>
        </w:rPr>
        <w:t xml:space="preserve">KS-CCC.1.</w:t>
      </w:r>
      <w:r>
        <w:t xml:space="preserve"> </w:t>
      </w:r>
      <w:r>
        <w:t xml:space="preserve">Untouched. The switch fires on a selection whose history depended on comparison with measured G and was undisclosed. This note discloses a derivation that compared nothing with anything, and it removes the one load-bearing selection AP44 carried — which is the switch’s own purpose served, not its trigger.</w:t>
      </w:r>
    </w:p>
    <w:p>
      <w:pPr>
        <w:pStyle w:val="BodyText"/>
      </w:pPr>
      <w:r>
        <w:rPr>
          <w:bCs/>
          <w:b/>
        </w:rPr>
        <w:t xml:space="preserve">AP44 §12’s switches.</w:t>
      </w:r>
      <w:r>
        <w:t xml:space="preserve"> </w:t>
      </w:r>
      <w:r>
        <w:t xml:space="preserve">Unchanged. If a future formalism shows the constitution reading at a different boundary, AP44 §5’s stated failure clause fires exactly as written; this note merely moves that clause from</w:t>
      </w:r>
      <w:r>
        <w:t xml:space="preserve"> </w:t>
      </w:r>
      <w:r>
        <w:rPr>
          <w:iCs/>
          <w:i/>
        </w:rPr>
        <w:t xml:space="preserve">a selection might be wrong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a theorem might be wrong</w:t>
      </w:r>
      <w:r>
        <w:t xml:space="preserve">, which is the honest home for it.</w:t>
      </w:r>
    </w:p>
    <w:bookmarkEnd w:id="23"/>
    <w:bookmarkStart w:id="24" w:name="riders-on-the-face"/>
    <w:p>
      <w:pPr>
        <w:pStyle w:val="Heading2"/>
      </w:pPr>
      <w:r>
        <w:t xml:space="preserve">5 — Riders, on the face</w:t>
      </w:r>
    </w:p>
    <w:p>
      <w:pPr>
        <w:pStyle w:val="FirstParagraph"/>
      </w:pPr>
      <w:r>
        <w:t xml:space="preserve">The conversion is DERIVED with two riders, both stated here so no reader hunts them: (i) it rides AP45 §5 and §9 at their own grades — the denomination DERIVED by elimination; Proposition 1 DERIVED-AT-THE-STRUCTURAL-REGISTER on the two-role separation and AP44’s locked Propositions 2 and 3; (ii) it rides the arena-blink identification, ruled in the family record on 16 August and carried as canon in AP46 §10, locked 2 September 2026 with AP45. Both riders are cashed at this issue; the registry line says so in its own words.</w:t>
      </w:r>
    </w:p>
    <w:bookmarkEnd w:id="24"/>
    <w:bookmarkStart w:id="25" w:name="the-registry-line-for-the-wave"/>
    <w:p>
      <w:pPr>
        <w:pStyle w:val="Heading2"/>
      </w:pPr>
      <w:r>
        <w:t xml:space="preserve">6 — The registry line, for the wave</w:t>
      </w:r>
    </w:p>
    <w:p>
      <w:pPr>
        <w:pStyle w:val="FirstParagraph"/>
      </w:pPr>
      <w:r>
        <w:t xml:space="preserve">D-CCC.4 (Boundary selection) — PAID 2 September 2026 by the D-CCC.4 Closure Note, on AP45 FINAL v1.7 §§5, 9 and the arena-blink identification (family record, 16 August 2026; AP46 FINAL v1.5 §10). AP44 §5’s value grade: DERIVED (both riders cashed; see §5 of the note). AP47 rider cashed. No numerical change anywhere. KS-CCC.1 untouched.</w:t>
      </w:r>
    </w:p>
    <w:bookmarkEnd w:id="25"/>
    <w:bookmarkStart w:id="26" w:name="provenance"/>
    <w:p>
      <w:pPr>
        <w:pStyle w:val="Heading2"/>
      </w:pPr>
      <w:r>
        <w:t xml:space="preserve">7 — Provenance</w:t>
      </w:r>
    </w:p>
    <w:p>
      <w:pPr>
        <w:pStyle w:val="FirstParagraph"/>
      </w:pPr>
      <w:r>
        <w:t xml:space="preserve">Cites: AP44_The_Snap_FINAL_v1_0.docx (locked 11 August 2026; §§1, 5, 0.7, 12); AP45_The_Blink_FINAL_v1_7 (md f4453adb…, docx 4f67aa3e…; FINAL v1.0–v1.6 retained; §§1, 2, 5, 8, 9); AP47_The_Flip_FINAL_v3 (docx 070b0d81…, md 6e7fe648…; §§0.4, 11); AP46_The_Stretch_FINAL_v1_5 (md b1102a43…, docx 716d9254…, locked 2 September 2026; §10, the identification’s home); WP_ROAD1_v1_2.md §6.2 (the route). Every locus opened in its file before this note was written. Issued at the author’s standing word for the one-sitting note; his yes-or-edit stands over it as over everything.</w:t>
      </w:r>
    </w:p>
    <w:p>
      <w:pPr>
        <w:pStyle w:val="BodyText"/>
      </w:pPr>
      <w:r>
        <w:rPr>
          <w:iCs/>
          <w:i/>
        </w:rPr>
        <w:t xml:space="preserve">Don’t be a cunt. Be kind.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Studio G</dc:creator>
  <cp:lastModifiedBy>Studio G</cp:lastModifiedBy>
  <dcterms:created xsi:type="dcterms:W3CDTF">2026-09-02T00:00:00Z</dcterms:created>
  <dcterms:modified xsi:type="dcterms:W3CDTF">2026-09-02T00:00:00Z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