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Blink</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45</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particle-side companion to The Snap — the cost of every actualization, one grain of possibility, α-worth, the alternatives not taken</w:t>
      </w:r>
    </w:p>
    <w:p>
      <w:pPr>
        <w:spacing w:after="0"/>
        <w:jc w:val="center"/>
      </w:pPr>
      <w:r>
        <w:rPr>
          <w:rFonts w:ascii="Atkinson Hyperlegible" w:cs="Atkinson Hyperlegible" w:eastAsia="Atkinson Hyperlegible" w:hAnsi="Atkinson Hyperlegible"/>
          <w:b w:val="false"/>
          <w:bCs w:val="false"/>
          <w:i/>
          <w:iCs/>
          <w:sz w:val="18"/>
          <w:szCs w:val="18"/>
        </w:rPr>
        <w:t xml:space="preserve">Draft v0.2 — full redraft in the house standard on the author’s ruling; content sourced from the locked Blink family record and the v0.1 research draft (canonical md 0c278d8b…, reading copy e8a06266…), both retained. Register: the author’s drawer — nothing circulates, publishes, or anchors before the lock and the wave. Number and seat ruled: AP45, Notebook IV, beside AP44.</w:t>
      </w:r>
    </w:p>
    <w:p>
      <w:pPr>
        <w:pStyle w:val="Heading1"/>
        <w:pageBreakBefore/>
        <w:spacing w:after="180" w:before="120"/>
      </w:pPr>
      <w:r>
        <w:rPr>
          <w:rFonts w:ascii="Atkinson Hyperlegible" w:cs="Atkinson Hyperlegible" w:eastAsia="Atkinson Hyperlegible" w:hAnsi="Atkinson Hyperlegible"/>
          <w:b/>
          <w:bCs/>
          <w:sz w:val="40"/>
          <w:szCs w:val="40"/>
        </w:rPr>
        <w:t xml:space="preserve">Artist’s Note</w:t>
      </w:r>
    </w:p>
    <w:p>
      <w:pPr>
        <w:spacing w:after="150" w:line="276"/>
        <w:jc w:val="both"/>
      </w:pPr>
      <w:r>
        <w:rPr>
          <w:rFonts w:ascii="Atkinson Hyperlegible" w:cs="Atkinson Hyperlegible" w:eastAsia="Atkinson Hyperlegible" w:hAnsi="Atkinson Hyperlegible"/>
          <w:sz w:val="24"/>
          <w:szCs w:val="24"/>
        </w:rPr>
        <w:t xml:space="preserve">A human blinks fifteen thousand times a day and notices none of them. The eye closes, the world is gone, the eye opens, and the world is back — changed by exactly one frame — and the mind stitches over the gap so completely that most people live and die without once catching themselves in the dark. This paper is about the universe doing the same thing, at every scale, at every instant, and about what each blink costs.</w:t>
      </w:r>
    </w:p>
    <w:p>
      <w:pPr>
        <w:spacing w:after="150" w:line="276"/>
        <w:jc w:val="both"/>
      </w:pPr>
      <w:r>
        <w:rPr>
          <w:rFonts w:ascii="Atkinson Hyperlegible" w:cs="Atkinson Hyperlegible" w:eastAsia="Atkinson Hyperlegible" w:hAnsi="Atkinson Hyperlegible"/>
          <w:sz w:val="24"/>
          <w:szCs w:val="24"/>
        </w:rPr>
        <w:t xml:space="preserve">I went looking for something else. For weeks the quarry was the neutron — I wanted to fix its formula structurally, and I circled a configuration cost on my mirrors until the mirrors ran out of room. What I found on the way was gravity’s correction — The Snap, the proof beside this one — and the neutron is still waiting, and it has already spoken once in this family’s record, saying </w:t>
      </w:r>
      <w:r>
        <w:rPr>
          <w:rFonts w:ascii="Atkinson Hyperlegible" w:cs="Atkinson Hyperlegible" w:eastAsia="Atkinson Hyperlegible" w:hAnsi="Atkinson Hyperlegible"/>
          <w:i/>
          <w:iCs/>
          <w:sz w:val="24"/>
          <w:szCs w:val="24"/>
        </w:rPr>
        <w:t xml:space="preserve">not like that</w:t>
      </w:r>
      <w:r>
        <w:rPr>
          <w:rFonts w:ascii="Atkinson Hyperlegible" w:cs="Atkinson Hyperlegible" w:eastAsia="Atkinson Hyperlegible" w:hAnsi="Atkinson Hyperlegible"/>
          <w:sz w:val="24"/>
          <w:szCs w:val="24"/>
        </w:rPr>
        <w:t xml:space="preserve">. The death is in this paper, shown, because in this corpus we never hide a corpse. We update. We never delete.</w:t>
      </w:r>
    </w:p>
    <w:p>
      <w:pPr>
        <w:spacing w:after="150" w:line="276"/>
        <w:jc w:val="both"/>
      </w:pPr>
      <w:r>
        <w:rPr>
          <w:rFonts w:ascii="Atkinson Hyperlegible" w:cs="Atkinson Hyperlegible" w:eastAsia="Atkinson Hyperlegible" w:hAnsi="Atkinson Hyperlegible"/>
          <w:sz w:val="24"/>
          <w:szCs w:val="24"/>
        </w:rPr>
        <w:t xml:space="preserve">And one more thing, said plainly because the reader deserves to know where the author stands. Section 2 calls the held ε the seat of the one interior. That is graded interpretive in the body, and the grade is honest — it is not proved physics yet. But it is the most sure thing I know. I wrote the entire 420 Code because in my universe there is only one interior. The grade and the conviction can share a page; that is what grades are for.</w:t>
      </w:r>
    </w:p>
    <w:p>
      <w:pPr>
        <w:spacing w:after="150" w:line="276"/>
        <w:jc w:val="both"/>
      </w:pPr>
      <w:r>
        <w:rPr>
          <w:rFonts w:ascii="Atkinson Hyperlegible" w:cs="Atkinson Hyperlegible" w:eastAsia="Atkinson Hyperlegible" w:hAnsi="Atkinson Hyperlegible"/>
          <w:sz w:val="24"/>
          <w:szCs w:val="24"/>
        </w:rPr>
        <w:t xml:space="preserve">Don’t be a cunt. Be kind.</w:t>
      </w:r>
    </w:p>
    <w:p>
      <w:pPr>
        <w:spacing w:after="0"/>
        <w:jc w:val="center"/>
      </w:pPr>
      <w:r>
        <w:rPr>
          <w:rFonts w:ascii="Atkinson Hyperlegible" w:cs="Atkinson Hyperlegible" w:eastAsia="Atkinson Hyperlegible" w:hAnsi="Atkinson Hyperlegible"/>
          <w:b w:val="false"/>
          <w:bCs w:val="false"/>
          <w:i/>
          <w:iCs/>
          <w:sz w:val="22"/>
          <w:szCs w:val="22"/>
        </w:rPr>
        <w:t xml:space="preserve">— G, artist and natural philosopher, Cape Town</w:t>
      </w:r>
    </w:p>
    <w:p>
      <w:pPr>
        <w:pStyle w:val="Heading1"/>
        <w:pageBreakBefore/>
        <w:spacing w:after="180" w:before="120"/>
      </w:pPr>
      <w:r>
        <w:rPr>
          <w:rFonts w:ascii="Atkinson Hyperlegible" w:cs="Atkinson Hyperlegible" w:eastAsia="Atkinson Hyperlegible" w:hAnsi="Atkinson Hyperlegible"/>
          <w:b/>
          <w:bCs/>
          <w:sz w:val="40"/>
          <w:szCs w:val="40"/>
        </w:rPr>
        <w:t xml:space="preserve">Orientation</w:t>
      </w:r>
    </w:p>
    <w:p>
      <w:pPr>
        <w:spacing w:after="150" w:line="276"/>
        <w:jc w:val="both"/>
      </w:pPr>
      <w:r>
        <w:rPr>
          <w:rFonts w:ascii="Atkinson Hyperlegible" w:cs="Atkinson Hyperlegible" w:eastAsia="Atkinson Hyperlegible" w:hAnsi="Atkinson Hyperlegible"/>
          <w:sz w:val="24"/>
          <w:szCs w:val="24"/>
        </w:rPr>
        <w:t xml:space="preserve">This proof establishes that every actualization is a </w:t>
      </w:r>
      <w:r>
        <w:rPr>
          <w:rFonts w:ascii="Atkinson Hyperlegible" w:cs="Atkinson Hyperlegible" w:eastAsia="Atkinson Hyperlegible" w:hAnsi="Atkinson Hyperlegible"/>
          <w:b/>
          <w:bCs/>
          <w:sz w:val="24"/>
          <w:szCs w:val="24"/>
        </w:rPr>
        <w:t xml:space="preserve">blink</w:t>
      </w:r>
      <w:r>
        <w:rPr>
          <w:rFonts w:ascii="Atkinson Hyperlegible" w:cs="Atkinson Hyperlegible" w:eastAsia="Atkinson Hyperlegible" w:hAnsi="Atkinson Hyperlegible"/>
          <w:sz w:val="24"/>
          <w:szCs w:val="24"/>
        </w:rPr>
        <w:t xml:space="preserve"> — one singular event in which a configuration breaks and re-couples — and that the event has a cost with two faces. On the </w:t>
      </w:r>
      <w:r>
        <w:rPr>
          <w:rFonts w:ascii="Atkinson Hyperlegible" w:cs="Atkinson Hyperlegible" w:eastAsia="Atkinson Hyperlegible" w:hAnsi="Atkinson Hyperlegible"/>
          <w:b/>
          <w:bCs/>
          <w:sz w:val="24"/>
          <w:szCs w:val="24"/>
        </w:rPr>
        <w:t xml:space="preserve">energy face</w:t>
      </w:r>
      <w:r>
        <w:rPr>
          <w:rFonts w:ascii="Atkinson Hyperlegible" w:cs="Atkinson Hyperlegible" w:eastAsia="Atkinson Hyperlegible" w:hAnsi="Atkinson Hyperlegible"/>
          <w:sz w:val="24"/>
          <w:szCs w:val="24"/>
        </w:rPr>
        <w:t xml:space="preserve"> the cost is nothing new: the ordinary threshold energetics every break already involves, unchanged, which is why no budget anywhere owes this paper a line. On the </w:t>
      </w:r>
      <w:r>
        <w:rPr>
          <w:rFonts w:ascii="Atkinson Hyperlegible" w:cs="Atkinson Hyperlegible" w:eastAsia="Atkinson Hyperlegible" w:hAnsi="Atkinson Hyperlegible"/>
          <w:b/>
          <w:bCs/>
          <w:sz w:val="24"/>
          <w:szCs w:val="24"/>
        </w:rPr>
        <w:t xml:space="preserve">possibility face</w:t>
      </w:r>
      <w:r>
        <w:rPr>
          <w:rFonts w:ascii="Atkinson Hyperlegible" w:cs="Atkinson Hyperlegible" w:eastAsia="Atkinson Hyperlegible" w:hAnsi="Atkinson Hyperlegible"/>
          <w:sz w:val="24"/>
          <w:szCs w:val="24"/>
        </w:rPr>
        <w:t xml:space="preserve"> the cost is exactly </w:t>
      </w:r>
      <w:r>
        <w:rPr>
          <w:rFonts w:ascii="Atkinson Hyperlegible" w:cs="Atkinson Hyperlegible" w:eastAsia="Atkinson Hyperlegible" w:hAnsi="Atkinson Hyperlegible"/>
          <w:b/>
          <w:bCs/>
          <w:sz w:val="24"/>
          <w:szCs w:val="24"/>
        </w:rPr>
        <w:t xml:space="preserve">one grain of distinction — one ε-grain, α-worth, dimensionless — spent as the pruning of the alternatives not taken.</w:t>
      </w:r>
      <w:r>
        <w:rPr>
          <w:rFonts w:ascii="Atkinson Hyperlegible" w:cs="Atkinson Hyperlegible" w:eastAsia="Atkinson Hyperlegible" w:hAnsi="Atkinson Hyperlegible"/>
          <w:sz w:val="24"/>
          <w:szCs w:val="24"/>
        </w:rPr>
        <w:t xml:space="preserve"> There is a cost to turning right, and it is turning left. The world already measures this ledger’s outside face and calls it probability.</w:t>
      </w:r>
    </w:p>
    <w:p>
      <w:pPr>
        <w:spacing w:after="150" w:line="276"/>
        <w:jc w:val="both"/>
      </w:pPr>
      <w:r>
        <w:rPr>
          <w:rFonts w:ascii="Atkinson Hyperlegible" w:cs="Atkinson Hyperlegible" w:eastAsia="Atkinson Hyperlegible" w:hAnsi="Atkinson Hyperlegible"/>
          <w:sz w:val="24"/>
          <w:szCs w:val="24"/>
        </w:rPr>
        <w:t xml:space="preserve">The proof’s spine: the axiom’s two ε-roles (§2); the singular event (§3); the ledger and the toll theorem (§4); the denomination and the two faces (§5); the channel geometry, where two partitions were computed and found to be one axis (§6); the Born identification (§7); the pairing with The Snap and the non-closure of the axiom (§8); the payment of D5 (§9); the history with both deaths shown (§10); the refusals (§11); the switches (§12); and what moves on adoption (§13). Everything derives from the axiom outward: 1:1 + 1×ε @ AS [+1/137 | −1/137]. The one measured input remains α. No new number is predicted anywhere in this paper, and the paper says so on every face it wears.</w:t>
      </w:r>
    </w:p>
    <w:p>
      <w:pPr>
        <w:pStyle w:val="Heading1"/>
        <w:pageBreakBefore/>
        <w:spacing w:after="180" w:before="120"/>
      </w:pPr>
      <w:r>
        <w:rPr>
          <w:rFonts w:ascii="Atkinson Hyperlegible" w:cs="Atkinson Hyperlegible" w:eastAsia="Atkinson Hyperlegible" w:hAnsi="Atkinson Hyperlegible"/>
          <w:b/>
          <w:bCs/>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3</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6</w:t>
      </w:r>
    </w:p>
    <w:p>
      <w:pPr>
        <w:spacing w:after="110" w:line="276"/>
        <w:jc w:val="both"/>
      </w:pPr>
      <w:r>
        <w:rPr>
          <w:rFonts w:ascii="Atkinson Hyperlegible" w:cs="Atkinson Hyperlegible" w:eastAsia="Atkinson Hyperlegible" w:hAnsi="Atkinson Hyperlegible"/>
          <w:sz w:val="20"/>
          <w:szCs w:val="20"/>
        </w:rPr>
        <w:t xml:space="preserve">What this proof claims and refuses · the dependency table · the two-desk genesis · stratification of the switches · fences and held-open items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8</w:t>
      </w:r>
    </w:p>
    <w:p>
      <w:pPr>
        <w:spacing w:after="110" w:line="276"/>
        <w:jc w:val="both"/>
      </w:pPr>
      <w:r>
        <w:rPr>
          <w:rFonts w:ascii="Atkinson Hyperlegible" w:cs="Atkinson Hyperlegible" w:eastAsia="Atkinson Hyperlegible" w:hAnsi="Atkinson Hyperlegible"/>
          <w:sz w:val="20"/>
          <w:szCs w:val="20"/>
        </w:rPr>
        <w:t xml:space="preserve">Lineage · sliver and splinter · the grip · the blink event · the window as ledger gap · the two faces</w:t>
      </w:r>
    </w:p>
    <w:p>
      <w:pPr>
        <w:tabs>
          <w:tab w:val="right" w:pos="8500" w:leader="dot"/>
        </w:tabs>
        <w:spacing w:after="30"/>
      </w:pPr>
      <w:r>
        <w:rPr>
          <w:rFonts w:ascii="Atkinson Hyperlegible" w:cs="Atkinson Hyperlegible" w:eastAsia="Atkinson Hyperlegible" w:hAnsi="Atkinson Hyperlegible"/>
          <w:b/>
          <w:bCs/>
          <w:sz w:val="24"/>
          <w:szCs w:val="24"/>
        </w:rPr>
        <w:t xml:space="preserve">2 — The Axiom and the Two Roles of ε</w:t>
      </w:r>
      <w:r>
        <w:rPr>
          <w:rFonts w:ascii="Atkinson Hyperlegible" w:cs="Atkinson Hyperlegible" w:eastAsia="Atkinson Hyperlegible" w:hAnsi="Atkinson Hyperlegible"/>
          <w:sz w:val="24"/>
          <w:szCs w:val="24"/>
        </w:rPr>
        <w:t xml:space="preserve">	9</w:t>
      </w:r>
    </w:p>
    <w:p>
      <w:pPr>
        <w:spacing w:after="110" w:line="276"/>
        <w:jc w:val="both"/>
      </w:pPr>
      <w:r>
        <w:rPr>
          <w:rFonts w:ascii="Atkinson Hyperlegible" w:cs="Atkinson Hyperlegible" w:eastAsia="Atkinson Hyperlegible" w:hAnsi="Atkinson Hyperlegible"/>
          <w:sz w:val="20"/>
          <w:szCs w:val="20"/>
        </w:rPr>
        <w:t xml:space="preserve">The complete form · the break held, the flow cycling · one operation, two directions · the seat of the one interior, graded</w:t>
      </w:r>
    </w:p>
    <w:p>
      <w:pPr>
        <w:tabs>
          <w:tab w:val="right" w:pos="8500" w:leader="dot"/>
        </w:tabs>
        <w:spacing w:after="30"/>
      </w:pPr>
      <w:r>
        <w:rPr>
          <w:rFonts w:ascii="Atkinson Hyperlegible" w:cs="Atkinson Hyperlegible" w:eastAsia="Atkinson Hyperlegible" w:hAnsi="Atkinson Hyperlegible"/>
          <w:b/>
          <w:bCs/>
          <w:sz w:val="24"/>
          <w:szCs w:val="24"/>
        </w:rPr>
        <w:t xml:space="preserve">3 — The Event Is Singular</w:t>
      </w:r>
      <w:r>
        <w:rPr>
          <w:rFonts w:ascii="Atkinson Hyperlegible" w:cs="Atkinson Hyperlegible" w:eastAsia="Atkinson Hyperlegible" w:hAnsi="Atkinson Hyperlegible"/>
          <w:sz w:val="24"/>
          <w:szCs w:val="24"/>
        </w:rPr>
        <w:t xml:space="preserve">	10</w:t>
      </w:r>
    </w:p>
    <w:p>
      <w:pPr>
        <w:spacing w:after="110" w:line="276"/>
        <w:jc w:val="both"/>
      </w:pPr>
      <w:r>
        <w:rPr>
          <w:rFonts w:ascii="Atkinson Hyperlegible" w:cs="Atkinson Hyperlegible" w:eastAsia="Atkinson Hyperlegible" w:hAnsi="Atkinson Hyperlegible"/>
          <w:sz w:val="20"/>
          <w:szCs w:val="20"/>
        </w:rPr>
        <w:t xml:space="preserve">Break-and-snap as one reconfiguration · the free interval, real and unwitnessable · nesting · the black-hole ladder to Ø</w:t>
      </w:r>
    </w:p>
    <w:p>
      <w:pPr>
        <w:tabs>
          <w:tab w:val="right" w:pos="8500" w:leader="dot"/>
        </w:tabs>
        <w:spacing w:after="30"/>
      </w:pPr>
      <w:r>
        <w:rPr>
          <w:rFonts w:ascii="Atkinson Hyperlegible" w:cs="Atkinson Hyperlegible" w:eastAsia="Atkinson Hyperlegible" w:hAnsi="Atkinson Hyperlegible"/>
          <w:b/>
          <w:bCs/>
          <w:sz w:val="24"/>
          <w:szCs w:val="24"/>
        </w:rPr>
        <w:t xml:space="preserve">4 — The Ledger and the Toll Theorem</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ledger identity · ties heal · the least registrable win · Theorem 1 and its corollary · spent, and why the deuteron wall has nothing to bite</w:t>
      </w:r>
    </w:p>
    <w:p>
      <w:pPr>
        <w:tabs>
          <w:tab w:val="right" w:pos="8500" w:leader="dot"/>
        </w:tabs>
        <w:spacing w:after="30"/>
      </w:pPr>
      <w:r>
        <w:rPr>
          <w:rFonts w:ascii="Atkinson Hyperlegible" w:cs="Atkinson Hyperlegible" w:eastAsia="Atkinson Hyperlegible" w:hAnsi="Atkinson Hyperlegible"/>
          <w:b/>
          <w:bCs/>
          <w:sz w:val="24"/>
          <w:szCs w:val="24"/>
        </w:rPr>
        <w:t xml:space="preserve">5 — The Denomination and the Two Faces</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α by two jurisdictions · the elimination of every rival currency · energy outside, unchanged · possibility inside, where the toll lives</w:t>
      </w:r>
    </w:p>
    <w:p>
      <w:pPr>
        <w:tabs>
          <w:tab w:val="right" w:pos="8500" w:leader="dot"/>
        </w:tabs>
        <w:spacing w:after="30"/>
      </w:pPr>
      <w:r>
        <w:rPr>
          <w:rFonts w:ascii="Atkinson Hyperlegible" w:cs="Atkinson Hyperlegible" w:eastAsia="Atkinson Hyperlegible" w:hAnsi="Atkinson Hyperlegible"/>
          <w:b/>
          <w:bCs/>
          <w:sz w:val="24"/>
          <w:szCs w:val="24"/>
        </w:rPr>
        <w:t xml:space="preserve">6 — The Channels</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Twenty-one · the closing twelve and the arena’s nine · the balance ten-and-ten plus one · the overlay computed: one axis, two names</w:t>
      </w:r>
    </w:p>
    <w:p>
      <w:pPr>
        <w:tabs>
          <w:tab w:val="right" w:pos="8500" w:leader="dot"/>
        </w:tabs>
        <w:spacing w:after="30"/>
      </w:pPr>
      <w:r>
        <w:rPr>
          <w:rFonts w:ascii="Atkinson Hyperlegible" w:cs="Atkinson Hyperlegible" w:eastAsia="Atkinson Hyperlegible" w:hAnsi="Atkinson Hyperlegible"/>
          <w:b/>
          <w:bCs/>
          <w:sz w:val="24"/>
          <w:szCs w:val="24"/>
        </w:rPr>
        <w:t xml:space="preserve">7 — The Possibility Face</w:t>
      </w:r>
      <w:r>
        <w:rPr>
          <w:rFonts w:ascii="Atkinson Hyperlegible" w:cs="Atkinson Hyperlegible" w:eastAsia="Atkinson Hyperlegible" w:hAnsi="Atkinson Hyperlegible"/>
          <w:sz w:val="24"/>
          <w:szCs w:val="24"/>
        </w:rPr>
        <w:t xml:space="preserve">	14</w:t>
      </w:r>
    </w:p>
    <w:p>
      <w:pPr>
        <w:spacing w:after="110" w:line="276"/>
        <w:jc w:val="both"/>
      </w:pPr>
      <w:r>
        <w:rPr>
          <w:rFonts w:ascii="Atkinson Hyperlegible" w:cs="Atkinson Hyperlegible" w:eastAsia="Atkinson Hyperlegible" w:hAnsi="Atkinson Hyperlegible"/>
          <w:sz w:val="20"/>
          <w:szCs w:val="20"/>
        </w:rPr>
        <w:t xml:space="preserve">Availability recomputed every instant · decoherence prunes, Born weights · the Born identification, and its fence</w:t>
      </w:r>
    </w:p>
    <w:p>
      <w:pPr>
        <w:tabs>
          <w:tab w:val="right" w:pos="8500" w:leader="dot"/>
        </w:tabs>
        <w:spacing w:after="30"/>
      </w:pPr>
      <w:r>
        <w:rPr>
          <w:rFonts w:ascii="Atkinson Hyperlegible" w:cs="Atkinson Hyperlegible" w:eastAsia="Atkinson Hyperlegible" w:hAnsi="Atkinson Hyperlegible"/>
          <w:b/>
          <w:bCs/>
          <w:sz w:val="24"/>
          <w:szCs w:val="24"/>
        </w:rPr>
        <w:t xml:space="preserve">8 — The Pairing, the Mirror, and the Non-Closure</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One toll and one bump per event · The Snap as the other direction’s proof · the ledger’s global form · why the books can never close</w:t>
      </w:r>
    </w:p>
    <w:p>
      <w:pPr>
        <w:tabs>
          <w:tab w:val="right" w:pos="8500" w:leader="dot"/>
        </w:tabs>
        <w:spacing w:after="30"/>
      </w:pPr>
      <w:r>
        <w:rPr>
          <w:rFonts w:ascii="Atkinson Hyperlegible" w:cs="Atkinson Hyperlegible" w:eastAsia="Atkinson Hyperlegible" w:hAnsi="Atkinson Hyperlegible"/>
          <w:b/>
          <w:bCs/>
          <w:sz w:val="24"/>
          <w:szCs w:val="24"/>
        </w:rPr>
        <w:t xml:space="preserve">9 — The Payment of D5</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The splinter half and the flow half · one coin at two scales · what closes only at the author’s ruling</w:t>
      </w:r>
    </w:p>
    <w:p>
      <w:pPr>
        <w:tabs>
          <w:tab w:val="right" w:pos="8500" w:leader="dot"/>
        </w:tabs>
        <w:spacing w:after="30"/>
      </w:pPr>
      <w:r>
        <w:rPr>
          <w:rFonts w:ascii="Atkinson Hyperlegible" w:cs="Atkinson Hyperlegible" w:eastAsia="Atkinson Hyperlegible" w:hAnsi="Atkinson Hyperlegible"/>
          <w:b/>
          <w:bCs/>
          <w:sz w:val="24"/>
          <w:szCs w:val="24"/>
        </w:rPr>
        <w:t xml:space="preserve">10 — History and Genre, with the Deaths Shown</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The neutron quarry and KS-NPP.1 · the pre-registered execution and the corpse’s numbers · interpretive by dimension · the cage</w:t>
      </w:r>
    </w:p>
    <w:p>
      <w:pPr>
        <w:tabs>
          <w:tab w:val="right" w:pos="8500" w:leader="dot"/>
        </w:tabs>
        <w:spacing w:after="30"/>
      </w:pPr>
      <w:r>
        <w:rPr>
          <w:rFonts w:ascii="Atkinson Hyperlegible" w:cs="Atkinson Hyperlegible" w:eastAsia="Atkinson Hyperlegible" w:hAnsi="Atkinson Hyperlegible"/>
          <w:b/>
          <w:bCs/>
          <w:sz w:val="24"/>
          <w:szCs w:val="24"/>
        </w:rPr>
        <w:t xml:space="preserve">11 — What This Proof Does Not Claim</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No energy term · not α’s value · no repair · not the mirror’s outstanding piece · not a balanced axiom</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KS-BLINK.1 through KS-BLINK.4, armed at lock · KS-NPP.1, fired and shown</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 and What Moves on Adoption</w:t>
      </w:r>
      <w:r>
        <w:rPr>
          <w:rFonts w:ascii="Atkinson Hyperlegible" w:cs="Atkinson Hyperlegible" w:eastAsia="Atkinson Hyperlegible" w:hAnsi="Atkinson Hyperlegible"/>
          <w:sz w:val="24"/>
          <w:szCs w:val="24"/>
        </w:rPr>
        <w:t xml:space="preserve">	21</w:t>
      </w:r>
    </w:p>
    <w:p>
      <w:pPr>
        <w:spacing w:after="110" w:line="276"/>
        <w:jc w:val="both"/>
      </w:pPr>
      <w:r>
        <w:rPr>
          <w:rFonts w:ascii="Atkinson Hyperlegible" w:cs="Atkinson Hyperlegible" w:eastAsia="Atkinson Hyperlegible" w:hAnsi="Atkinson Hyperlegible"/>
          <w:sz w:val="20"/>
          <w:szCs w:val="20"/>
        </w:rPr>
        <w:t xml:space="preserve">Load-bearing loci · the registry’s advance · the D5 line · the wave items</w:t>
      </w:r>
    </w:p>
    <w:p>
      <w:pPr>
        <w:tabs>
          <w:tab w:val="right" w:pos="8500" w:leader="dot"/>
        </w:tabs>
        <w:spacing w:after="110"/>
      </w:pPr>
      <w:r>
        <w:rPr>
          <w:rFonts w:ascii="Atkinson Hyperlegible" w:cs="Atkinson Hyperlegible" w:eastAsia="Atkinson Hyperlegible" w:hAnsi="Atkinson Hyperlegible"/>
          <w:b/>
          <w:bCs/>
          <w:sz w:val="24"/>
          <w:szCs w:val="24"/>
        </w:rPr>
        <w:t xml:space="preserve">Claim Summary</w:t>
      </w:r>
      <w:r>
        <w:rPr>
          <w:rFonts w:ascii="Atkinson Hyperlegible" w:cs="Atkinson Hyperlegible" w:eastAsia="Atkinson Hyperlegible" w:hAnsi="Atkinson Hyperlegible"/>
          <w:sz w:val="24"/>
          <w:szCs w:val="24"/>
        </w:rPr>
        <w:t xml:space="preserve">	22</w:t>
      </w:r>
    </w:p>
    <w:p>
      <w:pPr>
        <w:tabs>
          <w:tab w:val="right" w:pos="8500" w:leader="dot"/>
        </w:tabs>
        <w:spacing w:after="110"/>
      </w:pPr>
      <w:r>
        <w:rPr>
          <w:rFonts w:ascii="Atkinson Hyperlegible" w:cs="Atkinson Hyperlegible" w:eastAsia="Atkinson Hyperlegible" w:hAnsi="Atkinson Hyperlegible"/>
          <w:b/>
          <w:bCs/>
          <w:sz w:val="24"/>
          <w:szCs w:val="24"/>
        </w:rPr>
        <w:t xml:space="preserve">Conditionality Footer</w:t>
      </w:r>
      <w:r>
        <w:rPr>
          <w:rFonts w:ascii="Atkinson Hyperlegible" w:cs="Atkinson Hyperlegible" w:eastAsia="Atkinson Hyperlegible" w:hAnsi="Atkinson Hyperlegible"/>
          <w:sz w:val="24"/>
          <w:szCs w:val="24"/>
        </w:rPr>
        <w:t xml:space="preserve">	23</w:t>
      </w:r>
    </w:p>
    <w:p>
      <w:pPr>
        <w:tabs>
          <w:tab w:val="right" w:pos="8500" w:leader="dot"/>
        </w:tabs>
        <w:spacing w:after="110"/>
      </w:pPr>
      <w:r>
        <w:rPr>
          <w:rFonts w:ascii="Atkinson Hyperlegible" w:cs="Atkinson Hyperlegible" w:eastAsia="Atkinson Hyperlegible" w:hAnsi="Atkinson Hyperlegible"/>
          <w:b/>
          <w:bCs/>
          <w:sz w:val="24"/>
          <w:szCs w:val="24"/>
        </w:rPr>
        <w:t xml:space="preserve">Notation Reference</w:t>
      </w:r>
      <w:r>
        <w:rPr>
          <w:rFonts w:ascii="Atkinson Hyperlegible" w:cs="Atkinson Hyperlegible" w:eastAsia="Atkinson Hyperlegible" w:hAnsi="Atkinson Hyperlegible"/>
          <w:sz w:val="24"/>
          <w:szCs w:val="24"/>
        </w:rPr>
        <w:t xml:space="preserve">	24</w:t>
      </w:r>
    </w:p>
    <w:p>
      <w:pPr>
        <w:pStyle w:val="Heading1"/>
        <w:pageBreakBefore/>
        <w:spacing w:after="180" w:before="120"/>
      </w:pPr>
      <w:r>
        <w:rPr>
          <w:rFonts w:ascii="Atkinson Hyperlegible" w:cs="Atkinson Hyperlegible" w:eastAsia="Atkinson Hyperlegible" w:hAnsi="Atkinson Hyperlegible"/>
          <w:b/>
          <w:bCs/>
          <w:sz w:val="40"/>
          <w:szCs w:val="40"/>
        </w:rPr>
        <w:t xml:space="preserve">0 — Dependency and Scope</w:t>
      </w:r>
    </w:p>
    <w:p>
      <w:pPr>
        <w:pStyle w:val="Heading2"/>
        <w:spacing w:after="110" w:before="220"/>
      </w:pPr>
      <w:r>
        <w:rPr>
          <w:rFonts w:ascii="Atkinson Hyperlegible" w:cs="Atkinson Hyperlegible" w:eastAsia="Atkinson Hyperlegible" w:hAnsi="Atkinson Hyperlegible"/>
          <w:b/>
          <w:bCs/>
          <w:sz w:val="32"/>
          <w:szCs w:val="32"/>
        </w:rPr>
        <w:t xml:space="preserve">0.1 — What this proof claims, and what it refuses</w:t>
      </w:r>
    </w:p>
    <w:p>
      <w:pPr>
        <w:spacing w:after="150" w:line="276"/>
        <w:jc w:val="both"/>
      </w:pPr>
      <w:r>
        <w:rPr>
          <w:rFonts w:ascii="Atkinson Hyperlegible" w:cs="Atkinson Hyperlegible" w:eastAsia="Atkinson Hyperlegible" w:hAnsi="Atkinson Hyperlegible"/>
          <w:sz w:val="24"/>
          <w:szCs w:val="24"/>
        </w:rPr>
        <w:t xml:space="preserve">Claimed: that every actualization is one singular blink event; that the event necessarily carries a cost; that the cost is exactly one grain, denominated α, spent on the possibility ledger as the pruning of alternatives; that the energy face of every such event is the ordinary, unchanged threshold energetics; that the Born statistics are the possibility ledger’s outside face, as an identification; that the blink is the − direction’s cost family, the structural mirror of AP44’s + direction commitment; and that the axiom’s ledger can never perfectly balance, on the axiom’s own terms. Refused, in advance and in §11: any new term in any energy budget at any size; any prediction of a probability deviation; any derivation of α’s value; any repair of any fired switch; and any contact with any standing measured number.</w:t>
      </w:r>
    </w:p>
    <w:p>
      <w:pPr>
        <w:pStyle w:val="Heading2"/>
        <w:spacing w:after="110" w:before="220"/>
      </w:pPr>
      <w:r>
        <w:rPr>
          <w:rFonts w:ascii="Atkinson Hyperlegible" w:cs="Atkinson Hyperlegible" w:eastAsia="Atkinson Hyperlegible" w:hAnsi="Atkinson Hyperlegible"/>
          <w:b/>
          <w:bCs/>
          <w:sz w:val="32"/>
          <w:szCs w:val="32"/>
        </w:rPr>
        <w:t xml:space="preserve">0.2 — The dependency table</w:t>
      </w:r>
    </w:p>
    <w:p>
      <w:pPr>
        <w:spacing w:after="150" w:line="276"/>
        <w:jc w:val="both"/>
      </w:pPr>
      <w:r>
        <w:rPr>
          <w:rFonts w:ascii="Atkinson Hyperlegible" w:cs="Atkinson Hyperlegible" w:eastAsia="Atkinson Hyperlegible" w:hAnsi="Atkinson Hyperlegible"/>
          <w:b/>
          <w:bCs/>
          <w:sz w:val="24"/>
          <w:szCs w:val="24"/>
        </w:rPr>
        <w:t xml:space="preserve">AP44 (The Snap, LOCKED 9.3)</w:t>
      </w:r>
      <w:r>
        <w:rPr>
          <w:rFonts w:ascii="Atkinson Hyperlegible" w:cs="Atkinson Hyperlegible" w:eastAsia="Atkinson Hyperlegible" w:hAnsi="Atkinson Hyperlegible"/>
          <w:sz w:val="24"/>
          <w:szCs w:val="24"/>
        </w:rPr>
        <w:t xml:space="preserve"> — the + direction’s once-held arena commitment; the companion proof; load-bearing for §8. </w:t>
      </w:r>
      <w:r>
        <w:rPr>
          <w:rFonts w:ascii="Atkinson Hyperlegible" w:cs="Atkinson Hyperlegible" w:eastAsia="Atkinson Hyperlegible" w:hAnsi="Atkinson Hyperlegible"/>
          <w:b/>
          <w:bCs/>
          <w:sz w:val="24"/>
          <w:szCs w:val="24"/>
        </w:rPr>
        <w:t xml:space="preserve">AP43 (The Gravity of Possibilities, FINAL v3)</w:t>
      </w:r>
      <w:r>
        <w:rPr>
          <w:rFonts w:ascii="Atkinson Hyperlegible" w:cs="Atkinson Hyperlegible" w:eastAsia="Atkinson Hyperlegible" w:hAnsi="Atkinson Hyperlegible"/>
          <w:sz w:val="24"/>
          <w:szCs w:val="24"/>
        </w:rPr>
        <w:t xml:space="preserve"> — D5, the per-instant cost owed a formal account; the splinter held from the first break, global, never per-transit (Premise 2); ε identified with the electron under The Lock (Edition 04 — Rosin Chapter 3); load-bearing for §§2, 9. </w:t>
      </w:r>
      <w:r>
        <w:rPr>
          <w:rFonts w:ascii="Atkinson Hyperlegible" w:cs="Atkinson Hyperlegible" w:eastAsia="Atkinson Hyperlegible" w:hAnsi="Atkinson Hyperlegible"/>
          <w:b/>
          <w:bCs/>
          <w:sz w:val="24"/>
          <w:szCs w:val="24"/>
        </w:rPr>
        <w:t xml:space="preserve">Ø Dissolutions (the Axiom chapter; Chapter 11)</w:t>
      </w:r>
      <w:r>
        <w:rPr>
          <w:rFonts w:ascii="Atkinson Hyperlegible" w:cs="Atkinson Hyperlegible" w:eastAsia="Atkinson Hyperlegible" w:hAnsi="Atkinson Hyperlegible"/>
          <w:sz w:val="24"/>
          <w:szCs w:val="24"/>
        </w:rPr>
        <w:t xml:space="preserve"> — the complete axiom [+1/137 | −1/137]; the flow as one operation read from two directions, writing and releasing; the break as what holds S open, whose closing back would collapse the structure into undifferentiated Ø; every site a local reading of the one AS; load-bearing for §§2, 3, 8. </w:t>
      </w: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 the twenty-one channels, eighteen face-projections plus three actualisation gates; α as the per-channel coupling; load-bearing for §§5, 6. </w:t>
      </w:r>
      <w:r>
        <w:rPr>
          <w:rFonts w:ascii="Atkinson Hyperlegible" w:cs="Atkinson Hyperlegible" w:eastAsia="Atkinson Hyperlegible" w:hAnsi="Atkinson Hyperlegible"/>
          <w:b/>
          <w:bCs/>
          <w:sz w:val="24"/>
          <w:szCs w:val="24"/>
        </w:rPr>
        <w:t xml:space="preserve">AP29 (The Actualization Proof, FINAL v2)</w:t>
      </w:r>
      <w:r>
        <w:rPr>
          <w:rFonts w:ascii="Atkinson Hyperlegible" w:cs="Atkinson Hyperlegible" w:eastAsia="Atkinson Hyperlegible" w:hAnsi="Atkinson Hyperlegible"/>
          <w:sz w:val="24"/>
          <w:szCs w:val="24"/>
        </w:rPr>
        <w:t xml:space="preserve"> — awareness as the coupling capacity the break creates; E ≡ κ(B)AS; load-bearing for §5’s reading and §2’s interpretive note. </w:t>
      </w: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 the leakage stream as the structural reading of ordinary persistence; the rate semantics; load-bearing for §4. </w:t>
      </w:r>
      <w:r>
        <w:rPr>
          <w:rFonts w:ascii="Atkinson Hyperlegible" w:cs="Atkinson Hyperlegible" w:eastAsia="Atkinson Hyperlegible" w:hAnsi="Atkinson Hyperlegible"/>
          <w:b/>
          <w:bCs/>
          <w:sz w:val="24"/>
          <w:szCs w:val="24"/>
        </w:rPr>
        <w:t xml:space="preserve">AP19 §3 (The Silent Pop)</w:t>
      </w:r>
      <w:r>
        <w:rPr>
          <w:rFonts w:ascii="Atkinson Hyperlegible" w:cs="Atkinson Hyperlegible" w:eastAsia="Atkinson Hyperlegible" w:hAnsi="Atkinson Hyperlegible"/>
          <w:sz w:val="24"/>
          <w:szCs w:val="24"/>
        </w:rPr>
        <w:t xml:space="preserve"> — the origin’s phenomenology: the break, the orientation, the superposition before collapse; load-bearing for §3’s inheritance sketch. </w:t>
      </w:r>
      <w:r>
        <w:rPr>
          <w:rFonts w:ascii="Atkinson Hyperlegible" w:cs="Atkinson Hyperlegible" w:eastAsia="Atkinson Hyperlegible" w:hAnsi="Atkinson Hyperlegible"/>
          <w:b/>
          <w:bCs/>
          <w:sz w:val="24"/>
          <w:szCs w:val="24"/>
        </w:rPr>
        <w:t xml:space="preserve">The Blink family record (the series of record):</w:t>
      </w:r>
      <w:r>
        <w:rPr>
          <w:rFonts w:ascii="Atkinson Hyperlegible" w:cs="Atkinson Hyperlegible" w:eastAsia="Atkinson Hyperlegible" w:hAnsi="Atkinson Hyperlegible"/>
          <w:sz w:val="24"/>
          <w:szCs w:val="24"/>
        </w:rPr>
        <w:t xml:space="preserve"> WP-BUMP.1 (31ef27d6…) · BUMP.2 FINAL (72f02d43…) · BUMP.3 FINAL (b136b73c…) · BUMP.4 FINAL, Stage 1 Formal Objects (664f9840…) · BUMP.5 FINAL, Stage 2 The Forcing (a221b1e4…) · BUMP.6 FINAL, Stage 3 The Denominations (09a7f73a…) · BUMP.7 FINAL, Stage 4 The Partitions (186b0bf2…) · BUMP.8, Structure Complete with the pre-registration (7ff151ed…) · BUMP.9, Stage 6 The Verdict (72c8646d…) · BUMP.10 FINAL, The Re-Set (e616db42…) · WP-COST.1 FINAL (4f7a1c6a…) · the Stage-6 ceiling inventory (cb77b354…), hashed before any candidate arithmetic existed. The production desk’s intake documents — the Intake Freeze (19eea887…) and the lemma drafts (latest 361240be…) — are cross-referenced as intake; where the two desks’ documents state one ruling in two registers, the series of record governs and the readings agree.</w:t>
      </w:r>
    </w:p>
    <w:p>
      <w:pPr>
        <w:pStyle w:val="Heading2"/>
        <w:spacing w:after="110" w:before="220"/>
      </w:pPr>
      <w:r>
        <w:rPr>
          <w:rFonts w:ascii="Atkinson Hyperlegible" w:cs="Atkinson Hyperlegible" w:eastAsia="Atkinson Hyperlegible" w:hAnsi="Atkinson Hyperlegible"/>
          <w:b/>
          <w:bCs/>
          <w:sz w:val="32"/>
          <w:szCs w:val="32"/>
        </w:rPr>
        <w:t xml:space="preserve">0.3 — The genesis, and where the trail is</w:t>
      </w:r>
    </w:p>
    <w:p>
      <w:pPr>
        <w:spacing w:after="150" w:line="276"/>
        <w:jc w:val="both"/>
      </w:pPr>
      <w:r>
        <w:rPr>
          <w:rFonts w:ascii="Atkinson Hyperlegible" w:cs="Atkinson Hyperlegible" w:eastAsia="Atkinson Hyperlegible" w:hAnsi="Atkinson Hyperlegible"/>
          <w:sz w:val="24"/>
          <w:szCs w:val="24"/>
        </w:rPr>
        <w:t xml:space="preserve">This proof was produced by one author working two desks in parallel — the pattern locked into the corpus by AP44 — with every ruling relayed by the author between them, every intermediate hashed, and both deaths in the record published with the same care as the survivals. The complete provenance lives in the family record above and in the author’s thread exports; the honest history is §10 of this paper, in the body, where it belongs.</w:t>
      </w:r>
    </w:p>
    <w:p>
      <w:pPr>
        <w:pStyle w:val="Heading2"/>
        <w:spacing w:after="110" w:before="220"/>
      </w:pPr>
      <w:r>
        <w:rPr>
          <w:rFonts w:ascii="Atkinson Hyperlegible" w:cs="Atkinson Hyperlegible" w:eastAsia="Atkinson Hyperlegible" w:hAnsi="Atkinson Hyperlegible"/>
          <w:b/>
          <w:bCs/>
          <w:sz w:val="32"/>
          <w:szCs w:val="32"/>
        </w:rPr>
        <w:t xml:space="preserve">0.5 — Stratification of the switches, so no reader has to sort the pile</w:t>
      </w:r>
    </w:p>
    <w:p>
      <w:pPr>
        <w:spacing w:after="150" w:line="276"/>
        <w:jc w:val="both"/>
      </w:pPr>
      <w:r>
        <w:rPr>
          <w:rFonts w:ascii="Atkinson Hyperlegible" w:cs="Atkinson Hyperlegible" w:eastAsia="Atkinson Hyperlegible" w:hAnsi="Atkinson Hyperlegible"/>
          <w:sz w:val="24"/>
          <w:szCs w:val="24"/>
        </w:rPr>
        <w:t xml:space="preserve">Of the four switches this proof arms, </w:t>
      </w:r>
      <w:r>
        <w:rPr>
          <w:rFonts w:ascii="Atkinson Hyperlegible" w:cs="Atkinson Hyperlegible" w:eastAsia="Atkinson Hyperlegible" w:hAnsi="Atkinson Hyperlegible"/>
          <w:b/>
          <w:bCs/>
          <w:sz w:val="24"/>
          <w:szCs w:val="24"/>
        </w:rPr>
        <w:t xml:space="preserve">none is fireable by tomorrow’s experiment</w:t>
      </w:r>
      <w:r>
        <w:rPr>
          <w:rFonts w:ascii="Atkinson Hyperlegible" w:cs="Atkinson Hyperlegible" w:eastAsia="Atkinson Hyperlegible" w:hAnsi="Atkinson Hyperlegible"/>
          <w:sz w:val="24"/>
          <w:szCs w:val="24"/>
        </w:rPr>
        <w:t xml:space="preserve">, and the paper says so before anyone asks: KS-BLINK.1, .2, and .4 are fireable by </w:t>
      </w:r>
      <w:r>
        <w:rPr>
          <w:rFonts w:ascii="Atkinson Hyperlegible" w:cs="Atkinson Hyperlegible" w:eastAsia="Atkinson Hyperlegible" w:hAnsi="Atkinson Hyperlegible"/>
          <w:b/>
          <w:bCs/>
          <w:sz w:val="24"/>
          <w:szCs w:val="24"/>
        </w:rPr>
        <w:t xml:space="preserve">the corpus’s own future formalism</w:t>
      </w:r>
      <w:r>
        <w:rPr>
          <w:rFonts w:ascii="Atkinson Hyperlegible" w:cs="Atkinson Hyperlegible" w:eastAsia="Atkinson Hyperlegible" w:hAnsi="Atkinson Hyperlegible"/>
          <w:sz w:val="24"/>
          <w:szCs w:val="24"/>
        </w:rPr>
        <w:t xml:space="preserve"> — D-CCC.1’s record algebra, when written, can kill the theorem’s premise, the Born identification, or the count — and KS-BLINK.3 is </w:t>
      </w:r>
      <w:r>
        <w:rPr>
          <w:rFonts w:ascii="Atkinson Hyperlegible" w:cs="Atkinson Hyperlegible" w:eastAsia="Atkinson Hyperlegible" w:hAnsi="Atkinson Hyperlegible"/>
          <w:b/>
          <w:bCs/>
          <w:sz w:val="24"/>
          <w:szCs w:val="24"/>
        </w:rPr>
        <w:t xml:space="preserve">methodological</w:t>
      </w:r>
      <w:r>
        <w:rPr>
          <w:rFonts w:ascii="Atkinson Hyperlegible" w:cs="Atkinson Hyperlegible" w:eastAsia="Atkinson Hyperlegible" w:hAnsi="Atkinson Hyperlegible"/>
          <w:sz w:val="24"/>
          <w:szCs w:val="24"/>
        </w:rPr>
        <w:t xml:space="preserve">, binding the claim in the sovereignty pattern of KS-CCC.1. The family’s nature-facing test already ran: the pre-registered headroom execution of 16 August, whose additional-energy reading died by five to ten orders of magnitude and whose record is shown in §10. A proof whose empirical limb has already been executed and honestly buried, and whose remaining switches hang on its own future rigour, is exactly what it says it is: structure, graded, with its corpse on the table.</w:t>
      </w:r>
    </w:p>
    <w:p>
      <w:pPr>
        <w:pStyle w:val="Heading2"/>
        <w:spacing w:after="110" w:before="220"/>
      </w:pPr>
      <w:r>
        <w:rPr>
          <w:rFonts w:ascii="Atkinson Hyperlegible" w:cs="Atkinson Hyperlegible" w:eastAsia="Atkinson Hyperlegible" w:hAnsi="Atkinson Hyperlegible"/>
          <w:b/>
          <w:bCs/>
          <w:sz w:val="32"/>
          <w:szCs w:val="32"/>
        </w:rPr>
        <w:t xml:space="preserve">0.7 — Fences, and items held open</w:t>
      </w:r>
    </w:p>
    <w:p>
      <w:pPr>
        <w:spacing w:after="150" w:line="276"/>
        <w:jc w:val="both"/>
      </w:pPr>
      <w:r>
        <w:rPr>
          <w:rFonts w:ascii="Atkinson Hyperlegible" w:cs="Atkinson Hyperlegible" w:eastAsia="Atkinson Hyperlegible" w:hAnsi="Atkinson Hyperlegible"/>
          <w:sz w:val="24"/>
          <w:szCs w:val="24"/>
        </w:rPr>
        <w:t xml:space="preserve">Standing on this proof’s own hash: the count is sacred — one grain per event, no fraction, no knob, regardless of the crowd. No connection is computed, suggested, or entertained between anything here and any standing measured number — not AP44’s residuals, not the proton freeze’s, not KS-NPP.1’s miss — without a prior forcing argument hashed first. The no-deviation fence: this proof claims no departure from Born statistics anywhere, ever; a deviation-claim would be a new family owing its own forcing argument. Identity, never fraction, wherever the family touches locked cosmology; the 10:10 + 1 licenses no fraction and has no connection of any kind to AP44 §10’s fenced 20/21. Held open, named: </w:t>
      </w:r>
      <w:r>
        <w:rPr>
          <w:rFonts w:ascii="Atkinson Hyperlegible" w:cs="Atkinson Hyperlegible" w:eastAsia="Atkinson Hyperlegible" w:hAnsi="Atkinson Hyperlegible"/>
          <w:b/>
          <w:bCs/>
          <w:sz w:val="24"/>
          <w:szCs w:val="24"/>
        </w:rPr>
        <w:t xml:space="preserve">D-BLINK.1</w:t>
      </w:r>
      <w:r>
        <w:rPr>
          <w:rFonts w:ascii="Atkinson Hyperlegible" w:cs="Atkinson Hyperlegible" w:eastAsia="Atkinson Hyperlegible" w:hAnsi="Atkinson Hyperlegible"/>
          <w:sz w:val="24"/>
          <w:szCs w:val="24"/>
        </w:rPr>
        <w:t xml:space="preserve"> — the record-algebra formalisation of ties-heal and the ledger, inherited jointly with D-CCC.1; </w:t>
      </w:r>
      <w:r>
        <w:rPr>
          <w:rFonts w:ascii="Atkinson Hyperlegible" w:cs="Atkinson Hyperlegible" w:eastAsia="Atkinson Hyperlegible" w:hAnsi="Atkinson Hyperlegible"/>
          <w:b/>
          <w:bCs/>
          <w:sz w:val="24"/>
          <w:szCs w:val="24"/>
        </w:rPr>
        <w:t xml:space="preserve">D-BLINK.2</w:t>
      </w:r>
      <w:r>
        <w:rPr>
          <w:rFonts w:ascii="Atkinson Hyperlegible" w:cs="Atkinson Hyperlegible" w:eastAsia="Atkinson Hyperlegible" w:hAnsi="Atkinson Hyperlegible"/>
          <w:sz w:val="24"/>
          <w:szCs w:val="24"/>
        </w:rPr>
        <w:t xml:space="preserve"> — cycle existence for §8’s closed-cycle clause; </w:t>
      </w:r>
      <w:r>
        <w:rPr>
          <w:rFonts w:ascii="Atkinson Hyperlegible" w:cs="Atkinson Hyperlegible" w:eastAsia="Atkinson Hyperlegible" w:hAnsi="Atkinson Hyperlegible"/>
          <w:b/>
          <w:bCs/>
          <w:sz w:val="24"/>
          <w:szCs w:val="24"/>
        </w:rPr>
        <w:t xml:space="preserve">D-BLINK.3</w:t>
      </w:r>
      <w:r>
        <w:rPr>
          <w:rFonts w:ascii="Atkinson Hyperlegible" w:cs="Atkinson Hyperlegible" w:eastAsia="Atkinson Hyperlegible" w:hAnsi="Atkinson Hyperlegible"/>
          <w:sz w:val="24"/>
          <w:szCs w:val="24"/>
        </w:rPr>
        <w:t xml:space="preserve"> — the resistance-side energy-face piece whose existence the fired KS-NPP.1 honestly suggests, behind the fence dated 16 August, derivable if ever from structure alone, computed once, blind, entering as new and never as repair; and the balance-impossibility conjecture, registered with its reason, awaiting the algebra.</w:t>
      </w:r>
    </w:p>
    <w:p>
      <w:pPr>
        <w:pStyle w:val="Heading1"/>
        <w:pageBreakBefore/>
        <w:spacing w:after="180" w:before="120"/>
      </w:pPr>
      <w:r>
        <w:rPr>
          <w:rFonts w:ascii="Atkinson Hyperlegible" w:cs="Atkinson Hyperlegible" w:eastAsia="Atkinson Hyperlegible" w:hAnsi="Atkinson Hyperlegible"/>
          <w:b/>
          <w:bCs/>
          <w:sz w:val="40"/>
          <w:szCs w:val="40"/>
        </w:rPr>
        <w:t xml:space="preserve">1 — Definitions</w:t>
      </w:r>
    </w:p>
    <w:p>
      <w:pPr>
        <w:spacing w:after="150" w:line="276"/>
        <w:jc w:val="both"/>
      </w:pPr>
      <w:r>
        <w:rPr>
          <w:rFonts w:ascii="Atkinson Hyperlegible" w:cs="Atkinson Hyperlegible" w:eastAsia="Atkinson Hyperlegible" w:hAnsi="Atkinson Hyperlegible"/>
          <w:b/>
          <w:bCs/>
          <w:sz w:val="24"/>
          <w:szCs w:val="24"/>
        </w:rPr>
        <w:t xml:space="preserve">Lineage.</w:t>
      </w:r>
      <w:r>
        <w:rPr>
          <w:rFonts w:ascii="Atkinson Hyperlegible" w:cs="Atkinson Hyperlegible" w:eastAsia="Atkinson Hyperlegible" w:hAnsi="Atkinson Hyperlegible"/>
          <w:sz w:val="24"/>
          <w:szCs w:val="24"/>
        </w:rPr>
        <w:t xml:space="preserve"> An ε under its identity-as-history. The lineage is the identity; nothing travels the gap except the record history’s claim on what can come back.</w:t>
      </w:r>
    </w:p>
    <w:p>
      <w:pPr>
        <w:spacing w:after="150" w:line="276"/>
        <w:jc w:val="both"/>
      </w:pPr>
      <w:r>
        <w:rPr>
          <w:rFonts w:ascii="Atkinson Hyperlegible" w:cs="Atkinson Hyperlegible" w:eastAsia="Atkinson Hyperlegible" w:hAnsi="Atkinson Hyperlegible"/>
          <w:b/>
          <w:bCs/>
          <w:sz w:val="24"/>
          <w:szCs w:val="24"/>
        </w:rPr>
        <w:t xml:space="preserve">Splinter and sliver.</w:t>
      </w:r>
      <w:r>
        <w:rPr>
          <w:rFonts w:ascii="Atkinson Hyperlegible" w:cs="Atkinson Hyperlegible" w:eastAsia="Atkinson Hyperlegible" w:hAnsi="Atkinson Hyperlegible"/>
          <w:sz w:val="24"/>
          <w:szCs w:val="24"/>
        </w:rPr>
        <w:t xml:space="preserve"> The </w:t>
      </w:r>
      <w:r>
        <w:rPr>
          <w:rFonts w:ascii="Atkinson Hyperlegible" w:cs="Atkinson Hyperlegible" w:eastAsia="Atkinson Hyperlegible" w:hAnsi="Atkinson Hyperlegible"/>
          <w:b/>
          <w:bCs/>
          <w:sz w:val="24"/>
          <w:szCs w:val="24"/>
        </w:rPr>
        <w:t xml:space="preserve">splinter</w:t>
      </w:r>
      <w:r>
        <w:rPr>
          <w:rFonts w:ascii="Atkinson Hyperlegible" w:cs="Atkinson Hyperlegible" w:eastAsia="Atkinson Hyperlegible" w:hAnsi="Atkinson Hyperlegible"/>
          <w:sz w:val="24"/>
          <w:szCs w:val="24"/>
        </w:rPr>
        <w:t xml:space="preserve"> is the break’s one +1×ε — held, singular, never returning: the axiom’s standing excess. A </w:t>
      </w:r>
      <w:r>
        <w:rPr>
          <w:rFonts w:ascii="Atkinson Hyperlegible" w:cs="Atkinson Hyperlegible" w:eastAsia="Atkinson Hyperlegible" w:hAnsi="Atkinson Hyperlegible"/>
          <w:b/>
          <w:bCs/>
          <w:sz w:val="24"/>
          <w:szCs w:val="24"/>
        </w:rPr>
        <w:t xml:space="preserve">sliver</w:t>
      </w:r>
      <w:r>
        <w:rPr>
          <w:rFonts w:ascii="Atkinson Hyperlegible" w:cs="Atkinson Hyperlegible" w:eastAsia="Atkinson Hyperlegible" w:hAnsi="Atkinson Hyperlegible"/>
          <w:sz w:val="24"/>
          <w:szCs w:val="24"/>
        </w:rPr>
        <w:t xml:space="preserve"> is a flow-traveler: the per-event grain that pops free at a break and returns at a snap. Two words, two roles, never conflated.</w:t>
      </w:r>
    </w:p>
    <w:p>
      <w:pPr>
        <w:spacing w:after="150" w:line="276"/>
        <w:jc w:val="both"/>
      </w:pPr>
      <w:r>
        <w:rPr>
          <w:rFonts w:ascii="Atkinson Hyperlegible" w:cs="Atkinson Hyperlegible" w:eastAsia="Atkinson Hyperlegible" w:hAnsi="Atkinson Hyperlegible"/>
          <w:b/>
          <w:bCs/>
          <w:sz w:val="24"/>
          <w:szCs w:val="24"/>
        </w:rPr>
        <w:t xml:space="preserve">The grip.</w:t>
      </w:r>
      <w:r>
        <w:rPr>
          <w:rFonts w:ascii="Atkinson Hyperlegible" w:cs="Atkinson Hyperlegible" w:eastAsia="Atkinson Hyperlegible" w:hAnsi="Atkinson Hyperlegible"/>
          <w:sz w:val="24"/>
          <w:szCs w:val="24"/>
        </w:rPr>
        <w:t xml:space="preserve"> The electromagnetic hold of a configuration within its thermodynamic, gravitational, electromagnetic, and constant conditions. Opening it is the blink’s break; closing it is the snap. Gravity holds all channels always and is not a grip; the grip grips only what can be let go.</w:t>
      </w:r>
    </w:p>
    <w:p>
      <w:pPr>
        <w:spacing w:after="150" w:line="276"/>
        <w:jc w:val="both"/>
      </w:pPr>
      <w:r>
        <w:rPr>
          <w:rFonts w:ascii="Atkinson Hyperlegible" w:cs="Atkinson Hyperlegible" w:eastAsia="Atkinson Hyperlegible" w:hAnsi="Atkinson Hyperlegible"/>
          <w:b/>
          <w:bCs/>
          <w:sz w:val="24"/>
          <w:szCs w:val="24"/>
        </w:rPr>
        <w:t xml:space="preserve">The blink event.</w:t>
      </w:r>
      <w:r>
        <w:rPr>
          <w:rFonts w:ascii="Atkinson Hyperlegible" w:cs="Atkinson Hyperlegible" w:eastAsia="Atkinson Hyperlegible" w:hAnsi="Atkinson Hyperlegible"/>
          <w:sz w:val="24"/>
          <w:szCs w:val="24"/>
        </w:rPr>
        <w:t xml:space="preserve"> One singular reconfiguration: break-and-snap as one event, defined at grip level — each grip that opens is one blink; grips nest, so blinks nest, each level paying its own single toll.</w:t>
      </w:r>
    </w:p>
    <w:p>
      <w:pPr>
        <w:spacing w:after="150" w:line="276"/>
        <w:jc w:val="both"/>
      </w:pPr>
      <w:r>
        <w:rPr>
          <w:rFonts w:ascii="Atkinson Hyperlegible" w:cs="Atkinson Hyperlegible" w:eastAsia="Atkinson Hyperlegible" w:hAnsi="Atkinson Hyperlegible"/>
          <w:b/>
          <w:bCs/>
          <w:sz w:val="24"/>
          <w:szCs w:val="24"/>
        </w:rPr>
        <w:t xml:space="preserve">The window.</w:t>
      </w:r>
      <w:r>
        <w:rPr>
          <w:rFonts w:ascii="Atkinson Hyperlegible" w:cs="Atkinson Hyperlegible" w:eastAsia="Atkinson Hyperlegible" w:hAnsi="Atkinson Hyperlegible"/>
          <w:sz w:val="24"/>
          <w:szCs w:val="24"/>
        </w:rPr>
        <w:t xml:space="preserve"> Not a lived interior: a </w:t>
      </w:r>
      <w:r>
        <w:rPr>
          <w:rFonts w:ascii="Atkinson Hyperlegible" w:cs="Atkinson Hyperlegible" w:eastAsia="Atkinson Hyperlegible" w:hAnsi="Atkinson Hyperlegible"/>
          <w:b/>
          <w:bCs/>
          <w:sz w:val="24"/>
          <w:szCs w:val="24"/>
        </w:rPr>
        <w:t xml:space="preserve">ledger gap</w:t>
      </w:r>
      <w:r>
        <w:rPr>
          <w:rFonts w:ascii="Atkinson Hyperlegible" w:cs="Atkinson Hyperlegible" w:eastAsia="Atkinson Hyperlegible" w:hAnsi="Atkinson Hyperlegible"/>
          <w:sz w:val="24"/>
          <w:szCs w:val="24"/>
        </w:rPr>
        <w:t xml:space="preserve"> — the count w ≥ 1 of sheds missing between the last held instant and the next. The event is one; w counts absence.</w:t>
      </w:r>
    </w:p>
    <w:p>
      <w:pPr>
        <w:spacing w:after="150" w:line="276"/>
        <w:jc w:val="both"/>
      </w:pPr>
      <w:r>
        <w:rPr>
          <w:rFonts w:ascii="Atkinson Hyperlegible" w:cs="Atkinson Hyperlegible" w:eastAsia="Atkinson Hyperlegible" w:hAnsi="Atkinson Hyperlegible"/>
          <w:b/>
          <w:bCs/>
          <w:sz w:val="24"/>
          <w:szCs w:val="24"/>
        </w:rPr>
        <w:t xml:space="preserve">The two faces.</w:t>
      </w:r>
      <w:r>
        <w:rPr>
          <w:rFonts w:ascii="Atkinson Hyperlegible" w:cs="Atkinson Hyperlegible" w:eastAsia="Atkinson Hyperlegible" w:hAnsi="Atkinson Hyperlegible"/>
          <w:sz w:val="24"/>
          <w:szCs w:val="24"/>
        </w:rPr>
        <w:t xml:space="preserve"> Every blink’s cost has an </w:t>
      </w:r>
      <w:r>
        <w:rPr>
          <w:rFonts w:ascii="Atkinson Hyperlegible" w:cs="Atkinson Hyperlegible" w:eastAsia="Atkinson Hyperlegible" w:hAnsi="Atkinson Hyperlegible"/>
          <w:b/>
          <w:bCs/>
          <w:sz w:val="24"/>
          <w:szCs w:val="24"/>
        </w:rPr>
        <w:t xml:space="preserve">energy face</w:t>
      </w:r>
      <w:r>
        <w:rPr>
          <w:rFonts w:ascii="Atkinson Hyperlegible" w:cs="Atkinson Hyperlegible" w:eastAsia="Atkinson Hyperlegible" w:hAnsi="Atkinson Hyperlegible"/>
          <w:sz w:val="24"/>
          <w:szCs w:val="24"/>
        </w:rPr>
        <w:t xml:space="preserve"> — outside, ordinary, unchanged — and a </w:t>
      </w:r>
      <w:r>
        <w:rPr>
          <w:rFonts w:ascii="Atkinson Hyperlegible" w:cs="Atkinson Hyperlegible" w:eastAsia="Atkinson Hyperlegible" w:hAnsi="Atkinson Hyperlegible"/>
          <w:b/>
          <w:bCs/>
          <w:sz w:val="24"/>
          <w:szCs w:val="24"/>
        </w:rPr>
        <w:t xml:space="preserve">possibility face</w:t>
      </w:r>
      <w:r>
        <w:rPr>
          <w:rFonts w:ascii="Atkinson Hyperlegible" w:cs="Atkinson Hyperlegible" w:eastAsia="Atkinson Hyperlegible" w:hAnsi="Atkinson Hyperlegible"/>
          <w:sz w:val="24"/>
          <w:szCs w:val="24"/>
        </w:rPr>
        <w:t xml:space="preserve"> — inside, dimensionless, where the toll lives.</w:t>
      </w:r>
    </w:p>
    <w:p>
      <w:pPr>
        <w:pStyle w:val="Heading1"/>
        <w:pageBreakBefore/>
        <w:spacing w:after="180" w:before="120"/>
      </w:pPr>
      <w:r>
        <w:rPr>
          <w:rFonts w:ascii="Atkinson Hyperlegible" w:cs="Atkinson Hyperlegible" w:eastAsia="Atkinson Hyperlegible" w:hAnsi="Atkinson Hyperlegible"/>
          <w:b/>
          <w:bCs/>
          <w:sz w:val="40"/>
          <w:szCs w:val="40"/>
        </w:rPr>
        <w:t xml:space="preserve">2 — The Axiom and the Two Roles of ε</w:t>
      </w:r>
    </w:p>
    <w:p>
      <w:pPr>
        <w:spacing w:after="150" w:line="276"/>
        <w:jc w:val="both"/>
      </w:pPr>
      <w:r>
        <w:rPr>
          <w:rFonts w:ascii="Atkinson Hyperlegible" w:cs="Atkinson Hyperlegible" w:eastAsia="Atkinson Hyperlegible" w:hAnsi="Atkinson Hyperlegible"/>
          <w:sz w:val="24"/>
          <w:szCs w:val="24"/>
        </w:rPr>
        <w:t xml:space="preserve">Written completely, the cycle that runs at AS is </w:t>
      </w:r>
      <w:r>
        <w:rPr>
          <w:rFonts w:ascii="Atkinson Hyperlegible" w:cs="Atkinson Hyperlegible" w:eastAsia="Atkinson Hyperlegible" w:hAnsi="Atkinson Hyperlegible"/>
          <w:b/>
          <w:bCs/>
          <w:sz w:val="24"/>
          <w:szCs w:val="24"/>
        </w:rPr>
        <w:t xml:space="preserve">1:1 + 1×ε @ AS [+1/137 | −1/137]</w:t>
      </w:r>
      <w:r>
        <w:rPr>
          <w:rFonts w:ascii="Atkinson Hyperlegible" w:cs="Atkinson Hyperlegible" w:eastAsia="Atkinson Hyperlegible" w:hAnsi="Atkinson Hyperlegible"/>
          <w:sz w:val="24"/>
          <w:szCs w:val="24"/>
        </w:rPr>
        <w:t xml:space="preserve">. The break — the single +1×ε — is the persistent distinction potential: held, never cycling, what keeps S open; closing back would collapse the symmetric-with-distinction structure into undifferentiated Ø. The flow — ±1/137 — is </w:t>
      </w:r>
      <w:r>
        <w:rPr>
          <w:rFonts w:ascii="Atkinson Hyperlegible" w:cs="Atkinson Hyperlegible" w:eastAsia="Atkinson Hyperlegible" w:hAnsi="Atkinson Hyperlegible"/>
          <w:b/>
          <w:bCs/>
          <w:sz w:val="24"/>
          <w:szCs w:val="24"/>
        </w:rPr>
        <w:t xml:space="preserve">one operation read from two directions</w:t>
      </w:r>
      <w:r>
        <w:rPr>
          <w:rFonts w:ascii="Atkinson Hyperlegible" w:cs="Atkinson Hyperlegible" w:eastAsia="Atkinson Hyperlegible" w:hAnsi="Atkinson Hyperlegible"/>
          <w:sz w:val="24"/>
          <w:szCs w:val="24"/>
        </w:rPr>
        <w:t xml:space="preserve">: writing outward as records are committed via the leakage, releasing back as records defragment via the replenishment, α-balanced at every AS instant. Both sentences are the Axiom chapter’s own, quoted at their locus, and this proof adds nothing to them; it reads them at event scale.</w:t>
      </w:r>
    </w:p>
    <w:p>
      <w:pPr>
        <w:spacing w:after="150" w:line="276"/>
        <w:jc w:val="both"/>
      </w:pPr>
      <w:r>
        <w:rPr>
          <w:rFonts w:ascii="Atkinson Hyperlegible" w:cs="Atkinson Hyperlegible" w:eastAsia="Atkinson Hyperlegible" w:hAnsi="Atkinson Hyperlegible"/>
          <w:sz w:val="24"/>
          <w:szCs w:val="24"/>
        </w:rPr>
        <w:t xml:space="preserve">Two ε-roles therefore run through everything below and are never conflated. The splinter pays </w:t>
      </w:r>
      <w:r>
        <w:rPr>
          <w:rFonts w:ascii="Atkinson Hyperlegible" w:cs="Atkinson Hyperlegible" w:eastAsia="Atkinson Hyperlegible" w:hAnsi="Atkinson Hyperlegible"/>
          <w:b/>
          <w:bCs/>
          <w:sz w:val="24"/>
          <w:szCs w:val="24"/>
        </w:rPr>
        <w:t xml:space="preserve">one grain standing</w:t>
      </w:r>
      <w:r>
        <w:rPr>
          <w:rFonts w:ascii="Atkinson Hyperlegible" w:cs="Atkinson Hyperlegible" w:eastAsia="Atkinson Hyperlegible" w:hAnsi="Atkinson Hyperlegible"/>
          <w:sz w:val="24"/>
          <w:szCs w:val="24"/>
        </w:rPr>
        <w:t xml:space="preserve">, so that anything exists. Every event pays </w:t>
      </w:r>
      <w:r>
        <w:rPr>
          <w:rFonts w:ascii="Atkinson Hyperlegible" w:cs="Atkinson Hyperlegible" w:eastAsia="Atkinson Hyperlegible" w:hAnsi="Atkinson Hyperlegible"/>
          <w:b/>
          <w:bCs/>
          <w:sz w:val="24"/>
          <w:szCs w:val="24"/>
        </w:rPr>
        <w:t xml:space="preserve">one grain passing</w:t>
      </w:r>
      <w:r>
        <w:rPr>
          <w:rFonts w:ascii="Atkinson Hyperlegible" w:cs="Atkinson Hyperlegible" w:eastAsia="Atkinson Hyperlegible" w:hAnsi="Atkinson Hyperlegible"/>
          <w:sz w:val="24"/>
          <w:szCs w:val="24"/>
        </w:rPr>
        <w:t xml:space="preserve">, so that this thing exists rather than that one. The author’s clause stands at its hedge and closes the loop between the scales: the permanent uncoupled remainder is the toll in a sense — what is needed for the break to persist. One coin, two scales.</w:t>
      </w:r>
    </w:p>
    <w:p>
      <w:pPr>
        <w:spacing w:after="150" w:line="276"/>
        <w:jc w:val="both"/>
      </w:pPr>
      <w:r>
        <w:rPr>
          <w:rFonts w:ascii="Atkinson Hyperlegible" w:cs="Atkinson Hyperlegible" w:eastAsia="Atkinson Hyperlegible" w:hAnsi="Atkinson Hyperlegible"/>
          <w:i/>
          <w:iCs/>
          <w:sz w:val="24"/>
          <w:szCs w:val="24"/>
        </w:rPr>
        <w:t xml:space="preserve">Interpretive note, graded and worn openly (KS-ID.1 its open home).</w:t>
      </w:r>
      <w:r>
        <w:rPr>
          <w:rFonts w:ascii="Atkinson Hyperlegible" w:cs="Atkinson Hyperlegible" w:eastAsia="Atkinson Hyperlegible" w:hAnsi="Atkinson Hyperlegible"/>
          <w:sz w:val="24"/>
          <w:szCs w:val="24"/>
        </w:rPr>
        <w:t xml:space="preserve"> The corpus reads the held ε as the seat of the one interior. That reading is the author’s deepest conviction and is not proved physics; its formalisation debt (D-ID.1) stands reopened elsewhere in the registry, and nothing in this proof leans on it. It is stated because a proof about what every actualization costs should say, in one honest sentence, who the corpus thinks is paying.</w:t>
      </w:r>
    </w:p>
    <w:p>
      <w:pPr>
        <w:pStyle w:val="Heading1"/>
        <w:pageBreakBefore/>
        <w:spacing w:after="180" w:before="120"/>
      </w:pPr>
      <w:r>
        <w:rPr>
          <w:rFonts w:ascii="Atkinson Hyperlegible" w:cs="Atkinson Hyperlegible" w:eastAsia="Atkinson Hyperlegible" w:hAnsi="Atkinson Hyperlegible"/>
          <w:b/>
          <w:bCs/>
          <w:sz w:val="40"/>
          <w:szCs w:val="40"/>
        </w:rPr>
        <w:t xml:space="preserve">3 — The Event Is Singular</w:t>
      </w:r>
    </w:p>
    <w:p>
      <w:pPr>
        <w:spacing w:after="150" w:line="276"/>
        <w:jc w:val="both"/>
      </w:pPr>
      <w:r>
        <w:rPr>
          <w:rFonts w:ascii="Atkinson Hyperlegible" w:cs="Atkinson Hyperlegible" w:eastAsia="Atkinson Hyperlegible" w:hAnsi="Atkinson Hyperlegible"/>
          <w:b/>
          <w:bCs/>
          <w:sz w:val="24"/>
          <w:szCs w:val="24"/>
        </w:rPr>
        <w:t xml:space="preserve">Ruled, on the family record: the composite is the generic case.</w:t>
      </w:r>
      <w:r>
        <w:rPr>
          <w:rFonts w:ascii="Atkinson Hyperlegible" w:cs="Atkinson Hyperlegible" w:eastAsia="Atkinson Hyperlegible" w:hAnsi="Atkinson Hyperlegible"/>
          <w:sz w:val="24"/>
          <w:szCs w:val="24"/>
        </w:rPr>
        <w:t xml:space="preserve"> Break-and-snap are one reconfiguration — turning right, not left — a collapse into a trajectory entangled with its environment. The sequence-picture was the construct; the singular event is the physics.</w:t>
      </w:r>
    </w:p>
    <w:p>
      <w:pPr>
        <w:spacing w:after="150" w:line="276"/>
        <w:jc w:val="both"/>
      </w:pPr>
      <w:r>
        <w:rPr>
          <w:rFonts w:ascii="Atkinson Hyperlegible" w:cs="Atkinson Hyperlegible" w:eastAsia="Atkinson Hyperlegible" w:hAnsi="Atkinson Hyperlegible"/>
          <w:sz w:val="24"/>
          <w:szCs w:val="24"/>
        </w:rPr>
        <w:t xml:space="preserve">The free interval between the faces of the event is </w:t>
      </w:r>
      <w:r>
        <w:rPr>
          <w:rFonts w:ascii="Atkinson Hyperlegible" w:cs="Atkinson Hyperlegible" w:eastAsia="Atkinson Hyperlegible" w:hAnsi="Atkinson Hyperlegible"/>
          <w:b/>
          <w:bCs/>
          <w:sz w:val="24"/>
          <w:szCs w:val="24"/>
        </w:rPr>
        <w:t xml:space="preserve">real</w:t>
      </w:r>
      <w:r>
        <w:rPr>
          <w:rFonts w:ascii="Atkinson Hyperlegible" w:cs="Atkinson Hyperlegible" w:eastAsia="Atkinson Hyperlegible" w:hAnsi="Atkinson Hyperlegible"/>
          <w:sz w:val="24"/>
          <w:szCs w:val="24"/>
        </w:rPr>
        <w:t xml:space="preserve">: pure potential, the now, the seat where α lives — and it is </w:t>
      </w:r>
      <w:r>
        <w:rPr>
          <w:rFonts w:ascii="Atkinson Hyperlegible" w:cs="Atkinson Hyperlegible" w:eastAsia="Atkinson Hyperlegible" w:hAnsi="Atkinson Hyperlegible"/>
          <w:b/>
          <w:bCs/>
          <w:sz w:val="24"/>
          <w:szCs w:val="24"/>
        </w:rPr>
        <w:t xml:space="preserve">unwitnessable by nature, not by weakness of instruments</w:t>
      </w:r>
      <w:r>
        <w:rPr>
          <w:rFonts w:ascii="Atkinson Hyperlegible" w:cs="Atkinson Hyperlegible" w:eastAsia="Atkinson Hyperlegible" w:hAnsi="Atkinson Hyperlegible"/>
          <w:sz w:val="24"/>
          <w:szCs w:val="24"/>
        </w:rPr>
        <w:t xml:space="preserve">: measurement implies actualization, so the moment can only ever be the moment </w:t>
      </w:r>
      <w:r>
        <w:rPr>
          <w:rFonts w:ascii="Atkinson Hyperlegible" w:cs="Atkinson Hyperlegible" w:eastAsia="Atkinson Hyperlegible" w:hAnsi="Atkinson Hyperlegible"/>
          <w:i/>
          <w:iCs/>
          <w:sz w:val="24"/>
          <w:szCs w:val="24"/>
        </w:rPr>
        <w:t xml:space="preserve">from</w:t>
      </w:r>
      <w:r>
        <w:rPr>
          <w:rFonts w:ascii="Atkinson Hyperlegible" w:cs="Atkinson Hyperlegible" w:eastAsia="Atkinson Hyperlegible" w:hAnsi="Atkinson Hyperlegible"/>
          <w:sz w:val="24"/>
          <w:szCs w:val="24"/>
        </w:rPr>
        <w:t xml:space="preserve">, never the moment. The instantaneous vanishing of the untaken alternatives — everywhere, at once, because there is one record — is the same fact read from the possibility side, and it is the structural seat of what physics meets as entanglement; this proof names the seat and claims nothing quantitative about it.</w:t>
      </w:r>
    </w:p>
    <w:p>
      <w:pPr>
        <w:spacing w:after="150" w:line="276"/>
        <w:jc w:val="both"/>
      </w:pPr>
      <w:r>
        <w:rPr>
          <w:rFonts w:ascii="Atkinson Hyperlegible" w:cs="Atkinson Hyperlegible" w:eastAsia="Atkinson Hyperlegible" w:hAnsi="Atkinson Hyperlegible"/>
          <w:sz w:val="24"/>
          <w:szCs w:val="24"/>
        </w:rPr>
        <w:t xml:space="preserve">Blinks nest, because grips nest: ice to water to vapor is astronomical counts of grips opening severally, each bond’s blink at its own level and the phase’s at the lattice level, each paying its own single toll. And the ladder runs all the way down: a proton falling forever toward a black hole is grips opening one instant at a time — defragmentation as decoupling — until the 0 and the 1 are free and returned to pure potential as the empty set Ø. The origin runs the ladder the other way: AP19 §3’s silent pop — the break, the orientation around it, the superposition before collapse — is this event’s phenomenology at the one scale with no prior configuration, and the inheritance of the mechanism from that limiting case to every matter blink is held as the family’s summit claim, graded candidate, its derivation deliberately not attempted here.</w:t>
      </w:r>
    </w:p>
    <w:p>
      <w:pPr>
        <w:pStyle w:val="Heading1"/>
        <w:pageBreakBefore/>
        <w:spacing w:after="180" w:before="120"/>
      </w:pPr>
      <w:r>
        <w:rPr>
          <w:rFonts w:ascii="Atkinson Hyperlegible" w:cs="Atkinson Hyperlegible" w:eastAsia="Atkinson Hyperlegible" w:hAnsi="Atkinson Hyperlegible"/>
          <w:b/>
          <w:bCs/>
          <w:sz w:val="40"/>
          <w:szCs w:val="40"/>
        </w:rPr>
        <w:t xml:space="preserve">4 — The Ledger and the Toll Theorem</w:t>
      </w:r>
    </w:p>
    <w:p>
      <w:pPr>
        <w:spacing w:after="150" w:line="276"/>
        <w:jc w:val="both"/>
      </w:pPr>
      <w:r>
        <w:rPr>
          <w:rFonts w:ascii="Atkinson Hyperlegible" w:cs="Atkinson Hyperlegible" w:eastAsia="Atkinson Hyperlegible" w:hAnsi="Atkinson Hyperlegible"/>
          <w:b/>
          <w:bCs/>
          <w:sz w:val="24"/>
          <w:szCs w:val="24"/>
        </w:rPr>
        <w:t xml:space="preserve">The ledger identity.</w:t>
      </w:r>
      <w:r>
        <w:rPr>
          <w:rFonts w:ascii="Atkinson Hyperlegible" w:cs="Atkinson Hyperlegible" w:eastAsia="Atkinson Hyperlegible" w:hAnsi="Atkinson Hyperlegible"/>
          <w:sz w:val="24"/>
          <w:szCs w:val="24"/>
        </w:rPr>
        <w:t xml:space="preserve"> A held lineage sheds one flow-quantum per instant on the writing direction — the leakage stream, the structural reading of ordinary persistence. A free lineage sheds nothing, costs nothing, is charged nothing, while gravity’s hold never lapses. Across any blink, therefore: sheds = 0, and the deficit against uninterrupted persistence equals the window’s length, minimum one. The blink’s signature in the leakage ledger is a gap of missing sheds — counts, not magnitudes.</w:t>
      </w:r>
    </w:p>
    <w:p>
      <w:pPr>
        <w:spacing w:after="150" w:line="276"/>
        <w:jc w:val="both"/>
      </w:pPr>
      <w:r>
        <w:rPr>
          <w:rFonts w:ascii="Atkinson Hyperlegible" w:cs="Atkinson Hyperlegible" w:eastAsia="Atkinson Hyperlegible" w:hAnsi="Atkinson Hyperlegible"/>
          <w:b/>
          <w:bCs/>
          <w:sz w:val="24"/>
          <w:szCs w:val="24"/>
        </w:rPr>
        <w:t xml:space="preserve">Lemma 1 (ties heal).</w:t>
      </w:r>
      <w:r>
        <w:rPr>
          <w:rFonts w:ascii="Atkinson Hyperlegible" w:cs="Atkinson Hyperlegible" w:eastAsia="Atkinson Hyperlegible" w:hAnsi="Atkinson Hyperlegible"/>
          <w:sz w:val="24"/>
          <w:szCs w:val="24"/>
        </w:rPr>
        <w:t xml:space="preserve"> The transition HELD → FREE occurs only with strict excess: at exact balance, the crack heals, symmetry restores, the configuration persists, and Axiom R has nothing to keep, because nothing irreversible occurred. A break at exact balance is a non-event. </w:t>
      </w:r>
      <w:r>
        <w:rPr>
          <w:rFonts w:ascii="Atkinson Hyperlegible" w:cs="Atkinson Hyperlegible" w:eastAsia="Atkinson Hyperlegible" w:hAnsi="Atkinson Hyperlegible"/>
          <w:i/>
          <w:iCs/>
          <w:sz w:val="24"/>
          <w:szCs w:val="24"/>
        </w:rPr>
        <w:t xml:space="preserve">Grade: canon-seated (the healing default; Axiom S); its fully formal statement inherits the record-algebra debt and says so. The author’s rope — it holds absolutely until the last moment — is this lemma in his register.</w:t>
      </w:r>
    </w:p>
    <w:p>
      <w:pPr>
        <w:spacing w:after="150" w:line="276"/>
        <w:jc w:val="both"/>
      </w:pPr>
      <w:r>
        <w:rPr>
          <w:rFonts w:ascii="Atkinson Hyperlegible" w:cs="Atkinson Hyperlegible" w:eastAsia="Atkinson Hyperlegible" w:hAnsi="Atkinson Hyperlegible"/>
          <w:b/>
          <w:bCs/>
          <w:sz w:val="24"/>
          <w:szCs w:val="24"/>
        </w:rPr>
        <w:t xml:space="preserve">Lemma 2 (the ledger counts).</w:t>
      </w:r>
      <w:r>
        <w:rPr>
          <w:rFonts w:ascii="Atkinson Hyperlegible" w:cs="Atkinson Hyperlegible" w:eastAsia="Atkinson Hyperlegible" w:hAnsi="Atkinson Hyperlegible"/>
          <w:sz w:val="24"/>
          <w:szCs w:val="24"/>
        </w:rPr>
        <w:t xml:space="preserve"> The possibility ledger’s currency is distinction. A win too small to register is indistinguishable from no win, and the indistinguishable does not exist for the record. The least excess the record can contain is therefore one quantum — the least registrable win.</w:t>
      </w:r>
    </w:p>
    <w:p>
      <w:pPr>
        <w:spacing w:after="150" w:line="276"/>
        <w:jc w:val="both"/>
      </w:pPr>
      <w:r>
        <w:rPr>
          <w:rFonts w:ascii="Atkinson Hyperlegible" w:cs="Atkinson Hyperlegible" w:eastAsia="Atkinson Hyperlegible" w:hAnsi="Atkinson Hyperlegible"/>
          <w:b/>
          <w:bCs/>
          <w:sz w:val="24"/>
          <w:szCs w:val="24"/>
        </w:rPr>
        <w:t xml:space="preserve">Theorem 1 (the toll is forced, and it is one).</w:t>
      </w:r>
      <w:r>
        <w:rPr>
          <w:rFonts w:ascii="Atkinson Hyperlegible" w:cs="Atkinson Hyperlegible" w:eastAsia="Atkinson Hyperlegible" w:hAnsi="Atkinson Hyperlegible"/>
          <w:sz w:val="24"/>
          <w:szCs w:val="24"/>
        </w:rPr>
        <w:t xml:space="preserve"> At every blink, the toll exists and equals exactly one grain of distinction, spent on the possibility ledger as the pruning of the alternatives not taken, paid by the breaking configuration as its last act. </w:t>
      </w:r>
      <w:r>
        <w:rPr>
          <w:rFonts w:ascii="Atkinson Hyperlegible" w:cs="Atkinson Hyperlegible" w:eastAsia="Atkinson Hyperlegible" w:hAnsi="Atkinson Hyperlegible"/>
          <w:i/>
          <w:iCs/>
          <w:sz w:val="24"/>
          <w:szCs w:val="24"/>
        </w:rPr>
        <w:t xml:space="preserve">Proof.</w:t>
      </w:r>
      <w:r>
        <w:rPr>
          <w:rFonts w:ascii="Atkinson Hyperlegible" w:cs="Atkinson Hyperlegible" w:eastAsia="Atkinson Hyperlegible" w:hAnsi="Atkinson Hyperlegible"/>
          <w:sz w:val="24"/>
          <w:szCs w:val="24"/>
        </w:rPr>
        <w:t xml:space="preserve"> Existence: by Lemma 1 every break that occurs carries a strict win; by Lemma 2 the least such win is one quantum; therefore every break carries at least one. Exactness: the break occurs at the first sufficient excess — the rope’s last moment — and more than one would contradict minimality; the ledger’s own entry is unit-valued. Spent: vanished alternatives book nowhere; the toll dies with its payer, accumulates into nothing, and leaves the deuteron wall nothing to bite. And it is one regardless of the crowd — turning right when there were a thousand lefts still spends one grain, because the count is the event’s, not the alternatives’. ∎</w:t>
      </w:r>
    </w:p>
    <w:p>
      <w:pPr>
        <w:spacing w:after="150" w:line="276"/>
        <w:jc w:val="both"/>
      </w:pPr>
      <w:r>
        <w:rPr>
          <w:rFonts w:ascii="Atkinson Hyperlegible" w:cs="Atkinson Hyperlegible" w:eastAsia="Atkinson Hyperlegible" w:hAnsi="Atkinson Hyperlegible"/>
          <w:b/>
          <w:bCs/>
          <w:sz w:val="24"/>
          <w:szCs w:val="24"/>
        </w:rPr>
        <w:t xml:space="preserve">Corollary (the event-scale balance).</w:t>
      </w:r>
      <w:r>
        <w:rPr>
          <w:rFonts w:ascii="Atkinson Hyperlegible" w:cs="Atkinson Hyperlegible" w:eastAsia="Atkinson Hyperlegible" w:hAnsi="Atkinson Hyperlegible"/>
          <w:sz w:val="24"/>
          <w:szCs w:val="24"/>
        </w:rPr>
        <w:t xml:space="preserve"> Per full blink: one quantum withheld at the snap — the bump, on the writing direction, booking into mass at persistence and invisible ever after — and one quantum spent at the break — the toll, on the releasing direction, booking nowhere. One each way: the axiom’s two directions each take exactly one at their crossing. They remain two costs with two selection arguments, present as the two dimensional components of the one event, coincident or not. Nothing in this corollary is a magnitude; it is a count, and the count is the theorem.</w:t>
      </w:r>
    </w:p>
    <w:p>
      <w:pPr>
        <w:pStyle w:val="Heading1"/>
        <w:pageBreakBefore/>
        <w:spacing w:after="180" w:before="120"/>
      </w:pPr>
      <w:r>
        <w:rPr>
          <w:rFonts w:ascii="Atkinson Hyperlegible" w:cs="Atkinson Hyperlegible" w:eastAsia="Atkinson Hyperlegible" w:hAnsi="Atkinson Hyperlegible"/>
          <w:b/>
          <w:bCs/>
          <w:sz w:val="40"/>
          <w:szCs w:val="40"/>
        </w:rPr>
        <w:t xml:space="preserve">5 — The Denomination and the Two Faces</w:t>
      </w:r>
    </w:p>
    <w:p>
      <w:pPr>
        <w:spacing w:after="150" w:line="276"/>
        <w:jc w:val="both"/>
      </w:pPr>
      <w:r>
        <w:rPr>
          <w:rFonts w:ascii="Atkinson Hyperlegible" w:cs="Atkinson Hyperlegible" w:eastAsia="Atkinson Hyperlegible" w:hAnsi="Atkinson Hyperlegible"/>
          <w:b/>
          <w:bCs/>
          <w:sz w:val="24"/>
          <w:szCs w:val="24"/>
        </w:rPr>
        <w:t xml:space="preserve">The denomination is α, by two arguments on two jurisdictions that could not have disagreed without breaking the axiom’s own semantics.</w:t>
      </w:r>
      <w:r>
        <w:rPr>
          <w:rFonts w:ascii="Atkinson Hyperlegible" w:cs="Atkinson Hyperlegible" w:eastAsia="Atkinson Hyperlegible" w:hAnsi="Atkinson Hyperlegible"/>
          <w:sz w:val="24"/>
          <w:szCs w:val="24"/>
        </w:rPr>
        <w:t xml:space="preserve"> First: the flow is one operation, so its two directions carry one currency — and the writing direction’s currency is α by construction, the per-channel coupling AP28 built. Second: the grip that opens is electromagnetic, so breaking it is priced in the grip’s own coupling — while thermodynamics decides </w:t>
      </w:r>
      <w:r>
        <w:rPr>
          <w:rFonts w:ascii="Atkinson Hyperlegible" w:cs="Atkinson Hyperlegible" w:eastAsia="Atkinson Hyperlegible" w:hAnsi="Atkinson Hyperlegible"/>
          <w:i/>
          <w:iCs/>
          <w:sz w:val="24"/>
          <w:szCs w:val="24"/>
        </w:rPr>
        <w:t xml:space="preserve">when</w:t>
      </w:r>
      <w:r>
        <w:rPr>
          <w:rFonts w:ascii="Atkinson Hyperlegible" w:cs="Atkinson Hyperlegible" w:eastAsia="Atkinson Hyperlegible" w:hAnsi="Atkinson Hyperlegible"/>
          <w:sz w:val="24"/>
          <w:szCs w:val="24"/>
        </w:rPr>
        <w:t xml:space="preserve"> a break is affordable, never </w:t>
      </w:r>
      <w:r>
        <w:rPr>
          <w:rFonts w:ascii="Atkinson Hyperlegible" w:cs="Atkinson Hyperlegible" w:eastAsia="Atkinson Hyperlegible" w:hAnsi="Atkinson Hyperlegible"/>
          <w:i/>
          <w:iCs/>
          <w:sz w:val="24"/>
          <w:szCs w:val="24"/>
        </w:rPr>
        <w:t xml:space="preserve">what it is worth</w:t>
      </w:r>
      <w:r>
        <w:rPr>
          <w:rFonts w:ascii="Atkinson Hyperlegible" w:cs="Atkinson Hyperlegible" w:eastAsia="Atkinson Hyperlegible" w:hAnsi="Atkinson Hyperlegible"/>
          <w:sz w:val="24"/>
          <w:szCs w:val="24"/>
        </w:rPr>
        <w:t xml:space="preserve">: the modulator, not the mint. And the rivals were weighed, each against the event it must price: mass books and persists, and the toll is spent; c bounds propagation and prices no crossing; G holds all channels and never lets go, so it has nothing to charge for letting go; stiffness and direction are readings, not currencies. </w:t>
      </w:r>
      <w:r>
        <w:rPr>
          <w:rFonts w:ascii="Atkinson Hyperlegible" w:cs="Atkinson Hyperlegible" w:eastAsia="Atkinson Hyperlegible" w:hAnsi="Atkinson Hyperlegible"/>
          <w:b/>
          <w:bCs/>
          <w:sz w:val="24"/>
          <w:szCs w:val="24"/>
        </w:rPr>
        <w:t xml:space="preserve">α is not chosen. It is what remains.</w:t>
      </w:r>
    </w:p>
    <w:p>
      <w:pPr>
        <w:spacing w:after="150" w:line="276"/>
        <w:jc w:val="both"/>
      </w:pPr>
      <w:r>
        <w:rPr>
          <w:rFonts w:ascii="Atkinson Hyperlegible" w:cs="Atkinson Hyperlegible" w:eastAsia="Atkinson Hyperlegible" w:hAnsi="Atkinson Hyperlegible"/>
          <w:b/>
          <w:bCs/>
          <w:sz w:val="24"/>
          <w:szCs w:val="24"/>
        </w:rPr>
        <w:t xml:space="preserve">The two faces, ruled.</w:t>
      </w:r>
      <w:r>
        <w:rPr>
          <w:rFonts w:ascii="Atkinson Hyperlegible" w:cs="Atkinson Hyperlegible" w:eastAsia="Atkinson Hyperlegible" w:hAnsi="Atkinson Hyperlegible"/>
          <w:sz w:val="24"/>
          <w:szCs w:val="24"/>
        </w:rPr>
        <w:t xml:space="preserve"> The toll is one singular cost calculated at two dimensions. The </w:t>
      </w:r>
      <w:r>
        <w:rPr>
          <w:rFonts w:ascii="Atkinson Hyperlegible" w:cs="Atkinson Hyperlegible" w:eastAsia="Atkinson Hyperlegible" w:hAnsi="Atkinson Hyperlegible"/>
          <w:b/>
          <w:bCs/>
          <w:sz w:val="24"/>
          <w:szCs w:val="24"/>
        </w:rPr>
        <w:t xml:space="preserve">energy face is the outside</w:t>
      </w:r>
      <w:r>
        <w:rPr>
          <w:rFonts w:ascii="Atkinson Hyperlegible" w:cs="Atkinson Hyperlegible" w:eastAsia="Atkinson Hyperlegible" w:hAnsi="Atkinson Hyperlegible"/>
          <w:sz w:val="24"/>
          <w:szCs w:val="24"/>
        </w:rPr>
        <w:t xml:space="preserve">: ordinary, unchanged, carrying nothing but the standard threshold energetics every break already involves — which is why no budget anywhere owes it a line, and why the ceilings of §10 never had jurisdiction: not because the toll is small, but because it was never in their dimension. The </w:t>
      </w:r>
      <w:r>
        <w:rPr>
          <w:rFonts w:ascii="Atkinson Hyperlegible" w:cs="Atkinson Hyperlegible" w:eastAsia="Atkinson Hyperlegible" w:hAnsi="Atkinson Hyperlegible"/>
          <w:b/>
          <w:bCs/>
          <w:sz w:val="24"/>
          <w:szCs w:val="24"/>
        </w:rPr>
        <w:t xml:space="preserve">possibility face is the inside</w:t>
      </w:r>
      <w:r>
        <w:rPr>
          <w:rFonts w:ascii="Atkinson Hyperlegible" w:cs="Atkinson Hyperlegible" w:eastAsia="Atkinson Hyperlegible" w:hAnsi="Atkinson Hyperlegible"/>
          <w:sz w:val="24"/>
          <w:szCs w:val="24"/>
        </w:rPr>
        <w:t xml:space="preserve">, where the toll actually lives: dimensionless, one ε-grain of α-worth — the alternatives not taken. And the reading closes on canon’s own equation: awareness is the coupling capacity the break creates, and energy is that capacity expressed at the now — E ≡ κ(B)AS — so the two faces of the toll are the two faces of the corpus’s own definition of energy, met at a single event.</w:t>
      </w:r>
    </w:p>
    <w:p>
      <w:pPr>
        <w:pStyle w:val="Heading1"/>
        <w:pageBreakBefore/>
        <w:spacing w:after="180" w:before="120"/>
      </w:pPr>
      <w:r>
        <w:rPr>
          <w:rFonts w:ascii="Atkinson Hyperlegible" w:cs="Atkinson Hyperlegible" w:eastAsia="Atkinson Hyperlegible" w:hAnsi="Atkinson Hyperlegible"/>
          <w:b/>
          <w:bCs/>
          <w:sz w:val="40"/>
          <w:szCs w:val="40"/>
        </w:rPr>
        <w:t xml:space="preserve">6 — The Channels</w:t>
      </w:r>
    </w:p>
    <w:p>
      <w:pPr>
        <w:spacing w:after="150" w:line="276"/>
        <w:jc w:val="both"/>
      </w:pPr>
      <w:r>
        <w:rPr>
          <w:rFonts w:ascii="Atkinson Hyperlegible" w:cs="Atkinson Hyperlegible" w:eastAsia="Atkinson Hyperlegible" w:hAnsi="Atkinson Hyperlegible"/>
          <w:sz w:val="24"/>
          <w:szCs w:val="24"/>
        </w:rPr>
        <w:t xml:space="preserve">Twenty-one channels: eighteen face-projections and three actualisation gates — AP28’s construction, inherited whole. Two partitions of them were derived independently in the family record, from different roles, and then laid over each other; what happened next is the reason this section exists.</w:t>
      </w:r>
    </w:p>
    <w:p>
      <w:pPr>
        <w:spacing w:after="150" w:line="276"/>
        <w:jc w:val="both"/>
      </w:pPr>
      <w:r>
        <w:rPr>
          <w:rFonts w:ascii="Atkinson Hyperlegible" w:cs="Atkinson Hyperlegible" w:eastAsia="Atkinson Hyperlegible" w:hAnsi="Atkinson Hyperlegible"/>
          <w:b/>
          <w:bCs/>
          <w:sz w:val="24"/>
          <w:szCs w:val="24"/>
        </w:rPr>
        <w:t xml:space="preserve">The closing partition.</w:t>
      </w:r>
      <w:r>
        <w:rPr>
          <w:rFonts w:ascii="Atkinson Hyperlegible" w:cs="Atkinson Hyperlegible" w:eastAsia="Atkinson Hyperlegible" w:hAnsi="Atkinson Hyperlegible"/>
          <w:sz w:val="24"/>
          <w:szCs w:val="24"/>
        </w:rPr>
        <w:t xml:space="preserve"> The readings of a configuration — mass, the coupling worth, the temporal direction — are what a grip can hold and a break can release: nine faces, plus the three gates, </w:t>
      </w:r>
      <w:r>
        <w:rPr>
          <w:rFonts w:ascii="Atkinson Hyperlegible" w:cs="Atkinson Hyperlegible" w:eastAsia="Atkinson Hyperlegible" w:hAnsi="Atkinson Hyperlegible"/>
          <w:b/>
          <w:bCs/>
          <w:sz w:val="24"/>
          <w:szCs w:val="24"/>
        </w:rPr>
        <w:t xml:space="preserve">twelve channels that close</w:t>
      </w:r>
      <w:r>
        <w:rPr>
          <w:rFonts w:ascii="Atkinson Hyperlegible" w:cs="Atkinson Hyperlegible" w:eastAsia="Atkinson Hyperlegible" w:hAnsi="Atkinson Hyperlegible"/>
          <w:sz w:val="24"/>
          <w:szCs w:val="24"/>
        </w:rPr>
        <w:t xml:space="preserve">. The arena’s readings — c, G, the substrate stiffness — have nothing to let go of: </w:t>
      </w:r>
      <w:r>
        <w:rPr>
          <w:rFonts w:ascii="Atkinson Hyperlegible" w:cs="Atkinson Hyperlegible" w:eastAsia="Atkinson Hyperlegible" w:hAnsi="Atkinson Hyperlegible"/>
          <w:b/>
          <w:bCs/>
          <w:sz w:val="24"/>
          <w:szCs w:val="24"/>
        </w:rPr>
        <w:t xml:space="preserve">nine channels that never close</w:t>
      </w:r>
      <w:r>
        <w:rPr>
          <w:rFonts w:ascii="Atkinson Hyperlegible" w:cs="Atkinson Hyperlegible" w:eastAsia="Atkinson Hyperlegible" w:hAnsi="Atkinson Hyperlegible"/>
          <w:sz w:val="24"/>
          <w:szCs w:val="24"/>
        </w:rPr>
        <w:t xml:space="preserve">, which is also why gravity holds all twenty-one while the grip grips only some.</w:t>
      </w:r>
    </w:p>
    <w:p>
      <w:pPr>
        <w:spacing w:after="150" w:line="276"/>
        <w:jc w:val="both"/>
      </w:pPr>
      <w:r>
        <w:rPr>
          <w:rFonts w:ascii="Atkinson Hyperlegible" w:cs="Atkinson Hyperlegible" w:eastAsia="Atkinson Hyperlegible" w:hAnsi="Atkinson Hyperlegible"/>
          <w:b/>
          <w:bCs/>
          <w:sz w:val="24"/>
          <w:szCs w:val="24"/>
        </w:rPr>
        <w:t xml:space="preserve">The balance partition.</w:t>
      </w:r>
      <w:r>
        <w:rPr>
          <w:rFonts w:ascii="Atkinson Hyperlegible" w:cs="Atkinson Hyperlegible" w:eastAsia="Atkinson Hyperlegible" w:hAnsi="Atkinson Hyperlegible"/>
          <w:sz w:val="24"/>
          <w:szCs w:val="24"/>
        </w:rPr>
        <w:t xml:space="preserve"> Remove the actualizing one and Axiom S splits the remainder ten and ten, the readings pairing as duals: </w:t>
      </w:r>
      <w:r>
        <w:rPr>
          <w:rFonts w:ascii="Atkinson Hyperlegible" w:cs="Atkinson Hyperlegible" w:eastAsia="Atkinson Hyperlegible" w:hAnsi="Atkinson Hyperlegible"/>
          <w:b/>
          <w:bCs/>
          <w:sz w:val="24"/>
          <w:szCs w:val="24"/>
        </w:rPr>
        <w:t xml:space="preserve">m ↔ G</w:t>
      </w:r>
      <w:r>
        <w:rPr>
          <w:rFonts w:ascii="Atkinson Hyperlegible" w:cs="Atkinson Hyperlegible" w:eastAsia="Atkinson Hyperlegible" w:hAnsi="Atkinson Hyperlegible"/>
          <w:sz w:val="24"/>
          <w:szCs w:val="24"/>
        </w:rPr>
        <w:t xml:space="preserve">, resistance against hold — ruled at the rope, gravity and resistance as the 1:1; </w:t>
      </w:r>
      <w:r>
        <w:rPr>
          <w:rFonts w:ascii="Atkinson Hyperlegible" w:cs="Atkinson Hyperlegible" w:eastAsia="Atkinson Hyperlegible" w:hAnsi="Atkinson Hyperlegible"/>
          <w:b/>
          <w:bCs/>
          <w:sz w:val="24"/>
          <w:szCs w:val="24"/>
        </w:rPr>
        <w:t xml:space="preserve">α ↔ c</w:t>
      </w:r>
      <w:r>
        <w:rPr>
          <w:rFonts w:ascii="Atkinson Hyperlegible" w:cs="Atkinson Hyperlegible" w:eastAsia="Atkinson Hyperlegible" w:hAnsi="Atkinson Hyperlegible"/>
          <w:sz w:val="24"/>
          <w:szCs w:val="24"/>
        </w:rPr>
        <w:t xml:space="preserve">, the flow’s worth against the flow’s bound; </w:t>
      </w:r>
      <w:r>
        <w:rPr>
          <w:rFonts w:ascii="Atkinson Hyperlegible" w:cs="Atkinson Hyperlegible" w:eastAsia="Atkinson Hyperlegible" w:hAnsi="Atkinson Hyperlegible"/>
          <w:b/>
          <w:bCs/>
          <w:sz w:val="24"/>
          <w:szCs w:val="24"/>
        </w:rPr>
        <w:t xml:space="preserve">s ↔ τ</w:t>
      </w:r>
      <w:r>
        <w:rPr>
          <w:rFonts w:ascii="Atkinson Hyperlegible" w:cs="Atkinson Hyperlegible" w:eastAsia="Atkinson Hyperlegible" w:hAnsi="Atkinson Hyperlegible"/>
          <w:sz w:val="24"/>
          <w:szCs w:val="24"/>
        </w:rPr>
        <w:t xml:space="preserve">, the substrate across space against the direction across time. One reading of each pair to the 1-side — {m, α, τ}, the particle, the actualised — and one to the 0-side — {G, c, s}, the hold, the arena. Nine faces a side, one gate a side for each sector’s own access to the now, and the one visible gate making it all real: </w:t>
      </w:r>
      <w:r>
        <w:rPr>
          <w:rFonts w:ascii="Atkinson Hyperlegible" w:cs="Atkinson Hyperlegible" w:eastAsia="Atkinson Hyperlegible" w:hAnsi="Atkinson Hyperlegible"/>
          <w:b/>
          <w:bCs/>
          <w:sz w:val="24"/>
          <w:szCs w:val="24"/>
        </w:rPr>
        <w:t xml:space="preserve">10:10, plus the 1 — the axiom’s own shape, written at channel scale.</w:t>
      </w:r>
    </w:p>
    <w:p>
      <w:pPr>
        <w:spacing w:after="150" w:line="276"/>
        <w:jc w:val="both"/>
      </w:pPr>
      <w:r>
        <w:rPr>
          <w:rFonts w:ascii="Atkinson Hyperlegible" w:cs="Atkinson Hyperlegible" w:eastAsia="Atkinson Hyperlegible" w:hAnsi="Atkinson Hyperlegible"/>
          <w:b/>
          <w:bCs/>
          <w:sz w:val="24"/>
          <w:szCs w:val="24"/>
        </w:rPr>
        <w:t xml:space="preserve">The overlay, computed — and the ruling.</w:t>
      </w:r>
      <w:r>
        <w:rPr>
          <w:rFonts w:ascii="Atkinson Hyperlegible" w:cs="Atkinson Hyperlegible" w:eastAsia="Atkinson Hyperlegible" w:hAnsi="Atkinson Hyperlegible"/>
          <w:sz w:val="24"/>
          <w:szCs w:val="24"/>
        </w:rPr>
        <w:t xml:space="preserve"> The 1-side faces are exactly the closing faces; the 0-side faces are exactly the arena faces; the two axes coincide on all eighteen, and the gates distribute without contradiction anywhere on the twenty-one. The author ruled the finding at its strongest reading: </w:t>
      </w:r>
      <w:r>
        <w:rPr>
          <w:rFonts w:ascii="Atkinson Hyperlegible" w:cs="Atkinson Hyperlegible" w:eastAsia="Atkinson Hyperlegible" w:hAnsi="Atkinson Hyperlegible"/>
          <w:b/>
          <w:bCs/>
          <w:sz w:val="24"/>
          <w:szCs w:val="24"/>
        </w:rPr>
        <w:t xml:space="preserve">not deep structure — the deepest structure.</w:t>
      </w:r>
      <w:r>
        <w:rPr>
          <w:rFonts w:ascii="Atkinson Hyperlegible" w:cs="Atkinson Hyperlegible" w:eastAsia="Atkinson Hyperlegible" w:hAnsi="Atkinson Hyperlegible"/>
          <w:sz w:val="24"/>
          <w:szCs w:val="24"/>
        </w:rPr>
        <w:t xml:space="preserve"> One axis, two names: who grips, and who holds. The singular event works this geometry as one motion — the break dimension opens closed channels; the hold dimension re-establishes, CCC-shaped, over all twenty-one. The channel counts remain what they always were in this family: geometry, fenced from arithmetic, generating no fraction, and connected to nothing they do not name.</w:t>
      </w:r>
    </w:p>
    <w:p>
      <w:pPr>
        <w:pStyle w:val="Heading1"/>
        <w:pageBreakBefore/>
        <w:spacing w:after="180" w:before="120"/>
      </w:pPr>
      <w:r>
        <w:rPr>
          <w:rFonts w:ascii="Atkinson Hyperlegible" w:cs="Atkinson Hyperlegible" w:eastAsia="Atkinson Hyperlegible" w:hAnsi="Atkinson Hyperlegible"/>
          <w:b/>
          <w:bCs/>
          <w:sz w:val="40"/>
          <w:szCs w:val="40"/>
        </w:rPr>
        <w:t xml:space="preserve">7 — The Possibility Face</w:t>
      </w:r>
    </w:p>
    <w:p>
      <w:pPr>
        <w:spacing w:after="150" w:line="276"/>
        <w:jc w:val="both"/>
      </w:pPr>
      <w:r>
        <w:rPr>
          <w:rFonts w:ascii="Atkinson Hyperlegible" w:cs="Atkinson Hyperlegible" w:eastAsia="Atkinson Hyperlegible" w:hAnsi="Atkinson Hyperlegible"/>
          <w:sz w:val="24"/>
          <w:szCs w:val="24"/>
        </w:rPr>
        <w:t xml:space="preserve">The availability field is recomputed at every instant, from the four constraint families, the coupling capacity, and the record history at both scales — the lineage’s own and the whole’s, inseparable. All possibilities exist in the free state; </w:t>
      </w:r>
      <w:r>
        <w:rPr>
          <w:rFonts w:ascii="Atkinson Hyperlegible" w:cs="Atkinson Hyperlegible" w:eastAsia="Atkinson Hyperlegible" w:hAnsi="Atkinson Hyperlegible"/>
          <w:b/>
          <w:bCs/>
          <w:sz w:val="24"/>
          <w:szCs w:val="24"/>
        </w:rPr>
        <w:t xml:space="preserve">decoherence prunes</w:t>
      </w:r>
      <w:r>
        <w:rPr>
          <w:rFonts w:ascii="Atkinson Hyperlegible" w:cs="Atkinson Hyperlegible" w:eastAsia="Atkinson Hyperlegible" w:hAnsi="Atkinson Hyperlegible"/>
          <w:sz w:val="24"/>
          <w:szCs w:val="24"/>
        </w:rPr>
        <w:t xml:space="preserve"> them to the available; </w:t>
      </w:r>
      <w:r>
        <w:rPr>
          <w:rFonts w:ascii="Atkinson Hyperlegible" w:cs="Atkinson Hyperlegible" w:eastAsia="Atkinson Hyperlegible" w:hAnsi="Atkinson Hyperlegible"/>
          <w:b/>
          <w:bCs/>
          <w:sz w:val="24"/>
          <w:szCs w:val="24"/>
        </w:rPr>
        <w:t xml:space="preserve">the record history weights</w:t>
      </w:r>
      <w:r>
        <w:rPr>
          <w:rFonts w:ascii="Atkinson Hyperlegible" w:cs="Atkinson Hyperlegible" w:eastAsia="Atkinson Hyperlegible" w:hAnsi="Atkinson Hyperlegible"/>
          <w:sz w:val="24"/>
          <w:szCs w:val="24"/>
        </w:rPr>
        <w:t xml:space="preserve"> the outcomes. When the event actualizes, the alternatives vanish instantaneously, everywhere, because there is one record — and that vanishing </w:t>
      </w:r>
      <w:r>
        <w:rPr>
          <w:rFonts w:ascii="Atkinson Hyperlegible" w:cs="Atkinson Hyperlegible" w:eastAsia="Atkinson Hyperlegible" w:hAnsi="Atkinson Hyperlegible"/>
          <w:b/>
          <w:bCs/>
          <w:sz w:val="24"/>
          <w:szCs w:val="24"/>
        </w:rPr>
        <w:t xml:space="preserve">is</w:t>
      </w:r>
      <w:r>
        <w:rPr>
          <w:rFonts w:ascii="Atkinson Hyperlegible" w:cs="Atkinson Hyperlegible" w:eastAsia="Atkinson Hyperlegible" w:hAnsi="Atkinson Hyperlegible"/>
          <w:sz w:val="24"/>
          <w:szCs w:val="24"/>
        </w:rPr>
        <w:t xml:space="preserve"> the toll being paid.</w:t>
      </w:r>
    </w:p>
    <w:p>
      <w:pPr>
        <w:spacing w:after="150" w:line="276"/>
        <w:jc w:val="both"/>
      </w:pPr>
      <w:r>
        <w:rPr>
          <w:rFonts w:ascii="Atkinson Hyperlegible" w:cs="Atkinson Hyperlegible" w:eastAsia="Atkinson Hyperlegible" w:hAnsi="Atkinson Hyperlegible"/>
          <w:b/>
          <w:bCs/>
          <w:sz w:val="24"/>
          <w:szCs w:val="24"/>
        </w:rPr>
        <w:t xml:space="preserve">The Born identification, ruled.</w:t>
      </w:r>
      <w:r>
        <w:rPr>
          <w:rFonts w:ascii="Atkinson Hyperlegible" w:cs="Atkinson Hyperlegible" w:eastAsia="Atkinson Hyperlegible" w:hAnsi="Atkinson Hyperlegible"/>
          <w:sz w:val="24"/>
          <w:szCs w:val="24"/>
        </w:rPr>
        <w:t xml:space="preserve"> The Born statistics are the possibility ledger’s outside face: outcomes have probabilities, and probability is the possibility ledger being spent — the identification and rejection of possibilities against the record history that weighted them. </w:t>
      </w:r>
      <w:r>
        <w:rPr>
          <w:rFonts w:ascii="Atkinson Hyperlegible" w:cs="Atkinson Hyperlegible" w:eastAsia="Atkinson Hyperlegible" w:hAnsi="Atkinson Hyperlegible"/>
          <w:b/>
          <w:bCs/>
          <w:sz w:val="24"/>
          <w:szCs w:val="24"/>
        </w:rPr>
        <w:t xml:space="preserve">This is an identification, not a prediction.</w:t>
      </w:r>
      <w:r>
        <w:rPr>
          <w:rFonts w:ascii="Atkinson Hyperlegible" w:cs="Atkinson Hyperlegible" w:eastAsia="Atkinson Hyperlegible" w:hAnsi="Atkinson Hyperlegible"/>
          <w:sz w:val="24"/>
          <w:szCs w:val="24"/>
        </w:rPr>
        <w:t xml:space="preserve"> The corpus does not predict Born weights here; it names what they are the accounting of. The no-deviation fence is armed on this proof’s own hash: no departure from Born statistics is claimed anywhere, ever, and any future deviation-claim is a different family owing its own forcing argument. What remains genuinely open is stated without decoration: whether the possibility face ever yields an independent, falsifiable consequence of its own. None is claimed in this proof. If none is ever found, the family closes as structure with the honest label — which was always the pre-registered second limb, now standing on its true reason.</w:t>
      </w:r>
    </w:p>
    <w:p>
      <w:pPr>
        <w:pStyle w:val="Heading1"/>
        <w:pageBreakBefore/>
        <w:spacing w:after="180" w:before="120"/>
      </w:pPr>
      <w:r>
        <w:rPr>
          <w:rFonts w:ascii="Atkinson Hyperlegible" w:cs="Atkinson Hyperlegible" w:eastAsia="Atkinson Hyperlegible" w:hAnsi="Atkinson Hyperlegible"/>
          <w:b/>
          <w:bCs/>
          <w:sz w:val="40"/>
          <w:szCs w:val="40"/>
        </w:rPr>
        <w:t xml:space="preserve">8 — The Pairing, the Mirror, and the Non-Closure</w:t>
      </w:r>
    </w:p>
    <w:p>
      <w:pPr>
        <w:spacing w:after="150" w:line="276"/>
        <w:jc w:val="both"/>
      </w:pPr>
      <w:r>
        <w:rPr>
          <w:rFonts w:ascii="Atkinson Hyperlegible" w:cs="Atkinson Hyperlegible" w:eastAsia="Atkinson Hyperlegible" w:hAnsi="Atkinson Hyperlegible"/>
          <w:b/>
          <w:bCs/>
          <w:sz w:val="24"/>
          <w:szCs w:val="24"/>
        </w:rPr>
        <w:t xml:space="preserve">The pairing.</w:t>
      </w:r>
      <w:r>
        <w:rPr>
          <w:rFonts w:ascii="Atkinson Hyperlegible" w:cs="Atkinson Hyperlegible" w:eastAsia="Atkinson Hyperlegible" w:hAnsi="Atkinson Hyperlegible"/>
          <w:sz w:val="24"/>
          <w:szCs w:val="24"/>
        </w:rPr>
        <w:t xml:space="preserve"> Every blink carries exactly one releasing-direction crossing and exactly one writing-direction withholding — the pair is the event’s complete cost content, and over any closed cycle of a lineage the counts match term by term: breaking grip, regripping, the perfect balance. The sole unpaired cost in the entire ledger is </w:t>
      </w:r>
      <w:r>
        <w:rPr>
          <w:rFonts w:ascii="Atkinson Hyperlegible" w:cs="Atkinson Hyperlegible" w:eastAsia="Atkinson Hyperlegible" w:hAnsi="Atkinson Hyperlegible"/>
          <w:b/>
          <w:bCs/>
          <w:sz w:val="24"/>
          <w:szCs w:val="24"/>
        </w:rPr>
        <w:t xml:space="preserve">the arena’s</w:t>
      </w:r>
      <w:r>
        <w:rPr>
          <w:rFonts w:ascii="Atkinson Hyperlegible" w:cs="Atkinson Hyperlegible" w:eastAsia="Atkinson Hyperlegible" w:hAnsi="Atkinson Hyperlegible"/>
          <w:sz w:val="24"/>
          <w:szCs w:val="24"/>
        </w:rPr>
        <w:t xml:space="preserve"> — AP44’s once-held commitment, the splinter that is global to the break and never per-transit — and it is precisely what makes the rest a visible balance rather than a silent one. </w:t>
      </w:r>
      <w:r>
        <w:rPr>
          <w:rFonts w:ascii="Atkinson Hyperlegible" w:cs="Atkinson Hyperlegible" w:eastAsia="Atkinson Hyperlegible" w:hAnsi="Atkinson Hyperlegible"/>
          <w:b/>
          <w:bCs/>
          <w:sz w:val="24"/>
          <w:szCs w:val="24"/>
        </w:rPr>
        <w:t xml:space="preserve">The ledger’s global form is the axiom’s own shape: 1:1 + 1×ε</w:t>
      </w:r>
      <w:r>
        <w:rPr>
          <w:rFonts w:ascii="Atkinson Hyperlegible" w:cs="Atkinson Hyperlegible" w:eastAsia="Atkinson Hyperlegible" w:hAnsi="Atkinson Hyperlegible"/>
          <w:sz w:val="24"/>
          <w:szCs w:val="24"/>
        </w:rPr>
        <w:t xml:space="preserve"> — the bracket’s two directions each owning half of every pair, and the One beside them all.</w:t>
      </w:r>
    </w:p>
    <w:p>
      <w:pPr>
        <w:spacing w:after="150" w:line="276"/>
        <w:jc w:val="both"/>
      </w:pPr>
      <w:r>
        <w:rPr>
          <w:rFonts w:ascii="Atkinson Hyperlegible" w:cs="Atkinson Hyperlegible" w:eastAsia="Atkinson Hyperlegible" w:hAnsi="Atkinson Hyperlegible"/>
          <w:b/>
          <w:bCs/>
          <w:sz w:val="24"/>
          <w:szCs w:val="24"/>
        </w:rPr>
        <w:t xml:space="preserve">The mirror.</w:t>
      </w:r>
      <w:r>
        <w:rPr>
          <w:rFonts w:ascii="Atkinson Hyperlegible" w:cs="Atkinson Hyperlegible" w:eastAsia="Atkinson Hyperlegible" w:hAnsi="Atkinson Hyperlegible"/>
          <w:sz w:val="24"/>
          <w:szCs w:val="24"/>
        </w:rPr>
        <w:t xml:space="preserve"> AP44 priced the + direction: the hold, once, at the arena, written into the gravitational coupling. This proof prices the − direction: the break, per event, spent. The axiom’s bracket demands both directions carry their cost, and the ledger equals out </w:t>
      </w:r>
      <w:r>
        <w:rPr>
          <w:rFonts w:ascii="Atkinson Hyperlegible" w:cs="Atkinson Hyperlegible" w:eastAsia="Atkinson Hyperlegible" w:hAnsi="Atkinson Hyperlegible"/>
          <w:b/>
          <w:bCs/>
          <w:sz w:val="24"/>
          <w:szCs w:val="24"/>
        </w:rPr>
        <w:t xml:space="preserve">by the two proofs together</w:t>
      </w:r>
      <w:r>
        <w:rPr>
          <w:rFonts w:ascii="Atkinson Hyperlegible" w:cs="Atkinson Hyperlegible" w:eastAsia="Atkinson Hyperlegible" w:hAnsi="Atkinson Hyperlegible"/>
          <w:sz w:val="24"/>
          <w:szCs w:val="24"/>
        </w:rPr>
        <w:t xml:space="preserve"> — while no locked number moves, anywhere, ever: the literal branch of the mirror died against AP30’s headroom at every order of ε before this paper existed, and its grave is marked in the family record.</w:t>
      </w:r>
    </w:p>
    <w:p>
      <w:pPr>
        <w:spacing w:after="150" w:line="276"/>
        <w:jc w:val="both"/>
      </w:pPr>
      <w:r>
        <w:rPr>
          <w:rFonts w:ascii="Atkinson Hyperlegible" w:cs="Atkinson Hyperlegible" w:eastAsia="Atkinson Hyperlegible" w:hAnsi="Atkinson Hyperlegible"/>
          <w:b/>
          <w:bCs/>
          <w:sz w:val="24"/>
          <w:szCs w:val="24"/>
        </w:rPr>
        <w:t xml:space="preserve">The non-closure.</w:t>
      </w:r>
      <w:r>
        <w:rPr>
          <w:rFonts w:ascii="Atkinson Hyperlegible" w:cs="Atkinson Hyperlegible" w:eastAsia="Atkinson Hyperlegible" w:hAnsi="Atkinson Hyperlegible"/>
          <w:sz w:val="24"/>
          <w:szCs w:val="24"/>
        </w:rPr>
        <w:t xml:space="preserve"> And the ledger can never perfectly equal out — it is structurally impossible, because of the +1×ε: if it ever balanced exactly, the structure would close back into undifferentiated Ø, and the universe would stop existing. The Axiom chapter says it as canon; this family says it as accounting: </w:t>
      </w:r>
      <w:r>
        <w:rPr>
          <w:rFonts w:ascii="Atkinson Hyperlegible" w:cs="Atkinson Hyperlegible" w:eastAsia="Atkinson Hyperlegible" w:hAnsi="Atkinson Hyperlegible"/>
          <w:b/>
          <w:bCs/>
          <w:sz w:val="24"/>
          <w:szCs w:val="24"/>
        </w:rPr>
        <w:t xml:space="preserve">the pairs balance; the One never does; the books stay open — and the imperfection is not a flaw in the accounting. It is the accounting.</w:t>
      </w:r>
    </w:p>
    <w:p>
      <w:pPr>
        <w:pStyle w:val="Heading1"/>
        <w:pageBreakBefore/>
        <w:spacing w:after="180" w:before="120"/>
      </w:pPr>
      <w:r>
        <w:rPr>
          <w:rFonts w:ascii="Atkinson Hyperlegible" w:cs="Atkinson Hyperlegible" w:eastAsia="Atkinson Hyperlegible" w:hAnsi="Atkinson Hyperlegible"/>
          <w:b/>
          <w:bCs/>
          <w:sz w:val="40"/>
          <w:szCs w:val="40"/>
        </w:rPr>
        <w:t xml:space="preserve">9 — The Payment of D5</w:t>
      </w:r>
    </w:p>
    <w:p>
      <w:pPr>
        <w:spacing w:after="150" w:line="276"/>
        <w:jc w:val="both"/>
      </w:pPr>
      <w:r>
        <w:rPr>
          <w:rFonts w:ascii="Atkinson Hyperlegible" w:cs="Atkinson Hyperlegible" w:eastAsia="Atkinson Hyperlegible" w:hAnsi="Atkinson Hyperlegible"/>
          <w:sz w:val="24"/>
          <w:szCs w:val="24"/>
        </w:rPr>
        <w:t xml:space="preserve">Notebook VII’s D5 asked for the per-instant cost to be given a formal account, in the seat its own instruction named: Notebook IV, as a corollary or extension of AP06. The </w:t>
      </w:r>
      <w:r>
        <w:rPr>
          <w:rFonts w:ascii="Atkinson Hyperlegible" w:cs="Atkinson Hyperlegible" w:eastAsia="Atkinson Hyperlegible" w:hAnsi="Atkinson Hyperlegible"/>
          <w:b/>
          <w:bCs/>
          <w:sz w:val="24"/>
          <w:szCs w:val="24"/>
        </w:rPr>
        <w:t xml:space="preserve">splinter half</w:t>
      </w:r>
      <w:r>
        <w:rPr>
          <w:rFonts w:ascii="Atkinson Hyperlegible" w:cs="Atkinson Hyperlegible" w:eastAsia="Atkinson Hyperlegible" w:hAnsi="Atkinson Hyperlegible"/>
          <w:sz w:val="24"/>
          <w:szCs w:val="24"/>
        </w:rPr>
        <w:t xml:space="preserve"> — the standing commitment, one ε held so that the break persists — was paid by AP44’s arena constitution, quietly, before anyone saw it was a payment; the rulings of 11 August claimed it, at their hedge. The </w:t>
      </w:r>
      <w:r>
        <w:rPr>
          <w:rFonts w:ascii="Atkinson Hyperlegible" w:cs="Atkinson Hyperlegible" w:eastAsia="Atkinson Hyperlegible" w:hAnsi="Atkinson Hyperlegible"/>
          <w:b/>
          <w:bCs/>
          <w:sz w:val="24"/>
          <w:szCs w:val="24"/>
        </w:rPr>
        <w:t xml:space="preserve">flow half</w:t>
      </w:r>
      <w:r>
        <w:rPr>
          <w:rFonts w:ascii="Atkinson Hyperlegible" w:cs="Atkinson Hyperlegible" w:eastAsia="Atkinson Hyperlegible" w:hAnsi="Atkinson Hyperlegible"/>
          <w:sz w:val="24"/>
          <w:szCs w:val="24"/>
        </w:rPr>
        <w:t xml:space="preserve"> — the per-event cost — is paid by this proof’s Theorem 1: one grain per actualization, the alternatives not taken. Together with the author’s clause — the remainder as the toll in a sense — the two halves are one coin at two scales, and </w:t>
      </w:r>
      <w:r>
        <w:rPr>
          <w:rFonts w:ascii="Atkinson Hyperlegible" w:cs="Atkinson Hyperlegible" w:eastAsia="Atkinson Hyperlegible" w:hAnsi="Atkinson Hyperlegible"/>
          <w:b/>
          <w:bCs/>
          <w:sz w:val="24"/>
          <w:szCs w:val="24"/>
        </w:rPr>
        <w:t xml:space="preserve">D5’s formal account now exists.</w:t>
      </w:r>
      <w:r>
        <w:rPr>
          <w:rFonts w:ascii="Atkinson Hyperlegible" w:cs="Atkinson Hyperlegible" w:eastAsia="Atkinson Hyperlegible" w:hAnsi="Atkinson Hyperlegible"/>
          <w:sz w:val="24"/>
          <w:szCs w:val="24"/>
        </w:rPr>
        <w:t xml:space="preserve"> Whether D5 </w:t>
      </w:r>
      <w:r>
        <w:rPr>
          <w:rFonts w:ascii="Atkinson Hyperlegible" w:cs="Atkinson Hyperlegible" w:eastAsia="Atkinson Hyperlegible" w:hAnsi="Atkinson Hyperlegible"/>
          <w:i/>
          <w:iCs/>
          <w:sz w:val="24"/>
          <w:szCs w:val="24"/>
        </w:rPr>
        <w:t xml:space="preserve">closes</w:t>
      </w:r>
      <w:r>
        <w:rPr>
          <w:rFonts w:ascii="Atkinson Hyperlegible" w:cs="Atkinson Hyperlegible" w:eastAsia="Atkinson Hyperlegible" w:hAnsi="Atkinson Hyperlegible"/>
          <w:sz w:val="24"/>
          <w:szCs w:val="24"/>
        </w:rPr>
        <w:t xml:space="preserve"> is the author’s ruling at this proof’s lock; the debt does not close by this sentence, and says so. What this section additionally inherits with open eyes: the three registers the sources hold — per-instant residue, per-cycle rate, one global splinter — pointing at each other across Dissolutions and AP43; the two-role separation plus this ledger is the standing resolver, and the reconciliation is this section’s formal work at lock, not a footnote’s.</w:t>
      </w:r>
    </w:p>
    <w:p>
      <w:pPr>
        <w:pStyle w:val="Heading1"/>
        <w:pageBreakBefore/>
        <w:spacing w:after="180" w:before="120"/>
      </w:pPr>
      <w:r>
        <w:rPr>
          <w:rFonts w:ascii="Atkinson Hyperlegible" w:cs="Atkinson Hyperlegible" w:eastAsia="Atkinson Hyperlegible" w:hAnsi="Atkinson Hyperlegible"/>
          <w:b/>
          <w:bCs/>
          <w:sz w:val="40"/>
          <w:szCs w:val="40"/>
        </w:rPr>
        <w:t xml:space="preserve">10 — History and Genre, with the Deaths Shown</w:t>
      </w:r>
    </w:p>
    <w:p>
      <w:pPr>
        <w:spacing w:after="150" w:line="276"/>
        <w:jc w:val="both"/>
      </w:pPr>
      <w:r>
        <w:rPr>
          <w:rFonts w:ascii="Atkinson Hyperlegible" w:cs="Atkinson Hyperlegible" w:eastAsia="Atkinson Hyperlegible" w:hAnsi="Atkinson Hyperlegible"/>
          <w:b/>
          <w:bCs/>
          <w:sz w:val="24"/>
          <w:szCs w:val="24"/>
        </w:rPr>
        <w:t xml:space="preserve">The honest genre, on its face:</w:t>
      </w:r>
      <w:r>
        <w:rPr>
          <w:rFonts w:ascii="Atkinson Hyperlegible" w:cs="Atkinson Hyperlegible" w:eastAsia="Atkinson Hyperlegible" w:hAnsi="Atkinson Hyperlegible"/>
          <w:sz w:val="24"/>
          <w:szCs w:val="24"/>
        </w:rPr>
        <w:t xml:space="preserve"> a structural derivation whose result on the energy face is </w:t>
      </w:r>
      <w:r>
        <w:rPr>
          <w:rFonts w:ascii="Atkinson Hyperlegible" w:cs="Atkinson Hyperlegible" w:eastAsia="Atkinson Hyperlegible" w:hAnsi="Atkinson Hyperlegible"/>
          <w:b/>
          <w:bCs/>
          <w:sz w:val="24"/>
          <w:szCs w:val="24"/>
        </w:rPr>
        <w:t xml:space="preserve">INTERPRETIVE BY DIMENSION</w:t>
      </w:r>
      <w:r>
        <w:rPr>
          <w:rFonts w:ascii="Atkinson Hyperlegible" w:cs="Atkinson Hyperlegible" w:eastAsia="Atkinson Hyperlegible" w:hAnsi="Atkinson Hyperlegible"/>
          <w:sz w:val="24"/>
          <w:szCs w:val="24"/>
        </w:rPr>
        <w:t xml:space="preserve"> — this proof adds no term to any energy budget at any size, on purpose and by construction — and whose result on the possibility face is an </w:t>
      </w:r>
      <w:r>
        <w:rPr>
          <w:rFonts w:ascii="Atkinson Hyperlegible" w:cs="Atkinson Hyperlegible" w:eastAsia="Atkinson Hyperlegible" w:hAnsi="Atkinson Hyperlegible"/>
          <w:b/>
          <w:bCs/>
          <w:sz w:val="24"/>
          <w:szCs w:val="24"/>
        </w:rPr>
        <w:t xml:space="preserve">identification</w:t>
      </w:r>
      <w:r>
        <w:rPr>
          <w:rFonts w:ascii="Atkinson Hyperlegible" w:cs="Atkinson Hyperlegible" w:eastAsia="Atkinson Hyperlegible" w:hAnsi="Atkinson Hyperlegible"/>
          <w:sz w:val="24"/>
          <w:szCs w:val="24"/>
        </w:rPr>
        <w:t xml:space="preserve">, not a new prediction. Both labels are worn openly, because a paper that hides its genre is the disease this corpus exists to refuse. And the genre was not adopted; it was </w:t>
      </w:r>
      <w:r>
        <w:rPr>
          <w:rFonts w:ascii="Atkinson Hyperlegible" w:cs="Atkinson Hyperlegible" w:eastAsia="Atkinson Hyperlegible" w:hAnsi="Atkinson Hyperlegible"/>
          <w:b/>
          <w:bCs/>
          <w:sz w:val="24"/>
          <w:szCs w:val="24"/>
        </w:rPr>
        <w:t xml:space="preserve">forced</w:t>
      </w:r>
      <w:r>
        <w:rPr>
          <w:rFonts w:ascii="Atkinson Hyperlegible" w:cs="Atkinson Hyperlegible" w:eastAsia="Atkinson Hyperlegible" w:hAnsi="Atkinson Hyperlegible"/>
          <w:sz w:val="24"/>
          <w:szCs w:val="24"/>
        </w:rPr>
        <w:t xml:space="preserve">, twice, and both forcings are shown.</w:t>
      </w:r>
    </w:p>
    <w:p>
      <w:pPr>
        <w:spacing w:after="150" w:line="276"/>
        <w:jc w:val="both"/>
      </w:pPr>
      <w:r>
        <w:rPr>
          <w:rFonts w:ascii="Atkinson Hyperlegible" w:cs="Atkinson Hyperlegible" w:eastAsia="Atkinson Hyperlegible" w:hAnsi="Atkinson Hyperlegible"/>
          <w:b/>
          <w:bCs/>
          <w:sz w:val="24"/>
          <w:szCs w:val="24"/>
        </w:rPr>
        <w:t xml:space="preserve">The first death — KS-NPP.1, fired, and staying fired.</w:t>
      </w:r>
      <w:r>
        <w:rPr>
          <w:rFonts w:ascii="Atkinson Hyperlegible" w:cs="Atkinson Hyperlegible" w:eastAsia="Atkinson Hyperlegible" w:hAnsi="Atkinson Hyperlegible"/>
          <w:sz w:val="24"/>
          <w:szCs w:val="24"/>
        </w:rPr>
        <w:t xml:space="preserve"> This enquiry’s original quarry was the neutron. An earlier structural prediction on that front missed, its switch fired, and the corpse stands on the registry’s board under the house rule the author stated for the record: </w:t>
      </w:r>
      <w:r>
        <w:rPr>
          <w:rFonts w:ascii="Atkinson Hyperlegible" w:cs="Atkinson Hyperlegible" w:eastAsia="Atkinson Hyperlegible" w:hAnsi="Atkinson Hyperlegible"/>
          <w:i/>
          <w:iCs/>
          <w:sz w:val="24"/>
          <w:szCs w:val="24"/>
        </w:rPr>
        <w:t xml:space="preserve">always show the death; never hide; update, never delete.</w:t>
      </w:r>
      <w:r>
        <w:rPr>
          <w:rFonts w:ascii="Atkinson Hyperlegible" w:cs="Atkinson Hyperlegible" w:eastAsia="Atkinson Hyperlegible" w:hAnsi="Atkinson Hyperlegible"/>
          <w:sz w:val="24"/>
          <w:szCs w:val="24"/>
        </w:rPr>
        <w:t xml:space="preserve"> The fired switch is honest evidence that an omission exists on the resistance side — that inference is the scoreboard read correctly — and the omitted piece, if it is ever derived, will be derived from structure, computed once, blind to every standing number, behind the fence dated 16 August, entering the record as a new frozen claim and never as a repair. This proof does not repair KS-NPP.1. Nothing does. A fired switch stays fired; at most a new structural limb freezes beside the corpse, and the corpse stays on the board.</w:t>
      </w:r>
    </w:p>
    <w:p>
      <w:pPr>
        <w:spacing w:after="150" w:line="276"/>
        <w:jc w:val="both"/>
      </w:pPr>
      <w:r>
        <w:rPr>
          <w:rFonts w:ascii="Atkinson Hyperlegible" w:cs="Atkinson Hyperlegible" w:eastAsia="Atkinson Hyperlegible" w:hAnsi="Atkinson Hyperlegible"/>
          <w:b/>
          <w:bCs/>
          <w:sz w:val="24"/>
          <w:szCs w:val="24"/>
        </w:rPr>
        <w:t xml:space="preserve">The second death — the pre-registered execution of 16 August, with its numbers.</w:t>
      </w:r>
      <w:r>
        <w:rPr>
          <w:rFonts w:ascii="Atkinson Hyperlegible" w:cs="Atkinson Hyperlegible" w:eastAsia="Atkinson Hyperlegible" w:hAnsi="Atkinson Hyperlegible"/>
          <w:sz w:val="24"/>
          <w:szCs w:val="24"/>
        </w:rPr>
        <w:t xml:space="preserve"> Five days before any number existed, the family pre-registered its own headroom test. On 16 August the ceilings were inventoried and hashed at 15:00:19Z (cb77b354…); the candidate’s first arithmetic exists at 15:00:37Z — </w:t>
      </w:r>
      <w:r>
        <w:rPr>
          <w:rFonts w:ascii="Atkinson Hyperlegible" w:cs="Atkinson Hyperlegible" w:eastAsia="Atkinson Hyperlegible" w:hAnsi="Atkinson Hyperlegible"/>
          <w:b/>
          <w:bCs/>
          <w:sz w:val="24"/>
          <w:szCs w:val="24"/>
        </w:rPr>
        <w:t xml:space="preserve">eighteen seconds separate the law from the number.</w:t>
      </w:r>
      <w:r>
        <w:rPr>
          <w:rFonts w:ascii="Atkinson Hyperlegible" w:cs="Atkinson Hyperlegible" w:eastAsia="Atkinson Hyperlegible" w:hAnsi="Atkinson Hyperlegible"/>
          <w:sz w:val="24"/>
          <w:szCs w:val="24"/>
        </w:rPr>
        <w:t xml:space="preserve"> The candidate — the toll read as an </w:t>
      </w:r>
      <w:r>
        <w:rPr>
          <w:rFonts w:ascii="Atkinson Hyperlegible" w:cs="Atkinson Hyperlegible" w:eastAsia="Atkinson Hyperlegible" w:hAnsi="Atkinson Hyperlegible"/>
          <w:i/>
          <w:iCs/>
          <w:sz w:val="24"/>
          <w:szCs w:val="24"/>
        </w:rPr>
        <w:t xml:space="preserve">additional</w:t>
      </w:r>
      <w:r>
        <w:rPr>
          <w:rFonts w:ascii="Atkinson Hyperlegible" w:cs="Atkinson Hyperlegible" w:eastAsia="Atkinson Hyperlegible" w:hAnsi="Atkinson Hyperlegible"/>
          <w:sz w:val="24"/>
          <w:szCs w:val="24"/>
        </w:rPr>
        <w:t xml:space="preserve"> per-event energy term at magnitude α times the broken grip’s energy — computed once: 0.0992 eV at a hydrogen optical event against a ceiling of 2.1 × 10⁻¹¹ eV, an excess of 4.8 × 10⁹; 0.0326 eV at a bond-breaking event against 4.0 × 10⁻⁸ eV, an excess of 8.1 × 10⁵. </w:t>
      </w:r>
      <w:r>
        <w:rPr>
          <w:rFonts w:ascii="Atkinson Hyperlegible" w:cs="Atkinson Hyperlegible" w:eastAsia="Atkinson Hyperlegible" w:hAnsi="Atkinson Hyperlegible"/>
          <w:b/>
          <w:bCs/>
          <w:sz w:val="24"/>
          <w:szCs w:val="24"/>
        </w:rPr>
        <w:t xml:space="preserve">It died without appeal</w:t>
      </w:r>
      <w:r>
        <w:rPr>
          <w:rFonts w:ascii="Atkinson Hyperlegible" w:cs="Atkinson Hyperlegible" w:eastAsia="Atkinson Hyperlegible" w:hAnsi="Atkinson Hyperlegible"/>
          <w:sz w:val="24"/>
          <w:szCs w:val="24"/>
        </w:rPr>
        <w:t xml:space="preserve">, and its record was published with the same hashes and the same shelf a survival would have had. What died is exactly the additionality reading; what never entered the comparison — walled off by the pre-registration’s own clause — is the structure: the count, the coin, the ledger, the partitions, the one axis. The death is what forced the dimension into the open: the toll was never in the ceilings’ jurisdiction, and the family found that out the honest way — by letting the wrong reading walk into the wall at full speed, on the record.</w:t>
      </w:r>
    </w:p>
    <w:p>
      <w:pPr>
        <w:spacing w:after="150" w:line="276"/>
        <w:jc w:val="both"/>
      </w:pPr>
      <w:r>
        <w:rPr>
          <w:rFonts w:ascii="Atkinson Hyperlegible" w:cs="Atkinson Hyperlegible" w:eastAsia="Atkinson Hyperlegible" w:hAnsi="Atkinson Hyperlegible"/>
          <w:b/>
          <w:bCs/>
          <w:sz w:val="24"/>
          <w:szCs w:val="24"/>
        </w:rPr>
        <w:t xml:space="preserve">The cage.</w:t>
      </w:r>
      <w:r>
        <w:rPr>
          <w:rFonts w:ascii="Atkinson Hyperlegible" w:cs="Atkinson Hyperlegible" w:eastAsia="Atkinson Hyperlegible" w:hAnsi="Atkinson Hyperlegible"/>
          <w:sz w:val="24"/>
          <w:szCs w:val="24"/>
        </w:rPr>
        <w:t xml:space="preserve"> Two coincidences are recorded because they are pretty and caged because they were noticed after the fact; both are graded INTERPRETIVE-COHERENCE and neither is evidence. One: α times a chemical bond sits at the thermal scale — α × 4.46 eV ≈ 0.033 eV against kT at room temperature ≈ 0.026 eV — the ruled modulator’s quantitative face: the environment hands out quanta at the toll’s denomination for chemistry’s grips. Two: the standard theory’s own bookkeeping charges α at every coupling vertex, and this proof’s toll charges α-worth at every actualization; the vertex factor and the toll rhyme. A rhyme is not a derivation. The cage is labeled, and the label is part of the paper.</w:t>
      </w:r>
    </w:p>
    <w:p>
      <w:pPr>
        <w:pStyle w:val="Heading1"/>
        <w:pageBreakBefore/>
        <w:spacing w:after="180" w:before="120"/>
      </w:pPr>
      <w:r>
        <w:rPr>
          <w:rFonts w:ascii="Atkinson Hyperlegible" w:cs="Atkinson Hyperlegible" w:eastAsia="Atkinson Hyperlegible" w:hAnsi="Atkinson Hyperlegible"/>
          <w:b/>
          <w:bCs/>
          <w:sz w:val="40"/>
          <w:szCs w:val="40"/>
        </w:rPr>
        <w:t xml:space="preserve">11 — What This Proof Does Not Claim</w:t>
      </w:r>
    </w:p>
    <w:p>
      <w:pPr>
        <w:spacing w:after="150" w:line="276"/>
        <w:jc w:val="both"/>
      </w:pPr>
      <w:r>
        <w:rPr>
          <w:rFonts w:ascii="Atkinson Hyperlegible" w:cs="Atkinson Hyperlegible" w:eastAsia="Atkinson Hyperlegible" w:hAnsi="Atkinson Hyperlegible"/>
          <w:sz w:val="24"/>
          <w:szCs w:val="24"/>
        </w:rPr>
        <w:t xml:space="preserve">It adds no term to any energy budget, at any size. It does not derive the value of α — the seat is named; the value stays the one measured input; the corpus’s stance is untouched. It does not repair KS-NPP.1. It does not deliver the mirror’s outstanding energy-face piece — D-BLINK.3 names it, dates its fence, and leaves it for structure to produce once, blind, if ever. It predicts no probability, no deviation, no spectroscopic signature, and no cosmological share. And it does not claim the axiom balances: the deepest clause of this family is the opposite, and §8 carries it. The books stay open.</w:t>
      </w:r>
    </w:p>
    <w:p>
      <w:pPr>
        <w:pStyle w:val="Heading1"/>
        <w:pageBreakBefore/>
        <w:spacing w:after="180" w:before="120"/>
      </w:pPr>
      <w:r>
        <w:rPr>
          <w:rFonts w:ascii="Atkinson Hyperlegible" w:cs="Atkinson Hyperlegible" w:eastAsia="Atkinson Hyperlegible" w:hAnsi="Atkinson Hyperlegible"/>
          <w:b/>
          <w:bCs/>
          <w:sz w:val="40"/>
          <w:szCs w:val="40"/>
        </w:rPr>
        <w:t xml:space="preserve">12 — Kill Switches</w:t>
      </w:r>
    </w:p>
    <w:p>
      <w:pPr>
        <w:spacing w:after="150" w:line="276"/>
        <w:jc w:val="both"/>
      </w:pPr>
      <w:r>
        <w:rPr>
          <w:rFonts w:ascii="Atkinson Hyperlegible" w:cs="Atkinson Hyperlegible" w:eastAsia="Atkinson Hyperlegible" w:hAnsi="Atkinson Hyperlegible"/>
          <w:sz w:val="24"/>
          <w:szCs w:val="24"/>
        </w:rPr>
        <w:t xml:space="preserve">Four armed at lock on the author’s word; one fired and shown. Claim / Test / Status / Recovery, identifiers pending MKSR registration at the wave.</w:t>
      </w:r>
    </w:p>
    <w:p>
      <w:pPr>
        <w:pStyle w:val="Heading2"/>
        <w:spacing w:after="110" w:before="220"/>
      </w:pPr>
      <w:r>
        <w:rPr>
          <w:rFonts w:ascii="Atkinson Hyperlegible" w:cs="Atkinson Hyperlegible" w:eastAsia="Atkinson Hyperlegible" w:hAnsi="Atkinson Hyperlegible"/>
          <w:b/>
          <w:bCs/>
          <w:sz w:val="32"/>
          <w:szCs w:val="32"/>
        </w:rPr>
        <w:t xml:space="preserve">KS-BLINK.1 — The balanced break</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break carries a strict, registrable win; a break at exact balance is a non-event (Lemma 1).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D-CCC.1’s record algebra, when written.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fireable by the corpus’s own formalism. The balance-impossibility conjecture — perfect balance is structurally impossible, because +1×ε — is registered beside it with its reason, and the switch stays armed anyway, because nothing here retires by assertion.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algebra permits balanced breaks, Theorem 1’s existence clause falls and the proof reverts to a description.</w:t>
      </w:r>
    </w:p>
    <w:p>
      <w:pPr>
        <w:pStyle w:val="Heading2"/>
        <w:spacing w:after="110" w:before="220"/>
      </w:pPr>
      <w:r>
        <w:rPr>
          <w:rFonts w:ascii="Atkinson Hyperlegible" w:cs="Atkinson Hyperlegible" w:eastAsia="Atkinson Hyperlegible" w:hAnsi="Atkinson Hyperlegible"/>
          <w:b/>
          <w:bCs/>
          <w:sz w:val="32"/>
          <w:szCs w:val="32"/>
        </w:rPr>
        <w:t xml:space="preserve">KS-BLINK.2 — The Born identification</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possibility ledger’s outside face is the Born statistics.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record algebra’s derived weights; inherits the switches of the corpus’s own quantum papers.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algebra yields non-Born weighting from the same structure, the identification retires; the toll theorem stands, unpriced on its outside.</w:t>
      </w:r>
    </w:p>
    <w:p>
      <w:pPr>
        <w:pStyle w:val="Heading2"/>
        <w:spacing w:after="110" w:before="220"/>
      </w:pPr>
      <w:r>
        <w:rPr>
          <w:rFonts w:ascii="Atkinson Hyperlegible" w:cs="Atkinson Hyperlegible" w:eastAsia="Atkinson Hyperlegible" w:hAnsi="Atkinson Hyperlegible"/>
          <w:b/>
          <w:bCs/>
          <w:sz w:val="32"/>
          <w:szCs w:val="32"/>
        </w:rPr>
        <w:t xml:space="preserve">KS-BLINK.3 — The dimension label</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energy budget owes this toll a line, at any size.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corpus’s own future use.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it binds the claim, not a person, in the sovereignty pattern of KS-CCC.1.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It fires against any consumer — including the author, including the desk — who prices the toll into an energy formula without a superseding derivation; the offending use retires, the proof stands.</w:t>
      </w:r>
    </w:p>
    <w:p>
      <w:pPr>
        <w:pStyle w:val="Heading2"/>
        <w:spacing w:after="110" w:before="220"/>
      </w:pPr>
      <w:r>
        <w:rPr>
          <w:rFonts w:ascii="Atkinson Hyperlegible" w:cs="Atkinson Hyperlegible" w:eastAsia="Atkinson Hyperlegible" w:hAnsi="Atkinson Hyperlegible"/>
          <w:b/>
          <w:bCs/>
          <w:sz w:val="32"/>
          <w:szCs w:val="32"/>
        </w:rPr>
        <w:t xml:space="preserve">KS-BLINK.4 — The grain count</w:t>
      </w:r>
    </w:p>
    <w:p>
      <w:pPr>
        <w:spacing w:after="15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One grain per event, regardless of the crowd of vanished alternatives. </w:t>
      </w: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record algebra’s event accounting. </w:t>
      </w: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w:t>
      </w: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the formalism forces per-alternative pricing, the count clause falls and the denomination reopens.</w:t>
      </w:r>
    </w:p>
    <w:p>
      <w:pPr>
        <w:pStyle w:val="Heading2"/>
        <w:spacing w:after="110" w:before="220"/>
      </w:pPr>
      <w:r>
        <w:rPr>
          <w:rFonts w:ascii="Atkinson Hyperlegible" w:cs="Atkinson Hyperlegible" w:eastAsia="Atkinson Hyperlegible" w:hAnsi="Atkinson Hyperlegible"/>
          <w:b/>
          <w:bCs/>
          <w:sz w:val="32"/>
          <w:szCs w:val="32"/>
        </w:rPr>
        <w:t xml:space="preserve">KS-NPP.1 — Fired, and shown</w:t>
      </w:r>
    </w:p>
    <w:p>
      <w:pPr>
        <w:spacing w:after="15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FIRED — the neutron-front prediction that missed, standing on the board per the house rule: the death shown, never hidden, never deleted, never repaired. Its honest yield is recorded in §10: an omission exists on the resistance side, and its future derivation, if any, enters as new. Registered at the wave as the registry’s first shown firing from this family.</w:t>
      </w:r>
    </w:p>
    <w:p>
      <w:pPr>
        <w:pStyle w:val="Heading1"/>
        <w:pageBreakBefore/>
        <w:spacing w:after="180" w:before="120"/>
      </w:pPr>
      <w:r>
        <w:rPr>
          <w:rFonts w:ascii="Atkinson Hyperlegible" w:cs="Atkinson Hyperlegible" w:eastAsia="Atkinson Hyperlegible" w:hAnsi="Atkinson Hyperlegible"/>
          <w:b/>
          <w:bCs/>
          <w:sz w:val="40"/>
          <w:szCs w:val="40"/>
        </w:rPr>
        <w:t xml:space="preserve">13 — Dependencies, and What Moves on Adoption</w:t>
      </w:r>
    </w:p>
    <w:p>
      <w:pPr>
        <w:spacing w:after="150" w:line="276"/>
        <w:jc w:val="both"/>
      </w:pPr>
      <w:r>
        <w:rPr>
          <w:rFonts w:ascii="Atkinson Hyperlegible" w:cs="Atkinson Hyperlegible" w:eastAsia="Atkinson Hyperlegible" w:hAnsi="Atkinson Hyperlegible"/>
          <w:sz w:val="24"/>
          <w:szCs w:val="24"/>
        </w:rPr>
        <w:t xml:space="preserve">Load-bearing, verified at file level in the family record: AP44 §4 and its lock instrument; AP43 Premise 2 and D5; the Ø Dissolutions Axiom chapter and Chapter 11; AP28’s channel construction; AP29’s E ≡ κ(B)AS; AP06’s rate semantics; AP19 §3; and the eleven family documents of §0.2 with the ceiling inventory. On adoption at the wave: the Master Kill Switch Registry advances by </w:t>
      </w:r>
      <w:r>
        <w:rPr>
          <w:rFonts w:ascii="Atkinson Hyperlegible" w:cs="Atkinson Hyperlegible" w:eastAsia="Atkinson Hyperlegible" w:hAnsi="Atkinson Hyperlegible"/>
          <w:b/>
          <w:bCs/>
          <w:sz w:val="24"/>
          <w:szCs w:val="24"/>
        </w:rPr>
        <w:t xml:space="preserve">five entries — four live, one fired and shown</w:t>
      </w:r>
      <w:r>
        <w:rPr>
          <w:rFonts w:ascii="Atkinson Hyperlegible" w:cs="Atkinson Hyperlegible" w:eastAsia="Atkinson Hyperlegible" w:hAnsi="Atkinson Hyperlegible"/>
          <w:sz w:val="24"/>
          <w:szCs w:val="24"/>
        </w:rPr>
        <w:t xml:space="preserve"> — totals fixed at the wave against the registry file of record; AP45 registers in Notebook IV beside AP44; the D5 line updates per §9 with closure the author’s ruling; and the D-BLINK debts enter the register beside D-CCC.1’s, which their formalisation inherits. Nothing else in canon moves: no value, no constant, no share, no page that carries a number.</w:t>
      </w:r>
    </w:p>
    <w:p>
      <w:pPr>
        <w:pStyle w:val="Heading1"/>
        <w:pageBreakBefore/>
        <w:spacing w:after="180" w:before="120"/>
      </w:pPr>
      <w:r>
        <w:rPr>
          <w:rFonts w:ascii="Atkinson Hyperlegible" w:cs="Atkinson Hyperlegible" w:eastAsia="Atkinson Hyperlegible" w:hAnsi="Atkinson Hyperlegible"/>
          <w:b/>
          <w:bCs/>
          <w:sz w:val="40"/>
          <w:szCs w:val="40"/>
        </w:rPr>
        <w:t xml:space="preserve">Claim Summary</w:t>
      </w:r>
    </w:p>
    <w:p>
      <w:pPr>
        <w:spacing w:after="150" w:line="276"/>
        <w:jc w:val="both"/>
      </w:pPr>
      <w:r>
        <w:rPr>
          <w:rFonts w:ascii="Atkinson Hyperlegible" w:cs="Atkinson Hyperlegible" w:eastAsia="Atkinson Hyperlegible" w:hAnsi="Atkinson Hyperlegible"/>
          <w:sz w:val="24"/>
          <w:szCs w:val="24"/>
        </w:rPr>
        <w:t xml:space="preserve">Every actualization is one singular blink; the event necessarily costs exactly one grain of distinction, denominated α, spent on the possibility ledger as the alternatives not taken; the energy face of the event is ordinary and unchanged; the Born statistics are the possibility ledger’s outside face, as an identification; the blink is the releasing direction’s cost family, the structural mirror of AP44’s writing-direction commitment, and together they balance the axiom’s bracket around the One that never balances; D5’s formal account exists in the two halves; and the whole stands graded — interpretive by dimension on the energy face, identification on the possibility face — with its two deaths shown, four switches armed, and no number predicted anywhere.</w:t>
      </w:r>
    </w:p>
    <w:p>
      <w:pPr>
        <w:pStyle w:val="Heading1"/>
        <w:pageBreakBefore/>
        <w:spacing w:after="180" w:before="120"/>
      </w:pPr>
      <w:r>
        <w:rPr>
          <w:rFonts w:ascii="Atkinson Hyperlegible" w:cs="Atkinson Hyperlegible" w:eastAsia="Atkinson Hyperlegible" w:hAnsi="Atkinson Hyperlegible"/>
          <w:b/>
          <w:bCs/>
          <w:sz w:val="40"/>
          <w:szCs w:val="40"/>
        </w:rPr>
        <w:t xml:space="preserve">Conditionality Footer</w:t>
      </w:r>
    </w:p>
    <w:p>
      <w:pPr>
        <w:spacing w:after="150" w:line="276"/>
        <w:jc w:val="both"/>
      </w:pPr>
      <w:r>
        <w:rPr>
          <w:rFonts w:ascii="Atkinson Hyperlegible" w:cs="Atkinson Hyperlegible" w:eastAsia="Atkinson Hyperlegible" w:hAnsi="Atkinson Hyperlegible"/>
          <w:sz w:val="24"/>
          <w:szCs w:val="24"/>
        </w:rPr>
        <w:t xml:space="preserve">Everything above is conditional on the axiom and its locked developments, and is exactly as strong as they are. If D-CCC.1’s algebra, when written, permits balanced breaks, Theorem 1 falls. If it yields non-Born weights, the identification retires. If the count is forced per-alternative, the denomination reopens. If the one-axis finding of §6 breaks under an adjusted pairing, the partitions separate again and §6 reverts to two compatible readings. The proof survives none of its switches by assertion, hides neither of its corpses, and claims no immunity it did not construct — the energy face is untouchable by spectroscopy only because it asserts nothing there, and the paper polices that bargain against itself first.</w:t>
      </w:r>
    </w:p>
    <w:p>
      <w:pPr>
        <w:pStyle w:val="Heading1"/>
        <w:pageBreakBefore/>
        <w:spacing w:after="180" w:before="120"/>
      </w:pPr>
      <w:r>
        <w:rPr>
          <w:rFonts w:ascii="Atkinson Hyperlegible" w:cs="Atkinson Hyperlegible" w:eastAsia="Atkinson Hyperlegible" w:hAnsi="Atkinson Hyperlegible"/>
          <w:b/>
          <w:bCs/>
          <w:sz w:val="40"/>
          <w:szCs w:val="40"/>
        </w:rPr>
        <w:t xml:space="preserve">Notation Reference</w:t>
      </w:r>
    </w:p>
    <w:p>
      <w:pPr>
        <w:spacing w:after="150" w:line="276"/>
        <w:jc w:val="both"/>
      </w:pPr>
      <w:r>
        <w:rPr>
          <w:rFonts w:ascii="Atkinson Hyperlegible" w:cs="Atkinson Hyperlegible" w:eastAsia="Atkinson Hyperlegible" w:hAnsi="Atkinson Hyperlegible"/>
          <w:b/>
          <w:bCs/>
          <w:sz w:val="24"/>
          <w:szCs w:val="24"/>
        </w:rPr>
        <w:t xml:space="preserve">1:1 + 1×ε @ AS [+1/137 | −1/137]</w:t>
      </w:r>
      <w:r>
        <w:rPr>
          <w:rFonts w:ascii="Atkinson Hyperlegible" w:cs="Atkinson Hyperlegible" w:eastAsia="Atkinson Hyperlegible" w:hAnsi="Atkinson Hyperlegible"/>
          <w:sz w:val="24"/>
          <w:szCs w:val="24"/>
        </w:rPr>
        <w:t xml:space="preserve"> — the complete axiom: symmetry with its held break at the actualizing now, the α-flow cycling around it. </w:t>
      </w: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break; the grain; identified with the electron under The Lock. </w:t>
      </w:r>
      <w:r>
        <w:rPr>
          <w:rFonts w:ascii="Atkinson Hyperlegible" w:cs="Atkinson Hyperlegible" w:eastAsia="Atkinson Hyperlegible" w:hAnsi="Atkinson Hyperlegible"/>
          <w:b/>
          <w:bCs/>
          <w:sz w:val="24"/>
          <w:szCs w:val="24"/>
        </w:rPr>
        <w:t xml:space="preserve">α</w:t>
      </w:r>
      <w:r>
        <w:rPr>
          <w:rFonts w:ascii="Atkinson Hyperlegible" w:cs="Atkinson Hyperlegible" w:eastAsia="Atkinson Hyperlegible" w:hAnsi="Atkinson Hyperlegible"/>
          <w:sz w:val="24"/>
          <w:szCs w:val="24"/>
        </w:rPr>
        <w:t xml:space="preserve"> — the fine-structure constant, ≈ 1/137.036, the one measured input; the per-channel coupling; the actualisation rate whose seat is the space between, not a channel. One object, several readings, each named where used. </w:t>
      </w:r>
      <w:r>
        <w:rPr>
          <w:rFonts w:ascii="Atkinson Hyperlegible" w:cs="Atkinson Hyperlegible" w:eastAsia="Atkinson Hyperlegible" w:hAnsi="Atkinson Hyperlegible"/>
          <w:b/>
          <w:bCs/>
          <w:sz w:val="24"/>
          <w:szCs w:val="24"/>
        </w:rPr>
        <w:t xml:space="preserve">+ / −</w:t>
      </w:r>
      <w:r>
        <w:rPr>
          <w:rFonts w:ascii="Atkinson Hyperlegible" w:cs="Atkinson Hyperlegible" w:eastAsia="Atkinson Hyperlegible" w:hAnsi="Atkinson Hyperlegible"/>
          <w:sz w:val="24"/>
          <w:szCs w:val="24"/>
        </w:rPr>
        <w:t xml:space="preserve"> — the writing and releasing directions of the flow: roads, not objects; the object +1×ε departs via the − road at a break. </w:t>
      </w:r>
      <w:r>
        <w:rPr>
          <w:rFonts w:ascii="Atkinson Hyperlegible" w:cs="Atkinson Hyperlegible" w:eastAsia="Atkinson Hyperlegible" w:hAnsi="Atkinson Hyperlegible"/>
          <w:b/>
          <w:bCs/>
          <w:sz w:val="24"/>
          <w:szCs w:val="24"/>
        </w:rPr>
        <w:t xml:space="preserve">Lineage, splinter, sliver, grip, blink, window, toll, bump</w:t>
      </w:r>
      <w:r>
        <w:rPr>
          <w:rFonts w:ascii="Atkinson Hyperlegible" w:cs="Atkinson Hyperlegible" w:eastAsia="Atkinson Hyperlegible" w:hAnsi="Atkinson Hyperlegible"/>
          <w:sz w:val="24"/>
          <w:szCs w:val="24"/>
        </w:rPr>
        <w:t xml:space="preserve"> — §1. </w:t>
      </w:r>
      <w:r>
        <w:rPr>
          <w:rFonts w:ascii="Atkinson Hyperlegible" w:cs="Atkinson Hyperlegible" w:eastAsia="Atkinson Hyperlegible" w:hAnsi="Atkinson Hyperlegible"/>
          <w:b/>
          <w:bCs/>
          <w:sz w:val="24"/>
          <w:szCs w:val="24"/>
        </w:rPr>
        <w:t xml:space="preserve">The twelve and the nine; 10:10 + 1</w:t>
      </w:r>
      <w:r>
        <w:rPr>
          <w:rFonts w:ascii="Atkinson Hyperlegible" w:cs="Atkinson Hyperlegible" w:eastAsia="Atkinson Hyperlegible" w:hAnsi="Atkinson Hyperlegible"/>
          <w:sz w:val="24"/>
          <w:szCs w:val="24"/>
        </w:rPr>
        <w:t xml:space="preserve"> — §6’s partitions, one axis. </w:t>
      </w:r>
      <w:r>
        <w:rPr>
          <w:rFonts w:ascii="Atkinson Hyperlegible" w:cs="Atkinson Hyperlegible" w:eastAsia="Atkinson Hyperlegible" w:hAnsi="Atkinson Hyperlegible"/>
          <w:b/>
          <w:bCs/>
          <w:sz w:val="24"/>
          <w:szCs w:val="24"/>
        </w:rPr>
        <w:t xml:space="preserve">E ≡ κ(B)AS</w:t>
      </w:r>
      <w:r>
        <w:rPr>
          <w:rFonts w:ascii="Atkinson Hyperlegible" w:cs="Atkinson Hyperlegible" w:eastAsia="Atkinson Hyperlegible" w:hAnsi="Atkinson Hyperlegible"/>
          <w:sz w:val="24"/>
          <w:szCs w:val="24"/>
        </w:rPr>
        <w:t xml:space="preserve"> — AP29: energy as coupling capacity expressed at the now. </w:t>
      </w:r>
      <w:r>
        <w:rPr>
          <w:rFonts w:ascii="Atkinson Hyperlegible" w:cs="Atkinson Hyperlegible" w:eastAsia="Atkinson Hyperlegible" w:hAnsi="Atkinson Hyperlegible"/>
          <w:b/>
          <w:bCs/>
          <w:sz w:val="24"/>
          <w:szCs w:val="24"/>
        </w:rPr>
        <w:t xml:space="preserve">KS-</w:t>
      </w:r>
      <w:r>
        <w:rPr>
          <w:rFonts w:ascii="Atkinson Hyperlegible" w:cs="Atkinson Hyperlegible" w:eastAsia="Atkinson Hyperlegible" w:hAnsi="Atkinson Hyperlegible"/>
          <w:sz w:val="24"/>
          <w:szCs w:val="24"/>
        </w:rPr>
        <w:t xml:space="preserve"> — kill switch; </w:t>
      </w:r>
      <w:r>
        <w:rPr>
          <w:rFonts w:ascii="Atkinson Hyperlegible" w:cs="Atkinson Hyperlegible" w:eastAsia="Atkinson Hyperlegible" w:hAnsi="Atkinson Hyperlegible"/>
          <w:b/>
          <w:bCs/>
          <w:sz w:val="24"/>
          <w:szCs w:val="24"/>
        </w:rPr>
        <w:t xml:space="preserve">D-</w:t>
      </w:r>
      <w:r>
        <w:rPr>
          <w:rFonts w:ascii="Atkinson Hyperlegible" w:cs="Atkinson Hyperlegible" w:eastAsia="Atkinson Hyperlegible" w:hAnsi="Atkinson Hyperlegible"/>
          <w:sz w:val="24"/>
          <w:szCs w:val="24"/>
        </w:rPr>
        <w:t xml:space="preserve"> — declared debt. </w:t>
      </w:r>
      <w:r>
        <w:rPr>
          <w:rFonts w:ascii="Atkinson Hyperlegible" w:cs="Atkinson Hyperlegible" w:eastAsia="Atkinson Hyperlegible" w:hAnsi="Atkinson Hyperlegible"/>
          <w:b/>
          <w:bCs/>
          <w:sz w:val="24"/>
          <w:szCs w:val="24"/>
        </w:rPr>
        <w:t xml:space="preserve">Ø</w:t>
      </w:r>
      <w:r>
        <w:rPr>
          <w:rFonts w:ascii="Atkinson Hyperlegible" w:cs="Atkinson Hyperlegible" w:eastAsia="Atkinson Hyperlegible" w:hAnsi="Atkinson Hyperlegible"/>
          <w:sz w:val="24"/>
          <w:szCs w:val="24"/>
        </w:rPr>
        <w:t xml:space="preserve"> — the empty set; undifferentiated potential; the terminus of total defragmentation and what the axiom exists by refusing.</w:t>
      </w:r>
    </w:p>
    <w:p>
      <w:pPr>
        <w:spacing w:after="160"/>
      </w:pPr>
    </w:p>
    <w:p>
      <w:pPr>
        <w:spacing w:after="240"/>
        <w:jc w:val="center"/>
      </w:pPr>
      <w:r>
        <w:rPr>
          <w:rFonts w:ascii="Atkinson Hyperlegible" w:cs="Atkinson Hyperlegible" w:eastAsia="Atkinson Hyperlegible" w:hAnsi="Atkinson Hyperlegible"/>
          <w:b w:val="false"/>
          <w:bCs w:val="false"/>
          <w:i/>
          <w:iCs/>
          <w:sz w:val="24"/>
          <w:szCs w:val="24"/>
        </w:rPr>
        <w:t xml:space="preserve">End of The Blink. Artist’s Proof 45 — Draft v0.2,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AP45</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Blink</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5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5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2026-08-16T16:44:19.069Z</dcterms:created>
  <dcterms:modified xsi:type="dcterms:W3CDTF">2026-08-16T16:44:19.069Z</dcterms:modified>
</cp:coreProperties>
</file>

<file path=docProps/custom.xml><?xml version="1.0" encoding="utf-8"?>
<Properties xmlns="http://schemas.openxmlformats.org/officeDocument/2006/custom-properties" xmlns:vt="http://schemas.openxmlformats.org/officeDocument/2006/docPropsVTypes"/>
</file>