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Blink</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45</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particle-side companion to The Snap — the cost of every actualization, one grain of possibility, α-worth, the alternatives not taken</w:t>
      </w:r>
    </w:p>
    <w:p>
      <w:pPr>
        <w:spacing w:after="0"/>
        <w:jc w:val="center"/>
      </w:pPr>
      <w:r>
        <w:rPr>
          <w:rFonts w:ascii="Atkinson Hyperlegible" w:cs="Atkinson Hyperlegible" w:eastAsia="Atkinson Hyperlegible" w:hAnsi="Atkinson Hyperlegible"/>
          <w:b w:val="false"/>
          <w:bCs w:val="false"/>
          <w:i/>
          <w:iCs/>
          <w:sz w:val="18"/>
          <w:szCs w:val="18"/>
        </w:rPr>
        <w:t>Draft v0.3 — full redraft in the house standard on the author’s ruling; content sourced from the locked Blink family record and the v0.1 research draft (canonical md 0c278d8b…, reading copy e8a06266…), both retained. Register: the author’s drawer — nothing circulates, publishes, or anchors before the lock and the wave. Number and seat ruled: AP45, Notebook IV, beside AP44. v0.3 carries two mechanical fixes only, applied 17 Aug on the author’s instruction: §0’s subsection numbering closed to 0.1–0.5 (the redraft had skipped 0.4 and 0.6). No content moves.</w:t>
      </w:r>
    </w:p>
    <w:p>
      <w:pPr>
        <w:pStyle w:val="Heading1"/>
        <w:pageBreakBefore/>
        <w:spacing w:after="180" w:before="120"/>
      </w:pPr>
      <w:r>
        <w:rPr>
          <w:rFonts w:ascii="Atkinson Hyperlegible" w:cs="Atkinson Hyperlegible" w:eastAsia="Atkinson Hyperlegible" w:hAnsi="Atkinson Hyperlegible"/>
          <w:b/>
          <w:bCs/>
          <w:sz w:val="40"/>
          <w:szCs w:val="40"/>
        </w:rPr>
        <w:t xml:space="preserve">Artist’s Note</w:t>
      </w:r>
    </w:p>
    <w:p>
      <w:pPr>
        <w:spacing w:after="150" w:line="276"/>
        <w:jc w:val="both"/>
      </w:pPr>
      <w:r>
        <w:rPr>
          <w:rFonts w:ascii="Atkinson Hyperlegible" w:cs="Atkinson Hyperlegible" w:eastAsia="Atkinson Hyperlegible" w:hAnsi="Atkinson Hyperlegible"/>
          <w:sz w:val="24"/>
          <w:szCs w:val="24"/>
        </w:rP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pPr>
        <w:spacing w:after="150" w:line="276"/>
        <w:jc w:val="both"/>
      </w:pPr>
      <w:r>
        <w:rPr>
          <w:rFonts w:ascii="Atkinson Hyperlegible" w:cs="Atkinson Hyperlegible" w:eastAsia="Atkinson Hyperlegible" w:hAnsi="Atkinson Hyperlegible"/>
          <w:sz w:val="24"/>
          <w:szCs w:val="24"/>
        </w:rPr>
        <w:t xml:space="preserve">I went looking for something else. For weeks the quarry was the neutron — I wanted to fix its formula structurally, and I circled a configuration cost on my mirrors until the mirrors ran out of room. What I found on the way was gravity’s correction — The Snap, the proof beside this one — and the neutron is still waiting, and it has already spoken once in this family’s record, saying </w:t>
      </w:r>
      <w:r>
        <w:rPr>
          <w:rFonts w:ascii="Atkinson Hyperlegible" w:cs="Atkinson Hyperlegible" w:eastAsia="Atkinson Hyperlegible" w:hAnsi="Atkinson Hyperlegible"/>
          <w:i/>
          <w:iCs/>
          <w:sz w:val="24"/>
          <w:szCs w:val="24"/>
        </w:rPr>
        <w:t xml:space="preserve">not like that</w:t>
      </w:r>
      <w:r>
        <w:rPr>
          <w:rFonts w:ascii="Atkinson Hyperlegible" w:cs="Atkinson Hyperlegible" w:eastAsia="Atkinson Hyperlegible" w:hAnsi="Atkinson Hyperlegible"/>
          <w:sz w:val="24"/>
          <w:szCs w:val="24"/>
        </w:rPr>
        <w:t xml:space="preserve">. The death is in this paper, shown, because in this corpus we never hide a corpse. We update. We never delete.</w:t>
      </w:r>
    </w:p>
    <w:p>
      <w:pPr>
        <w:spacing w:after="150" w:line="276"/>
        <w:jc w:val="both"/>
      </w:pPr>
      <w:r>
        <w:rPr>
          <w:rFonts w:ascii="Atkinson Hyperlegible" w:cs="Atkinson Hyperlegible" w:eastAsia="Atkinson Hyperlegible" w:hAnsi="Atkinson Hyperlegible"/>
          <w:sz w:val="24"/>
          <w:szCs w:val="24"/>
        </w:rP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pPr>
        <w:spacing w:after="150" w:line="276"/>
        <w:jc w:val="both"/>
      </w:pPr>
      <w:r>
        <w:rPr>
          <w:rFonts w:ascii="Atkinson Hyperlegible" w:cs="Atkinson Hyperlegible" w:eastAsia="Atkinson Hyperlegible" w:hAnsi="Atkinson Hyperlegible"/>
          <w:sz w:val="24"/>
          <w:szCs w:val="24"/>
        </w:rPr>
        <w:t xml:space="preserve">Don’t be a cunt. Be kind.</w:t>
      </w:r>
    </w:p>
    <w:p>
      <w:pPr>
        <w:spacing w:after="0"/>
        <w:jc w:val="center"/>
      </w:pPr>
      <w:r>
        <w:rPr>
          <w:rFonts w:ascii="Atkinson Hyperlegible" w:cs="Atkinson Hyperlegible" w:eastAsia="Atkinson Hyperlegible" w:hAnsi="Atkinson Hyperlegible"/>
          <w:b w:val="false"/>
          <w:bCs w:val="false"/>
          <w:i/>
          <w:iCs/>
          <w:sz w:val="22"/>
          <w:szCs w:val="22"/>
        </w:rPr>
        <w:t xml:space="preserve">— G, artist and natural philosopher, Cape Town</w:t>
      </w:r>
    </w:p>
    <w:p>
      <w:pPr>
        <w:pStyle w:val="Heading1"/>
        <w:pageBreakBefore/>
        <w:spacing w:after="180" w:before="120"/>
      </w:pPr>
      <w:r>
        <w:rPr>
          <w:rFonts w:ascii="Atkinson Hyperlegible" w:cs="Atkinson Hyperlegible" w:eastAsia="Atkinson Hyperlegible" w:hAnsi="Atkinson Hyperlegible"/>
          <w:b/>
          <w:bCs/>
          <w:sz w:val="40"/>
          <w:szCs w:val="40"/>
        </w:rPr>
        <w:t xml:space="preserve">Orientation</w:t>
      </w:r>
    </w:p>
    <w:p>
      <w:pPr>
        <w:spacing w:after="150" w:line="276"/>
        <w:jc w:val="both"/>
      </w:pPr>
      <w:r>
        <w:rPr>
          <w:rFonts w:ascii="Atkinson Hyperlegible" w:cs="Atkinson Hyperlegible" w:eastAsia="Atkinson Hyperlegible" w:hAnsi="Atkinson Hyperlegible"/>
          <w:sz w:val="24"/>
          <w:szCs w:val="24"/>
        </w:rPr>
        <w:t xml:space="preserve">This proof establishes that every actualization is a </w:t>
      </w:r>
      <w:r>
        <w:rPr>
          <w:rFonts w:ascii="Atkinson Hyperlegible" w:cs="Atkinson Hyperlegible" w:eastAsia="Atkinson Hyperlegible" w:hAnsi="Atkinson Hyperlegible"/>
          <w:b/>
          <w:bCs/>
          <w:sz w:val="24"/>
          <w:szCs w:val="24"/>
        </w:rPr>
        <w:t xml:space="preserve">blink</w:t>
      </w:r>
      <w:r>
        <w:rPr>
          <w:rFonts w:ascii="Atkinson Hyperlegible" w:cs="Atkinson Hyperlegible" w:eastAsia="Atkinson Hyperlegible" w:hAnsi="Atkinson Hyperlegible"/>
          <w:sz w:val="24"/>
          <w:szCs w:val="24"/>
        </w:rPr>
        <w:t xml:space="preserve"> — one singular event in which a configuration breaks and re-couples — and that the event has a cost with two faces. On the </w:t>
      </w:r>
      <w:r>
        <w:rPr>
          <w:rFonts w:ascii="Atkinson Hyperlegible" w:cs="Atkinson Hyperlegible" w:eastAsia="Atkinson Hyperlegible" w:hAnsi="Atkinson Hyperlegible"/>
          <w:b/>
          <w:bCs/>
          <w:sz w:val="24"/>
          <w:szCs w:val="24"/>
        </w:rPr>
        <w:t xml:space="preserve">energy face</w:t>
      </w:r>
      <w:r>
        <w:rPr>
          <w:rFonts w:ascii="Atkinson Hyperlegible" w:cs="Atkinson Hyperlegible" w:eastAsia="Atkinson Hyperlegible" w:hAnsi="Atkinson Hyperlegible"/>
          <w:sz w:val="24"/>
          <w:szCs w:val="24"/>
        </w:rPr>
        <w:t xml:space="preserve"> the cost is nothing new: the ordinary threshold energetics every break already involves, unchanged, which is why no budget anywhere owes this paper a line. On the </w:t>
      </w:r>
      <w:r>
        <w:rPr>
          <w:rFonts w:ascii="Atkinson Hyperlegible" w:cs="Atkinson Hyperlegible" w:eastAsia="Atkinson Hyperlegible" w:hAnsi="Atkinson Hyperlegible"/>
          <w:b/>
          <w:bCs/>
          <w:sz w:val="24"/>
          <w:szCs w:val="24"/>
        </w:rPr>
        <w:t xml:space="preserve">possibility face</w:t>
      </w:r>
      <w:r>
        <w:rPr>
          <w:rFonts w:ascii="Atkinson Hyperlegible" w:cs="Atkinson Hyperlegible" w:eastAsia="Atkinson Hyperlegible" w:hAnsi="Atkinson Hyperlegible"/>
          <w:sz w:val="24"/>
          <w:szCs w:val="24"/>
        </w:rPr>
        <w:t xml:space="preserve"> the cost is exactly </w:t>
      </w:r>
      <w:r>
        <w:rPr>
          <w:rFonts w:ascii="Atkinson Hyperlegible" w:cs="Atkinson Hyperlegible" w:eastAsia="Atkinson Hyperlegible" w:hAnsi="Atkinson Hyperlegible"/>
          <w:b/>
          <w:bCs/>
          <w:sz w:val="24"/>
          <w:szCs w:val="24"/>
        </w:rPr>
        <w:t xml:space="preserve">one grain of distinction — one ε-grain, α-worth, dimensionless — spent as the pruning of the alternatives not taken.</w:t>
      </w:r>
      <w:r>
        <w:rPr>
          <w:rFonts w:ascii="Atkinson Hyperlegible" w:cs="Atkinson Hyperlegible" w:eastAsia="Atkinson Hyperlegible" w:hAnsi="Atkinson Hyperlegible"/>
          <w:sz w:val="24"/>
          <w:szCs w:val="24"/>
        </w:rPr>
        <w:t xml:space="preserve"> There is a cost to turning right, and it is turning left. The world already measures this ledger’s outside face and calls it probability.</w:t>
      </w:r>
    </w:p>
    <w:p>
      <w:pPr>
        <w:spacing w:after="150" w:line="276"/>
        <w:jc w:val="both"/>
      </w:pPr>
      <w:r>
        <w:rPr>
          <w:rFonts w:ascii="Atkinson Hyperlegible" w:cs="Atkinson Hyperlegible" w:eastAsia="Atkinson Hyperlegible" w:hAnsi="Atkinson Hyperlegible"/>
          <w:sz w:val="24"/>
          <w:szCs w:val="24"/>
        </w:rP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(§9); the history with both deaths shown (§10); the refusals (§11); the switches (§12); and what moves on adoption (§13). Everything derives from the axiom outward: 1:1 + 1×ε @ AS [+1/137 | −1/137]. The one measured input remains α. No new number is predicted anywhere in this paper, and the paper says so on every face it wears.</w:t>
      </w:r>
    </w:p>
    <w:p>
      <w:pPr>
        <w:pStyle w:val="Heading1"/>
        <w:pageBreakBefore/>
        <w:spacing w:after="180" w:before="120"/>
      </w:pPr>
      <w:r>
        <w:rPr>
          <w:rFonts w:ascii="Atkinson Hyperlegible" w:cs="Atkinson Hyperlegible" w:eastAsia="Atkinson Hyperlegible" w:hAnsi="Atkinson Hyperlegible"/>
          <w:b/>
          <w:bCs/>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3</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6</w:t>
      </w:r>
    </w:p>
    <w:p>
      <w:pPr>
        <w:spacing w:after="110" w:line="276"/>
        <w:jc w:val="both"/>
      </w:pPr>
      <w:r>
        <w:rPr>
          <w:rFonts w:ascii="Atkinson Hyperlegible" w:cs="Atkinson Hyperlegible" w:eastAsia="Atkinson Hyperlegible" w:hAnsi="Atkinson Hyperlegible"/>
          <w:sz w:val="20"/>
          <w:szCs w:val="20"/>
        </w:rPr>
        <w:t xml:space="preserve">What this proof claims and refuses · the dependency table · the two-desk genesis · stratification of the switches · fences and held-open items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8</w:t>
      </w:r>
    </w:p>
    <w:p>
      <w:pPr>
        <w:spacing w:after="110" w:line="276"/>
        <w:jc w:val="both"/>
      </w:pPr>
      <w:r>
        <w:rPr>
          <w:rFonts w:ascii="Atkinson Hyperlegible" w:cs="Atkinson Hyperlegible" w:eastAsia="Atkinson Hyperlegible" w:hAnsi="Atkinson Hyperlegible"/>
          <w:sz w:val="20"/>
          <w:szCs w:val="20"/>
        </w:rPr>
        <w:t xml:space="preserve">Lineage · sliver and splinter · the grip · the blink event · the window as ledger gap · the two faces</w:t>
      </w:r>
    </w:p>
    <w:p>
      <w:pPr>
        <w:tabs>
          <w:tab w:val="right" w:pos="8500" w:leader="dot"/>
        </w:tabs>
        <w:spacing w:after="30"/>
      </w:pPr>
      <w:r>
        <w:rPr>
          <w:rFonts w:ascii="Atkinson Hyperlegible" w:cs="Atkinson Hyperlegible" w:eastAsia="Atkinson Hyperlegible" w:hAnsi="Atkinson Hyperlegible"/>
          <w:b/>
          <w:bCs/>
          <w:sz w:val="24"/>
          <w:szCs w:val="24"/>
        </w:rPr>
        <w:t xml:space="preserve">2 — The Axiom and the Two Roles of ε</w:t>
      </w:r>
      <w:r>
        <w:rPr>
          <w:rFonts w:ascii="Atkinson Hyperlegible" w:cs="Atkinson Hyperlegible" w:eastAsia="Atkinson Hyperlegible" w:hAnsi="Atkinson Hyperlegible"/>
          <w:sz w:val="24"/>
          <w:szCs w:val="24"/>
        </w:rPr>
        <w:t xml:space="preserve">	9</w:t>
      </w:r>
    </w:p>
    <w:p>
      <w:pPr>
        <w:spacing w:after="110" w:line="276"/>
        <w:jc w:val="both"/>
      </w:pPr>
      <w:r>
        <w:rPr>
          <w:rFonts w:ascii="Atkinson Hyperlegible" w:cs="Atkinson Hyperlegible" w:eastAsia="Atkinson Hyperlegible" w:hAnsi="Atkinson Hyperlegible"/>
          <w:sz w:val="20"/>
          <w:szCs w:val="20"/>
        </w:rPr>
        <w:t xml:space="preserve">The complete form · the break held, the flow cycling · one operation, two directions · the seat of the one interior, graded</w:t>
      </w:r>
    </w:p>
    <w:p>
      <w:pPr>
        <w:tabs>
          <w:tab w:val="right" w:pos="8500" w:leader="dot"/>
        </w:tabs>
        <w:spacing w:after="30"/>
      </w:pPr>
      <w:r>
        <w:rPr>
          <w:rFonts w:ascii="Atkinson Hyperlegible" w:cs="Atkinson Hyperlegible" w:eastAsia="Atkinson Hyperlegible" w:hAnsi="Atkinson Hyperlegible"/>
          <w:b/>
          <w:bCs/>
          <w:sz w:val="24"/>
          <w:szCs w:val="24"/>
        </w:rPr>
        <w:t xml:space="preserve">3 — The Event Is Singular</w:t>
      </w:r>
      <w:r>
        <w:rPr>
          <w:rFonts w:ascii="Atkinson Hyperlegible" w:cs="Atkinson Hyperlegible" w:eastAsia="Atkinson Hyperlegible" w:hAnsi="Atkinson Hyperlegible"/>
          <w:sz w:val="24"/>
          <w:szCs w:val="24"/>
        </w:rPr>
        <w:t xml:space="preserve">	10</w:t>
      </w:r>
    </w:p>
    <w:p>
      <w:pPr>
        <w:spacing w:after="110" w:line="276"/>
        <w:jc w:val="both"/>
      </w:pPr>
      <w:r>
        <w:rPr>
          <w:rFonts w:ascii="Atkinson Hyperlegible" w:cs="Atkinson Hyperlegible" w:eastAsia="Atkinson Hyperlegible" w:hAnsi="Atkinson Hyperlegible"/>
          <w:sz w:val="20"/>
          <w:szCs w:val="20"/>
        </w:rPr>
        <w:t xml:space="preserve">Break-and-snap as one reconfiguration · the free interval, real and unwitnessable · nesting · the black-hole ladder to Ø</w:t>
      </w:r>
    </w:p>
    <w:p>
      <w:pPr>
        <w:tabs>
          <w:tab w:val="right" w:pos="8500" w:leader="dot"/>
        </w:tabs>
        <w:spacing w:after="30"/>
      </w:pPr>
      <w:r>
        <w:rPr>
          <w:rFonts w:ascii="Atkinson Hyperlegible" w:cs="Atkinson Hyperlegible" w:eastAsia="Atkinson Hyperlegible" w:hAnsi="Atkinson Hyperlegible"/>
          <w:b/>
          <w:bCs/>
          <w:sz w:val="24"/>
          <w:szCs w:val="24"/>
        </w:rPr>
        <w:t xml:space="preserve">4 — The Ledger and the Toll Theorem</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ledger identity · ties heal · the least registrable win · Theorem 1 and its corollary · spent, and why the deuteron wall has nothing to bite</w:t>
      </w:r>
    </w:p>
    <w:p>
      <w:pPr>
        <w:tabs>
          <w:tab w:val="right" w:pos="8500" w:leader="dot"/>
        </w:tabs>
        <w:spacing w:after="30"/>
      </w:pPr>
      <w:r>
        <w:rPr>
          <w:rFonts w:ascii="Atkinson Hyperlegible" w:cs="Atkinson Hyperlegible" w:eastAsia="Atkinson Hyperlegible" w:hAnsi="Atkinson Hyperlegible"/>
          <w:b/>
          <w:bCs/>
          <w:sz w:val="24"/>
          <w:szCs w:val="24"/>
        </w:rPr>
        <w:t xml:space="preserve">5 — The Denomination and the Two Faces</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α by two jurisdictions · the elimination of every rival currency · energy outside, unchanged · possibility inside, where the toll lives</w:t>
      </w:r>
    </w:p>
    <w:p>
      <w:pPr>
        <w:tabs>
          <w:tab w:val="right" w:pos="8500" w:leader="dot"/>
        </w:tabs>
        <w:spacing w:after="30"/>
      </w:pPr>
      <w:r>
        <w:rPr>
          <w:rFonts w:ascii="Atkinson Hyperlegible" w:cs="Atkinson Hyperlegible" w:eastAsia="Atkinson Hyperlegible" w:hAnsi="Atkinson Hyperlegible"/>
          <w:b/>
          <w:bCs/>
          <w:sz w:val="24"/>
          <w:szCs w:val="24"/>
        </w:rPr>
        <w:t xml:space="preserve">6 — The Channels</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Twenty-one · the closing twelve and the arena’s nine · the balance ten-and-ten plus one · the overlay computed: one axis, two names</w:t>
      </w:r>
    </w:p>
    <w:p>
      <w:pPr>
        <w:tabs>
          <w:tab w:val="right" w:pos="8500" w:leader="dot"/>
        </w:tabs>
        <w:spacing w:after="30"/>
      </w:pPr>
      <w:r>
        <w:rPr>
          <w:rFonts w:ascii="Atkinson Hyperlegible" w:cs="Atkinson Hyperlegible" w:eastAsia="Atkinson Hyperlegible" w:hAnsi="Atkinson Hyperlegible"/>
          <w:b/>
          <w:bCs/>
          <w:sz w:val="24"/>
          <w:szCs w:val="24"/>
        </w:rPr>
        <w:t xml:space="preserve">7 — The Possibility Face</w:t>
      </w:r>
      <w:r>
        <w:rPr>
          <w:rFonts w:ascii="Atkinson Hyperlegible" w:cs="Atkinson Hyperlegible" w:eastAsia="Atkinson Hyperlegible" w:hAnsi="Atkinson Hyperlegible"/>
          <w:sz w:val="24"/>
          <w:szCs w:val="24"/>
        </w:rPr>
        <w:t xml:space="preserve">	14</w:t>
      </w:r>
    </w:p>
    <w:p>
      <w:pPr>
        <w:spacing w:after="110" w:line="276"/>
        <w:jc w:val="both"/>
      </w:pPr>
      <w:r>
        <w:rPr>
          <w:rFonts w:ascii="Atkinson Hyperlegible" w:cs="Atkinson Hyperlegible" w:eastAsia="Atkinson Hyperlegible" w:hAnsi="Atkinson Hyperlegible"/>
          <w:sz w:val="20"/>
          <w:szCs w:val="20"/>
        </w:rPr>
        <w:t xml:space="preserve">Availability recomputed every instant · decoherence prunes, Born weights · the Born identification, and its fence</w:t>
      </w:r>
    </w:p>
    <w:p>
      <w:pPr>
        <w:tabs>
          <w:tab w:val="right" w:pos="8500" w:leader="dot"/>
        </w:tabs>
        <w:spacing w:after="30"/>
      </w:pPr>
      <w:r>
        <w:rPr>
          <w:rFonts w:ascii="Atkinson Hyperlegible" w:cs="Atkinson Hyperlegible" w:eastAsia="Atkinson Hyperlegible" w:hAnsi="Atkinson Hyperlegible"/>
          <w:b/>
          <w:bCs/>
          <w:sz w:val="24"/>
          <w:szCs w:val="24"/>
        </w:rPr>
        <w:t xml:space="preserve">8 — The Pairing, the Mirror, and the Non-Closure</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One toll and one bump per event · The Snap as the other direction’s proof · the ledger’s global form · why the books can never close</w:t>
      </w:r>
    </w:p>
    <w:p>
      <w:pPr>
        <w:tabs>
          <w:tab w:val="right" w:pos="8500" w:leader="dot"/>
        </w:tabs>
        <w:spacing w:after="30"/>
      </w:pPr>
      <w:r>
        <w:rPr>
          <w:rFonts w:ascii="Atkinson Hyperlegible" w:cs="Atkinson Hyperlegible" w:eastAsia="Atkinson Hyperlegible" w:hAnsi="Atkinson Hyperlegible"/>
          <w:b/>
          <w:bCs/>
          <w:sz w:val="24"/>
          <w:szCs w:val="24"/>
        </w:rPr>
        <w:t xml:space="preserve">9 — The Payment of D5</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The splinter half and the flow half · one coin at two scales · what closes only at the author’s ruling</w:t>
      </w:r>
    </w:p>
    <w:p>
      <w:pPr>
        <w:tabs>
          <w:tab w:val="right" w:pos="8500" w:leader="dot"/>
        </w:tabs>
        <w:spacing w:after="30"/>
      </w:pPr>
      <w:r>
        <w:rPr>
          <w:rFonts w:ascii="Atkinson Hyperlegible" w:cs="Atkinson Hyperlegible" w:eastAsia="Atkinson Hyperlegible" w:hAnsi="Atkinson Hyperlegible"/>
          <w:b/>
          <w:bCs/>
          <w:sz w:val="24"/>
          <w:szCs w:val="24"/>
        </w:rPr>
        <w:t xml:space="preserve">10 — History and Genre, with the Deaths Shown</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The neutron quarry and KS-NPP.1 · the pre-registered execution and the corpse’s numbers · interpretive by dimension · the cage</w:t>
      </w:r>
    </w:p>
    <w:p>
      <w:pPr>
        <w:tabs>
          <w:tab w:val="right" w:pos="8500" w:leader="dot"/>
        </w:tabs>
        <w:spacing w:after="30"/>
      </w:pPr>
      <w:r>
        <w:rPr>
          <w:rFonts w:ascii="Atkinson Hyperlegible" w:cs="Atkinson Hyperlegible" w:eastAsia="Atkinson Hyperlegible" w:hAnsi="Atkinson Hyperlegible"/>
          <w:b/>
          <w:bCs/>
          <w:sz w:val="24"/>
          <w:szCs w:val="24"/>
        </w:rPr>
        <w:t xml:space="preserve">11 — What This Proof Does Not Claim</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No energy term · not α’s value · no repair · not the mirror’s outstanding piece · not a balanced axiom</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KS-BLINK.1 through KS-BLINK.4, armed at lock · KS-NPP.1, fired and shown</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 and What Moves on Adoption</w:t>
      </w:r>
      <w:r>
        <w:rPr>
          <w:rFonts w:ascii="Atkinson Hyperlegible" w:cs="Atkinson Hyperlegible" w:eastAsia="Atkinson Hyperlegible" w:hAnsi="Atkinson Hyperlegible"/>
          <w:sz w:val="24"/>
          <w:szCs w:val="24"/>
        </w:rPr>
        <w:t xml:space="preserve">	21</w:t>
      </w:r>
    </w:p>
    <w:p>
      <w:pPr>
        <w:spacing w:after="110" w:line="276"/>
        <w:jc w:val="both"/>
      </w:pPr>
      <w:r>
        <w:rPr>
          <w:rFonts w:ascii="Atkinson Hyperlegible" w:cs="Atkinson Hyperlegible" w:eastAsia="Atkinson Hyperlegible" w:hAnsi="Atkinson Hyperlegible"/>
          <w:sz w:val="20"/>
          <w:szCs w:val="20"/>
        </w:rPr>
        <w:t xml:space="preserve">Load-bearing loci · the registry’s advance · the D5 line · the wave items</w:t>
      </w:r>
    </w:p>
    <w:p>
      <w:pPr>
        <w:tabs>
          <w:tab w:val="right" w:pos="8500" w:leader="dot"/>
        </w:tabs>
        <w:spacing w:after="110"/>
      </w:pPr>
      <w:r>
        <w:rPr>
          <w:rFonts w:ascii="Atkinson Hyperlegible" w:cs="Atkinson Hyperlegible" w:eastAsia="Atkinson Hyperlegible" w:hAnsi="Atkinson Hyperlegible"/>
          <w:b/>
          <w:bCs/>
          <w:sz w:val="24"/>
          <w:szCs w:val="24"/>
        </w:rPr>
        <w:t xml:space="preserve">Claim Summary</w:t>
      </w:r>
      <w:r>
        <w:rPr>
          <w:rFonts w:ascii="Atkinson Hyperlegible" w:cs="Atkinson Hyperlegible" w:eastAsia="Atkinson Hyperlegible" w:hAnsi="Atkinson Hyperlegible"/>
          <w:sz w:val="24"/>
          <w:szCs w:val="24"/>
        </w:rPr>
        <w:t xml:space="preserve">	22</w:t>
      </w:r>
    </w:p>
    <w:p>
      <w:pPr>
        <w:tabs>
          <w:tab w:val="right" w:pos="8500" w:leader="dot"/>
        </w:tabs>
        <w:spacing w:after="110"/>
      </w:pPr>
      <w:r>
        <w:rPr>
          <w:rFonts w:ascii="Atkinson Hyperlegible" w:cs="Atkinson Hyperlegible" w:eastAsia="Atkinson Hyperlegible" w:hAnsi="Atkinson Hyperlegible"/>
          <w:b/>
          <w:bCs/>
          <w:sz w:val="24"/>
          <w:szCs w:val="24"/>
        </w:rPr>
        <w:t xml:space="preserve">Conditionality Footer</w:t>
      </w:r>
      <w:r>
        <w:rPr>
          <w:rFonts w:ascii="Atkinson Hyperlegible" w:cs="Atkinson Hyperlegible" w:eastAsia="Atkinson Hyperlegible" w:hAnsi="Atkinson Hyperlegible"/>
          <w:sz w:val="24"/>
          <w:szCs w:val="24"/>
        </w:rPr>
        <w:t xml:space="preserve">	23</w:t>
      </w:r>
    </w:p>
    <w:p>
      <w:pPr>
        <w:tabs>
          <w:tab w:val="right" w:pos="8500" w:leader="dot"/>
        </w:tabs>
        <w:spacing w:after="110"/>
      </w:pPr>
      <w:r>
        <w:rPr>
          <w:rFonts w:ascii="Atkinson Hyperlegible" w:cs="Atkinson Hyperlegible" w:eastAsia="Atkinson Hyperlegible" w:hAnsi="Atkinson Hyperlegible"/>
          <w:b/>
          <w:bCs/>
          <w:sz w:val="24"/>
          <w:szCs w:val="24"/>
        </w:rPr>
        <w:t xml:space="preserve">Notation Reference</w:t>
      </w:r>
      <w:r>
        <w:rPr>
          <w:rFonts w:ascii="Atkinson Hyperlegible" w:cs="Atkinson Hyperlegible" w:eastAsia="Atkinson Hyperlegible" w:hAnsi="Atkinson Hyperlegible"/>
          <w:sz w:val="24"/>
          <w:szCs w:val="24"/>
        </w:rPr>
        <w:t xml:space="preserve">	24</w:t>
      </w:r>
    </w:p>
    <w:p>
      <w:pPr>
        <w:pStyle w:val="Heading1"/>
        <w:pageBreakBefore/>
        <w:spacing w:after="180" w:before="120"/>
      </w:pPr>
      <w:r>
        <w:rPr>
          <w:rFonts w:ascii="Atkinson Hyperlegible" w:cs="Atkinson Hyperlegible" w:eastAsia="Atkinson Hyperlegible" w:hAnsi="Atkinson Hyperlegible"/>
          <w:b/>
          <w:bCs/>
          <w:sz w:val="40"/>
          <w:szCs w:val="40"/>
        </w:rPr>
        <w:t xml:space="preserve">0 — Dependency and Scope</w:t>
      </w:r>
    </w:p>
    <w:p>
      <w:pPr>
        <w:pStyle w:val="Heading2"/>
        <w:spacing w:after="110" w:before="220"/>
      </w:pPr>
      <w:r>
        <w:rPr>
          <w:rFonts w:ascii="Atkinson Hyperlegible" w:cs="Atkinson Hyperlegible" w:eastAsia="Atkinson Hyperlegible" w:hAnsi="Atkinson Hyperlegible"/>
          <w:b/>
          <w:bCs/>
          <w:sz w:val="32"/>
          <w:szCs w:val="32"/>
        </w:rPr>
        <w:t xml:space="preserve">0.1 — What this proof claims, and what it refuses</w:t>
      </w:r>
    </w:p>
    <w:p>
      <w:pPr>
        <w:spacing w:after="150" w:line="276"/>
        <w:jc w:val="both"/>
      </w:pPr>
      <w:r>
        <w:rPr>
          <w:rFonts w:ascii="Atkinson Hyperlegible" w:cs="Atkinson Hyperlegible" w:eastAsia="Atkinson Hyperlegible" w:hAnsi="Atkinson Hyperlegible"/>
          <w:sz w:val="24"/>
          <w:szCs w:val="24"/>
        </w:rP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and that the axiom’s ledger can never perfectly balance, on the axiom’s own terms. Refused, in advance and in §11: any new term in any energy budget at any size; any prediction of a probability deviation; any derivation of α’s value; any repair of any fired switch; and any contact with any standing measured number.</w:t>
      </w:r>
    </w:p>
    <w:p>
      <w:pPr>
        <w:pStyle w:val="Heading2"/>
        <w:spacing w:after="110" w:before="220"/>
      </w:pPr>
      <w:r>
        <w:rPr>
          <w:rFonts w:ascii="Atkinson Hyperlegible" w:cs="Atkinson Hyperlegible" w:eastAsia="Atkinson Hyperlegible" w:hAnsi="Atkinson Hyperlegible"/>
          <w:b/>
          <w:bCs/>
          <w:sz w:val="32"/>
          <w:szCs w:val="32"/>
        </w:rPr>
        <w:t xml:space="preserve">0.2 — The dependency table</w:t>
      </w:r>
    </w:p>
    <w:p>
      <w:pPr>
        <w:spacing w:after="150" w:line="276"/>
        <w:jc w:val="both"/>
      </w:pPr>
      <w:r>
        <w:rPr>
          <w:rFonts w:ascii="Atkinson Hyperlegible" w:cs="Atkinson Hyperlegible" w:eastAsia="Atkinson Hyperlegible" w:hAnsi="Atkinson Hyperlegible"/>
          <w:b/>
          <w:bCs/>
          <w:sz w:val="24"/>
          <w:szCs w:val="24"/>
        </w:rPr>
        <w:t xml:space="preserve">AP44 (The Snap, LOCKED 9.3)</w:t>
      </w:r>
      <w:r>
        <w:rPr>
          <w:rFonts w:ascii="Atkinson Hyperlegible" w:cs="Atkinson Hyperlegible" w:eastAsia="Atkinson Hyperlegible" w:hAnsi="Atkinson Hyperlegible"/>
          <w:sz w:val="24"/>
          <w:szCs w:val="24"/>
        </w:rPr>
        <w:t xml:space="preserve"> — the + direction’s once-held arena commitment; the companion proof; load-bearing for §8. </w:t>
      </w:r>
      <w:r>
        <w:rPr>
          <w:rFonts w:ascii="Atkinson Hyperlegible" w:cs="Atkinson Hyperlegible" w:eastAsia="Atkinson Hyperlegible" w:hAnsi="Atkinson Hyperlegible"/>
          <w:b/>
          <w:bCs/>
          <w:sz w:val="24"/>
          <w:szCs w:val="24"/>
        </w:rPr>
        <w:t xml:space="preserve">AP43 (The Gravity of Possibilities, FINAL v3)</w:t>
      </w:r>
      <w:r>
        <w:rPr>
          <w:rFonts w:ascii="Atkinson Hyperlegible" w:cs="Atkinson Hyperlegible" w:eastAsia="Atkinson Hyperlegible" w:hAnsi="Atkinson Hyperlegible"/>
          <w:sz w:val="24"/>
          <w:szCs w:val="24"/>
        </w:rPr>
        <w:t xml:space="preserve"> — D5, the per-instant cost owed a formal account; the splinter held from the first break, global, never per-transit (Premise 2); ε identified with the electron under The Lock (Edition 04 — Rosin Chapter 3); load-bearing for §§2, 9. </w:t>
      </w:r>
      <w:r>
        <w:rPr>
          <w:rFonts w:ascii="Atkinson Hyperlegible" w:cs="Atkinson Hyperlegible" w:eastAsia="Atkinson Hyperlegible" w:hAnsi="Atkinson Hyperlegible"/>
          <w:b/>
          <w:bCs/>
          <w:sz w:val="24"/>
          <w:szCs w:val="24"/>
        </w:rPr>
        <w:t xml:space="preserve">Ø Dissolutions (the Axiom chapter; Chapter 11)</w:t>
      </w:r>
      <w:r>
        <w:rPr>
          <w:rFonts w:ascii="Atkinson Hyperlegible" w:cs="Atkinson Hyperlegible" w:eastAsia="Atkinson Hyperlegible" w:hAnsi="Atkinson Hyperlegible"/>
          <w:sz w:val="24"/>
          <w:szCs w:val="24"/>
        </w:rPr>
        <w:t xml:space="preserve"> — the complete axiom [+1/137 | −1/137]; the flow as one operation read from two directions, writing and releasing; the break as what holds S open, whose closing back would collapse the structure into undifferentiated Ø; every site a local reading of the one AS; load-bearing for §§2, 3, 8. </w:t>
      </w: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 the twenty-one channels, eighteen face-projections plus three actualisation gates; α as the per-channel coupling; load-bearing for §§5, 6. </w:t>
      </w:r>
      <w:r>
        <w:rPr>
          <w:rFonts w:ascii="Atkinson Hyperlegible" w:cs="Atkinson Hyperlegible" w:eastAsia="Atkinson Hyperlegible" w:hAnsi="Atkinson Hyperlegible"/>
          <w:b/>
          <w:bCs/>
          <w:sz w:val="24"/>
          <w:szCs w:val="24"/>
        </w:rPr>
        <w:t xml:space="preserve">AP29 (The Actualization Proof, FINAL v2)</w:t>
      </w:r>
      <w:r>
        <w:rPr>
          <w:rFonts w:ascii="Atkinson Hyperlegible" w:cs="Atkinson Hyperlegible" w:eastAsia="Atkinson Hyperlegible" w:hAnsi="Atkinson Hyperlegible"/>
          <w:sz w:val="24"/>
          <w:szCs w:val="24"/>
        </w:rPr>
        <w:t xml:space="preserve"> — awareness as the coupling capacity the break creates; E ≡ κ(B)AS; load-bearing for §5’s reading and §2’s interpretive note. </w:t>
      </w: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 the leakage stream as the structural reading of ordinary persistence; the rate semantics; load-bearing for §4. </w:t>
      </w:r>
      <w:r>
        <w:rPr>
          <w:rFonts w:ascii="Atkinson Hyperlegible" w:cs="Atkinson Hyperlegible" w:eastAsia="Atkinson Hyperlegible" w:hAnsi="Atkinson Hyperlegible"/>
          <w:b/>
          <w:bCs/>
          <w:sz w:val="24"/>
          <w:szCs w:val="24"/>
        </w:rPr>
        <w:t xml:space="preserve">AP19 §3 (The Silent Pop)</w:t>
      </w:r>
      <w:r>
        <w:rPr>
          <w:rFonts w:ascii="Atkinson Hyperlegible" w:cs="Atkinson Hyperlegible" w:eastAsia="Atkinson Hyperlegible" w:hAnsi="Atkinson Hyperlegible"/>
          <w:sz w:val="24"/>
          <w:szCs w:val="24"/>
        </w:rPr>
        <w:t xml:space="preserve"> — the origin’s phenomenology: the break, the orientation, the superposition before collapse; load-bearing for §3’s inheritance sketch. </w:t>
      </w:r>
      <w:r>
        <w:rPr>
          <w:rFonts w:ascii="Atkinson Hyperlegible" w:cs="Atkinson Hyperlegible" w:eastAsia="Atkinson Hyperlegible" w:hAnsi="Atkinson Hyperlegible"/>
          <w:b/>
          <w:bCs/>
          <w:sz w:val="24"/>
          <w:szCs w:val="24"/>
        </w:rPr>
        <w:t xml:space="preserve">The Blink family record (the series of record):</w:t>
      </w:r>
      <w:r>
        <w:rPr>
          <w:rFonts w:ascii="Atkinson Hyperlegible" w:cs="Atkinson Hyperlegible" w:eastAsia="Atkinson Hyperlegible" w:hAnsi="Atkinson Hyperlegible"/>
          <w:sz w:val="24"/>
          <w:szCs w:val="24"/>
        </w:rPr>
        <w:t xml:space="preserve">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 The production desk’s intake documents — the Intake Freeze (19eea887…) and the lemma drafts (latest 361240be…) — are cross-referenced as intake; where the two desks’ documents state one ruling in two registers, the series of record governs and the readings agree.</w:t>
      </w:r>
    </w:p>
    <w:p>
      <w:pPr>
        <w:pStyle w:val="Heading2"/>
        <w:spacing w:after="110" w:before="220"/>
      </w:pPr>
      <w:r>
        <w:rPr>
          <w:rFonts w:ascii="Atkinson Hyperlegible" w:cs="Atkinson Hyperlegible" w:eastAsia="Atkinson Hyperlegible" w:hAnsi="Atkinson Hyperlegible"/>
          <w:b/>
          <w:bCs/>
          <w:sz w:val="32"/>
          <w:szCs w:val="32"/>
        </w:rPr>
        <w:t xml:space="preserve">0.3 — The genesis, and where the trail is</w:t>
      </w:r>
    </w:p>
    <w:p>
      <w:pPr>
        <w:spacing w:after="150" w:line="276"/>
        <w:jc w:val="both"/>
      </w:pPr>
      <w:r>
        <w:rPr>
          <w:rFonts w:ascii="Atkinson Hyperlegible" w:cs="Atkinson Hyperlegible" w:eastAsia="Atkinson Hyperlegible" w:hAnsi="Atkinson Hyperlegible"/>
          <w:sz w:val="24"/>
          <w:szCs w:val="24"/>
        </w:rPr>
        <w:t xml:space="preserve">This proof was produced by one author working two desks in parallel — the pattern locked into the corpus by AP44 — with every ruling relayed by the author between them, every intermediate hashed, and both deaths in the record published with the same care as the survivals. The complete provenance lives in the family record above and in the author’s thread exports; the honest history is §10 of this paper, in the body, where it belongs.</w:t>
      </w:r>
    </w:p>
    <w:p>
      <w:pPr>
        <w:pStyle w:val="Heading2"/>
        <w:spacing w:after="110" w:before="220"/>
      </w:pPr>
      <w:r>
        <w:rPr>
          <w:rFonts w:ascii="Atkinson Hyperlegible" w:cs="Atkinson Hyperlegible" w:eastAsia="Atkinson Hyperlegible" w:hAnsi="Atkinson Hyperlegible"/>
          <w:b/>
          <w:bCs/>
          <w:sz w:val="32"/>
          <w:szCs w:val="32"/>
        </w:rPr>
        <w:t>0.4 — Stratification of the switches, so no reader has to sort the pile</w:t>
      </w:r>
    </w:p>
    <w:p>
      <w:pPr>
        <w:spacing w:after="150" w:line="276"/>
        <w:jc w:val="both"/>
      </w:pPr>
      <w:r>
        <w:rPr>
          <w:rFonts w:ascii="Atkinson Hyperlegible" w:cs="Atkinson Hyperlegible" w:eastAsia="Atkinson Hyperlegible" w:hAnsi="Atkinson Hyperlegible"/>
          <w:sz w:val="24"/>
          <w:szCs w:val="24"/>
        </w:rPr>
        <w:t xml:space="preserve">Of the four switches this proof arms, </w:t>
      </w:r>
      <w:r>
        <w:rPr>
          <w:rFonts w:ascii="Atkinson Hyperlegible" w:cs="Atkinson Hyperlegible" w:eastAsia="Atkinson Hyperlegible" w:hAnsi="Atkinson Hyperlegible"/>
          <w:b/>
          <w:bCs/>
          <w:sz w:val="24"/>
          <w:szCs w:val="24"/>
        </w:rPr>
        <w:t xml:space="preserve">none is fireable by tomorrow’s experiment</w:t>
      </w:r>
      <w:r>
        <w:rPr>
          <w:rFonts w:ascii="Atkinson Hyperlegible" w:cs="Atkinson Hyperlegible" w:eastAsia="Atkinson Hyperlegible" w:hAnsi="Atkinson Hyperlegible"/>
          <w:sz w:val="24"/>
          <w:szCs w:val="24"/>
        </w:rPr>
        <w:t xml:space="preserve">, and the paper says so before anyone asks: KS-BLINK.1, .2, and .4 are fireable by </w:t>
      </w:r>
      <w:r>
        <w:rPr>
          <w:rFonts w:ascii="Atkinson Hyperlegible" w:cs="Atkinson Hyperlegible" w:eastAsia="Atkinson Hyperlegible" w:hAnsi="Atkinson Hyperlegible"/>
          <w:b/>
          <w:bCs/>
          <w:sz w:val="24"/>
          <w:szCs w:val="24"/>
        </w:rPr>
        <w:t xml:space="preserve">the corpus’s own future formalism</w:t>
      </w:r>
      <w:r>
        <w:rPr>
          <w:rFonts w:ascii="Atkinson Hyperlegible" w:cs="Atkinson Hyperlegible" w:eastAsia="Atkinson Hyperlegible" w:hAnsi="Atkinson Hyperlegible"/>
          <w:sz w:val="24"/>
          <w:szCs w:val="24"/>
        </w:rPr>
        <w:t xml:space="preserve"> — D-CCC.1’s record algebra, when written, can kill the theorem’s premise, the Born identification, or the count — and KS-BLINK.3 is </w:t>
      </w:r>
      <w:r>
        <w:rPr>
          <w:rFonts w:ascii="Atkinson Hyperlegible" w:cs="Atkinson Hyperlegible" w:eastAsia="Atkinson Hyperlegible" w:hAnsi="Atkinson Hyperlegible"/>
          <w:b/>
          <w:bCs/>
          <w:sz w:val="24"/>
          <w:szCs w:val="24"/>
        </w:rPr>
        <w:t xml:space="preserve">methodological</w:t>
      </w:r>
      <w:r>
        <w:rPr>
          <w:rFonts w:ascii="Atkinson Hyperlegible" w:cs="Atkinson Hyperlegible" w:eastAsia="Atkinson Hyperlegible" w:hAnsi="Atkinson Hyperlegible"/>
          <w:sz w:val="24"/>
          <w:szCs w:val="24"/>
        </w:rPr>
        <w:t xml:space="preserve">, binding the claim in the sovereignty pattern of KS-CCC.1. The family’s nature-facing test already ran: the pre-registered headroom execution of 16 August, whose additional-energy reading died by five to ten orders of magnitude and whose record is shown in §10. A proof whose empirical limb has already been executed and honestly buried, and whose remaining switches hang on its own future rigour, is exactly what it says it is: structure, graded, with its corpse on the table.</w:t>
      </w:r>
    </w:p>
    <w:p>
      <w:pPr>
        <w:pStyle w:val="Heading2"/>
        <w:spacing w:after="110" w:before="220"/>
      </w:pPr>
      <w:r>
        <w:rPr>
          <w:rFonts w:ascii="Atkinson Hyperlegible" w:cs="Atkinson Hyperlegible" w:eastAsia="Atkinson Hyperlegible" w:hAnsi="Atkinson Hyperlegible"/>
          <w:b/>
          <w:bCs/>
          <w:sz w:val="32"/>
          <w:szCs w:val="32"/>
        </w:rPr>
        <w:t>0.5 — Fences, and items held open</w:t>
      </w:r>
    </w:p>
    <w:p>
      <w:pPr>
        <w:spacing w:after="150" w:line="276"/>
        <w:jc w:val="both"/>
      </w:pPr>
      <w:r>
        <w:rPr>
          <w:rFonts w:ascii="Atkinson Hyperlegible" w:cs="Atkinson Hyperlegible" w:eastAsia="Atkinson Hyperlegible" w:hAnsi="Atkinson Hyperlegible"/>
          <w:sz w:val="24"/>
          <w:szCs w:val="24"/>
        </w:rPr>
        <w:t xml:space="preserve">Standing on this proof’s own hash: the count is sacred — one grain per event, no fraction, no knob, regardless of the crowd. No connection is computed, suggested, or entertained between anything here and any standing measured number — not AP44’s residuals, not the proton freeze’s, not KS-NPP.1’s miss — without a prior forcing argument hashed first. The no-deviation fence: this proof claims no departure from Born statistics anywhere, ever; a deviation-claim would be a new family owing its own forcing argument. Identity, never fraction, wherever the family touches locked cosmology; the 10:10 + 1 licenses no fraction and has no connection of any kind to AP44 §10’s fenced 20/21. Held open, named: </w:t>
      </w:r>
      <w:r>
        <w:rPr>
          <w:rFonts w:ascii="Atkinson Hyperlegible" w:cs="Atkinson Hyperlegible" w:eastAsia="Atkinson Hyperlegible" w:hAnsi="Atkinson Hyperlegible"/>
          <w:b/>
          <w:bCs/>
          <w:sz w:val="24"/>
          <w:szCs w:val="24"/>
        </w:rPr>
        <w:t xml:space="preserve">D-BLINK.1</w:t>
      </w:r>
      <w:r>
        <w:rPr>
          <w:rFonts w:ascii="Atkinson Hyperlegible" w:cs="Atkinson Hyperlegible" w:eastAsia="Atkinson Hyperlegible" w:hAnsi="Atkinson Hyperlegible"/>
          <w:sz w:val="24"/>
          <w:szCs w:val="24"/>
        </w:rPr>
        <w:t xml:space="preserve"> — the record-algebra formalisation of ties-heal and the ledger, inherited jointly with D-CCC.1; </w:t>
      </w:r>
      <w:r>
        <w:rPr>
          <w:rFonts w:ascii="Atkinson Hyperlegible" w:cs="Atkinson Hyperlegible" w:eastAsia="Atkinson Hyperlegible" w:hAnsi="Atkinson Hyperlegible"/>
          <w:b/>
          <w:bCs/>
          <w:sz w:val="24"/>
          <w:szCs w:val="24"/>
        </w:rPr>
        <w:t xml:space="preserve">D-BLINK.2</w:t>
      </w:r>
      <w:r>
        <w:rPr>
          <w:rFonts w:ascii="Atkinson Hyperlegible" w:cs="Atkinson Hyperlegible" w:eastAsia="Atkinson Hyperlegible" w:hAnsi="Atkinson Hyperlegible"/>
          <w:sz w:val="24"/>
          <w:szCs w:val="24"/>
        </w:rPr>
        <w:t xml:space="preserve"> — cycle existence for §8’s closed-cycle clause; </w:t>
      </w:r>
      <w:r>
        <w:rPr>
          <w:rFonts w:ascii="Atkinson Hyperlegible" w:cs="Atkinson Hyperlegible" w:eastAsia="Atkinson Hyperlegible" w:hAnsi="Atkinson Hyperlegible"/>
          <w:b/>
          <w:bCs/>
          <w:sz w:val="24"/>
          <w:szCs w:val="24"/>
        </w:rPr>
        <w:t xml:space="preserve">D-BLINK.3</w:t>
      </w:r>
      <w:r>
        <w:rPr>
          <w:rFonts w:ascii="Atkinson Hyperlegible" w:cs="Atkinson Hyperlegible" w:eastAsia="Atkinson Hyperlegible" w:hAnsi="Atkinson Hyperlegible"/>
          <w:sz w:val="24"/>
          <w:szCs w:val="24"/>
        </w:rPr>
        <w:t xml:space="preserve"> — the resistance-side energy-face piece whose existence the fired KS-NPP.1 honestly suggests, behind the fence dated 16 August, derivable if ever from structure alone, computed once, blind, entering as new and never as repair; and the balance-impossibility conjecture, registered with its reason, awaiting the algebra.</w:t>
      </w:r>
    </w:p>
    <w:p>
      <w:pPr>
        <w:pStyle w:val="Heading1"/>
        <w:pageBreakBefore/>
        <w:spacing w:after="180" w:before="120"/>
      </w:pPr>
      <w:r>
        <w:rPr>
          <w:rFonts w:ascii="Atkinson Hyperlegible" w:cs="Atkinson Hyperlegible" w:eastAsia="Atkinson Hyperlegible" w:hAnsi="Atkinson Hyperlegible"/>
          <w:b/>
          <w:bCs/>
          <w:sz w:val="40"/>
          <w:szCs w:val="40"/>
        </w:rPr>
        <w:t xml:space="preserve">1 — Definitions</w:t>
      </w:r>
    </w:p>
    <w:p>
      <w:pPr>
        <w:spacing w:after="150" w:line="276"/>
        <w:jc w:val="both"/>
      </w:pPr>
      <w:r>
        <w:rPr>
          <w:rFonts w:ascii="Atkinson Hyperlegible" w:cs="Atkinson Hyperlegible" w:eastAsia="Atkinson Hyperlegible" w:hAnsi="Atkinson Hyperlegible"/>
          <w:b/>
          <w:bCs/>
          <w:sz w:val="24"/>
          <w:szCs w:val="24"/>
        </w:rPr>
        <w:t xml:space="preserve">Lineage.</w:t>
      </w:r>
      <w:r>
        <w:rPr>
          <w:rFonts w:ascii="Atkinson Hyperlegible" w:cs="Atkinson Hyperlegible" w:eastAsia="Atkinson Hyperlegible" w:hAnsi="Atkinson Hyperlegible"/>
          <w:sz w:val="24"/>
          <w:szCs w:val="24"/>
        </w:rPr>
        <w:t xml:space="preserve"> An ε under its identity-as-history. The lineage is the identity; nothing travels the gap except the record history’s claim on what can come back.</w:t>
      </w:r>
    </w:p>
    <w:p>
      <w:pPr>
        <w:spacing w:after="150" w:line="276"/>
        <w:jc w:val="both"/>
      </w:pPr>
      <w:r>
        <w:rPr>
          <w:rFonts w:ascii="Atkinson Hyperlegible" w:cs="Atkinson Hyperlegible" w:eastAsia="Atkinson Hyperlegible" w:hAnsi="Atkinson Hyperlegible"/>
          <w:b/>
          <w:bCs/>
          <w:sz w:val="24"/>
          <w:szCs w:val="24"/>
        </w:rPr>
        <w:t xml:space="preserve">Splinter and sliver.</w:t>
      </w:r>
      <w:r>
        <w:rPr>
          <w:rFonts w:ascii="Atkinson Hyperlegible" w:cs="Atkinson Hyperlegible" w:eastAsia="Atkinson Hyperlegible" w:hAnsi="Atkinson Hyperlegible"/>
          <w:sz w:val="24"/>
          <w:szCs w:val="24"/>
        </w:rPr>
        <w:t xml:space="preserve"> The </w:t>
      </w:r>
      <w:r>
        <w:rPr>
          <w:rFonts w:ascii="Atkinson Hyperlegible" w:cs="Atkinson Hyperlegible" w:eastAsia="Atkinson Hyperlegible" w:hAnsi="Atkinson Hyperlegible"/>
          <w:b/>
          <w:bCs/>
          <w:sz w:val="24"/>
          <w:szCs w:val="24"/>
        </w:rPr>
        <w:t xml:space="preserve">splinter</w:t>
      </w:r>
      <w:r>
        <w:rPr>
          <w:rFonts w:ascii="Atkinson Hyperlegible" w:cs="Atkinson Hyperlegible" w:eastAsia="Atkinson Hyperlegible" w:hAnsi="Atkinson Hyperlegible"/>
          <w:sz w:val="24"/>
          <w:szCs w:val="24"/>
        </w:rPr>
        <w:t xml:space="preserve"> is the break’s one +1×ε — held, singular, never returning: the axiom’s standing excess. A </w:t>
      </w:r>
      <w:r>
        <w:rPr>
          <w:rFonts w:ascii="Atkinson Hyperlegible" w:cs="Atkinson Hyperlegible" w:eastAsia="Atkinson Hyperlegible" w:hAnsi="Atkinson Hyperlegible"/>
          <w:b/>
          <w:bCs/>
          <w:sz w:val="24"/>
          <w:szCs w:val="24"/>
        </w:rPr>
        <w:t xml:space="preserve">sliver</w:t>
      </w:r>
      <w:r>
        <w:rPr>
          <w:rFonts w:ascii="Atkinson Hyperlegible" w:cs="Atkinson Hyperlegible" w:eastAsia="Atkinson Hyperlegible" w:hAnsi="Atkinson Hyperlegible"/>
          <w:sz w:val="24"/>
          <w:szCs w:val="24"/>
        </w:rPr>
        <w:t xml:space="preserve"> is a flow-traveler: the per-event grain that pops free at a break and returns at a snap. Two words, two roles, never conflated.</w:t>
      </w:r>
    </w:p>
    <w:p>
      <w:pPr>
        <w:spacing w:after="150" w:line="276"/>
        <w:jc w:val="both"/>
      </w:pPr>
      <w:r>
        <w:rPr>
          <w:rFonts w:ascii="Atkinson Hyperlegible" w:cs="Atkinson Hyperlegible" w:eastAsia="Atkinson Hyperlegible" w:hAnsi="Atkinson Hyperlegible"/>
          <w:b/>
          <w:bCs/>
          <w:sz w:val="24"/>
          <w:szCs w:val="24"/>
        </w:rPr>
        <w:t xml:space="preserve">The grip.</w:t>
      </w:r>
      <w:r>
        <w:rPr>
          <w:rFonts w:ascii="Atkinson Hyperlegible" w:cs="Atkinson Hyperlegible" w:eastAsia="Atkinson Hyperlegible" w:hAnsi="Atkinson Hyperlegible"/>
          <w:sz w:val="24"/>
          <w:szCs w:val="24"/>
        </w:rP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pPr>
        <w:spacing w:after="150" w:line="276"/>
        <w:jc w:val="both"/>
      </w:pPr>
      <w:r>
        <w:rPr>
          <w:rFonts w:ascii="Atkinson Hyperlegible" w:cs="Atkinson Hyperlegible" w:eastAsia="Atkinson Hyperlegible" w:hAnsi="Atkinson Hyperlegible"/>
          <w:b/>
          <w:bCs/>
          <w:sz w:val="24"/>
          <w:szCs w:val="24"/>
        </w:rPr>
        <w:t xml:space="preserve">The blink event.</w:t>
      </w:r>
      <w:r>
        <w:rPr>
          <w:rFonts w:ascii="Atkinson Hyperlegible" w:cs="Atkinson Hyperlegible" w:eastAsia="Atkinson Hyperlegible" w:hAnsi="Atkinson Hyperlegible"/>
          <w:sz w:val="24"/>
          <w:szCs w:val="24"/>
        </w:rPr>
        <w:t xml:space="preserve"> One singular reconfiguration: break-and-snap as one event, defined at grip level — each grip that opens is one blink; grips nest, so blinks nest, each level paying its own single toll.</w:t>
      </w:r>
    </w:p>
    <w:p>
      <w:pPr>
        <w:spacing w:after="150" w:line="276"/>
        <w:jc w:val="both"/>
      </w:pPr>
      <w:r>
        <w:rPr>
          <w:rFonts w:ascii="Atkinson Hyperlegible" w:cs="Atkinson Hyperlegible" w:eastAsia="Atkinson Hyperlegible" w:hAnsi="Atkinson Hyperlegible"/>
          <w:b/>
          <w:bCs/>
          <w:sz w:val="24"/>
          <w:szCs w:val="24"/>
        </w:rPr>
        <w:t xml:space="preserve">The window.</w:t>
      </w:r>
      <w:r>
        <w:rPr>
          <w:rFonts w:ascii="Atkinson Hyperlegible" w:cs="Atkinson Hyperlegible" w:eastAsia="Atkinson Hyperlegible" w:hAnsi="Atkinson Hyperlegible"/>
          <w:sz w:val="24"/>
          <w:szCs w:val="24"/>
        </w:rPr>
        <w:t xml:space="preserve"> Not a lived interior: a </w:t>
      </w:r>
      <w:r>
        <w:rPr>
          <w:rFonts w:ascii="Atkinson Hyperlegible" w:cs="Atkinson Hyperlegible" w:eastAsia="Atkinson Hyperlegible" w:hAnsi="Atkinson Hyperlegible"/>
          <w:b/>
          <w:bCs/>
          <w:sz w:val="24"/>
          <w:szCs w:val="24"/>
        </w:rPr>
        <w:t xml:space="preserve">ledger gap</w:t>
      </w:r>
      <w:r>
        <w:rPr>
          <w:rFonts w:ascii="Atkinson Hyperlegible" w:cs="Atkinson Hyperlegible" w:eastAsia="Atkinson Hyperlegible" w:hAnsi="Atkinson Hyperlegible"/>
          <w:sz w:val="24"/>
          <w:szCs w:val="24"/>
        </w:rPr>
        <w:t xml:space="preserve"> — the count w ≥ 1 of sheds missing between the last held instant and the next. The event is one; w counts absence.</w:t>
      </w:r>
    </w:p>
    <w:p>
      <w:pPr>
        <w:spacing w:after="150" w:line="276"/>
        <w:jc w:val="both"/>
      </w:pPr>
      <w:r>
        <w:rPr>
          <w:rFonts w:ascii="Atkinson Hyperlegible" w:cs="Atkinson Hyperlegible" w:eastAsia="Atkinson Hyperlegible" w:hAnsi="Atkinson Hyperlegible"/>
          <w:b/>
          <w:bCs/>
          <w:sz w:val="24"/>
          <w:szCs w:val="24"/>
        </w:rPr>
        <w:t xml:space="preserve">The two faces.</w:t>
      </w:r>
      <w:r>
        <w:rPr>
          <w:rFonts w:ascii="Atkinson Hyperlegible" w:cs="Atkinson Hyperlegible" w:eastAsia="Atkinson Hyperlegible" w:hAnsi="Atkinson Hyperlegible"/>
          <w:sz w:val="24"/>
          <w:szCs w:val="24"/>
        </w:rPr>
        <w:t xml:space="preserve"> Every blink’s cost has an </w:t>
      </w:r>
      <w:r>
        <w:rPr>
          <w:rFonts w:ascii="Atkinson Hyperlegible" w:cs="Atkinson Hyperlegible" w:eastAsia="Atkinson Hyperlegible" w:hAnsi="Atkinson Hyperlegible"/>
          <w:b/>
          <w:bCs/>
          <w:sz w:val="24"/>
          <w:szCs w:val="24"/>
        </w:rPr>
        <w:t xml:space="preserve">energy face</w:t>
      </w:r>
      <w:r>
        <w:rPr>
          <w:rFonts w:ascii="Atkinson Hyperlegible" w:cs="Atkinson Hyperlegible" w:eastAsia="Atkinson Hyperlegible" w:hAnsi="Atkinson Hyperlegible"/>
          <w:sz w:val="24"/>
          <w:szCs w:val="24"/>
        </w:rPr>
        <w:t xml:space="preserve"> — outside, ordinary, unchanged — and a </w:t>
      </w:r>
      <w:r>
        <w:rPr>
          <w:rFonts w:ascii="Atkinson Hyperlegible" w:cs="Atkinson Hyperlegible" w:eastAsia="Atkinson Hyperlegible" w:hAnsi="Atkinson Hyperlegible"/>
          <w:b/>
          <w:bCs/>
          <w:sz w:val="24"/>
          <w:szCs w:val="24"/>
        </w:rPr>
        <w:t xml:space="preserve">possibility face</w:t>
      </w:r>
      <w:r>
        <w:rPr>
          <w:rFonts w:ascii="Atkinson Hyperlegible" w:cs="Atkinson Hyperlegible" w:eastAsia="Atkinson Hyperlegible" w:hAnsi="Atkinson Hyperlegible"/>
          <w:sz w:val="24"/>
          <w:szCs w:val="24"/>
        </w:rPr>
        <w:t xml:space="preserve"> — inside, dimensionless, where the toll lives.</w:t>
      </w:r>
    </w:p>
    <w:p>
      <w:pPr>
        <w:pStyle w:val="Heading1"/>
        <w:pageBreakBefore/>
        <w:spacing w:after="180" w:before="120"/>
      </w:pPr>
      <w:r>
        <w:rPr>
          <w:rFonts w:ascii="Atkinson Hyperlegible" w:cs="Atkinson Hyperlegible" w:eastAsia="Atkinson Hyperlegible" w:hAnsi="Atkinson Hyperlegible"/>
          <w:b/>
          <w:bCs/>
          <w:sz w:val="40"/>
          <w:szCs w:val="40"/>
        </w:rPr>
        <w:t xml:space="preserve">2 — The Axiom and the Two Roles of ε</w:t>
      </w:r>
    </w:p>
    <w:p>
      <w:pPr>
        <w:spacing w:after="150" w:line="276"/>
        <w:jc w:val="both"/>
      </w:pPr>
      <w:r>
        <w:rPr>
          <w:rFonts w:ascii="Atkinson Hyperlegible" w:cs="Atkinson Hyperlegible" w:eastAsia="Atkinson Hyperlegible" w:hAnsi="Atkinson Hyperlegible"/>
          <w:sz w:val="24"/>
          <w:szCs w:val="24"/>
        </w:rPr>
        <w:t xml:space="preserve">Written completely, the cycle that runs at AS is </w:t>
      </w:r>
      <w:r>
        <w:rPr>
          <w:rFonts w:ascii="Atkinson Hyperlegible" w:cs="Atkinson Hyperlegible" w:eastAsia="Atkinson Hyperlegible" w:hAnsi="Atkinson Hyperlegible"/>
          <w:b/>
          <w:bCs/>
          <w:sz w:val="24"/>
          <w:szCs w:val="24"/>
        </w:rPr>
        <w:t xml:space="preserve">1:1 + 1×ε @ AS [+1/137 | −1/137]</w:t>
      </w:r>
      <w:r>
        <w:rPr>
          <w:rFonts w:ascii="Atkinson Hyperlegible" w:cs="Atkinson Hyperlegible" w:eastAsia="Atkinson Hyperlegible" w:hAnsi="Atkinson Hyperlegible"/>
          <w:sz w:val="24"/>
          <w:szCs w:val="24"/>
        </w:rPr>
        <w:t xml:space="preserve">. The break — the single +1×ε — is the persistent distinction potential: held, never cycling, what keeps S open; closing back would collapse the symmetric-with-distinction structure into undifferentiated Ø. The flow — ±1/137 — is </w:t>
      </w:r>
      <w:r>
        <w:rPr>
          <w:rFonts w:ascii="Atkinson Hyperlegible" w:cs="Atkinson Hyperlegible" w:eastAsia="Atkinson Hyperlegible" w:hAnsi="Atkinson Hyperlegible"/>
          <w:b/>
          <w:bCs/>
          <w:sz w:val="24"/>
          <w:szCs w:val="24"/>
        </w:rPr>
        <w:t xml:space="preserve">one operation read from two directions</w:t>
      </w:r>
      <w:r>
        <w:rPr>
          <w:rFonts w:ascii="Atkinson Hyperlegible" w:cs="Atkinson Hyperlegible" w:eastAsia="Atkinson Hyperlegible" w:hAnsi="Atkinson Hyperlegible"/>
          <w:sz w:val="24"/>
          <w:szCs w:val="24"/>
        </w:rP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pPr>
        <w:spacing w:after="150" w:line="276"/>
        <w:jc w:val="both"/>
      </w:pPr>
      <w:r>
        <w:rPr>
          <w:rFonts w:ascii="Atkinson Hyperlegible" w:cs="Atkinson Hyperlegible" w:eastAsia="Atkinson Hyperlegible" w:hAnsi="Atkinson Hyperlegible"/>
          <w:sz w:val="24"/>
          <w:szCs w:val="24"/>
        </w:rPr>
        <w:t xml:space="preserve">Two ε-roles therefore run through everything below and are never conflated. The splinter pays </w:t>
      </w:r>
      <w:r>
        <w:rPr>
          <w:rFonts w:ascii="Atkinson Hyperlegible" w:cs="Atkinson Hyperlegible" w:eastAsia="Atkinson Hyperlegible" w:hAnsi="Atkinson Hyperlegible"/>
          <w:b/>
          <w:bCs/>
          <w:sz w:val="24"/>
          <w:szCs w:val="24"/>
        </w:rPr>
        <w:t xml:space="preserve">one grain standing</w:t>
      </w:r>
      <w:r>
        <w:rPr>
          <w:rFonts w:ascii="Atkinson Hyperlegible" w:cs="Atkinson Hyperlegible" w:eastAsia="Atkinson Hyperlegible" w:hAnsi="Atkinson Hyperlegible"/>
          <w:sz w:val="24"/>
          <w:szCs w:val="24"/>
        </w:rPr>
        <w:t xml:space="preserve">, so that anything exists. Every event pays </w:t>
      </w:r>
      <w:r>
        <w:rPr>
          <w:rFonts w:ascii="Atkinson Hyperlegible" w:cs="Atkinson Hyperlegible" w:eastAsia="Atkinson Hyperlegible" w:hAnsi="Atkinson Hyperlegible"/>
          <w:b/>
          <w:bCs/>
          <w:sz w:val="24"/>
          <w:szCs w:val="24"/>
        </w:rPr>
        <w:t xml:space="preserve">one grain passing</w:t>
      </w:r>
      <w:r>
        <w:rPr>
          <w:rFonts w:ascii="Atkinson Hyperlegible" w:cs="Atkinson Hyperlegible" w:eastAsia="Atkinson Hyperlegible" w:hAnsi="Atkinson Hyperlegible"/>
          <w:sz w:val="24"/>
          <w:szCs w:val="24"/>
        </w:rPr>
        <w:t xml:space="preserve">, so that this thing exists rather than that one. The author’s clause stands at its hedge and closes the loop between the scales: the permanent uncoupled remainder is the toll in a sense — what is needed for the break to persist. One coin, two scales.</w:t>
      </w:r>
    </w:p>
    <w:p>
      <w:pPr>
        <w:spacing w:after="150" w:line="276"/>
        <w:jc w:val="both"/>
      </w:pPr>
      <w:r>
        <w:rPr>
          <w:rFonts w:ascii="Atkinson Hyperlegible" w:cs="Atkinson Hyperlegible" w:eastAsia="Atkinson Hyperlegible" w:hAnsi="Atkinson Hyperlegible"/>
          <w:i/>
          <w:iCs/>
          <w:sz w:val="24"/>
          <w:szCs w:val="24"/>
        </w:rPr>
        <w:t xml:space="preserve">Interpretive note, graded and worn openly (KS-ID.1 its open home).</w:t>
      </w:r>
      <w:r>
        <w:rPr>
          <w:rFonts w:ascii="Atkinson Hyperlegible" w:cs="Atkinson Hyperlegible" w:eastAsia="Atkinson Hyperlegible" w:hAnsi="Atkinson Hyperlegible"/>
          <w:sz w:val="24"/>
          <w:szCs w:val="24"/>
        </w:rP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pStyle w:val="Heading1"/>
        <w:pageBreakBefore/>
        <w:spacing w:after="180" w:before="120"/>
      </w:pPr>
      <w:r>
        <w:rPr>
          <w:rFonts w:ascii="Atkinson Hyperlegible" w:cs="Atkinson Hyperlegible" w:eastAsia="Atkinson Hyperlegible" w:hAnsi="Atkinson Hyperlegible"/>
          <w:b/>
          <w:bCs/>
          <w:sz w:val="40"/>
          <w:szCs w:val="40"/>
        </w:rPr>
        <w:t xml:space="preserve">3 — The Event Is Singular</w:t>
      </w:r>
    </w:p>
    <w:p>
      <w:pPr>
        <w:spacing w:after="150" w:line="276"/>
        <w:jc w:val="both"/>
      </w:pPr>
      <w:r>
        <w:rPr>
          <w:rFonts w:ascii="Atkinson Hyperlegible" w:cs="Atkinson Hyperlegible" w:eastAsia="Atkinson Hyperlegible" w:hAnsi="Atkinson Hyperlegible"/>
          <w:b/>
          <w:bCs/>
          <w:sz w:val="24"/>
          <w:szCs w:val="24"/>
        </w:rPr>
        <w:t xml:space="preserve">Ruled, on the family record: the composite is the generic case.</w:t>
      </w:r>
      <w:r>
        <w:rPr>
          <w:rFonts w:ascii="Atkinson Hyperlegible" w:cs="Atkinson Hyperlegible" w:eastAsia="Atkinson Hyperlegible" w:hAnsi="Atkinson Hyperlegible"/>
          <w:sz w:val="24"/>
          <w:szCs w:val="24"/>
        </w:rPr>
        <w:t xml:space="preserve"> Break-and-snap are one reconfiguration — turning right, not left — a collapse into a trajectory entangled with its environment. The sequence-picture was the construct; the singular event is the physics.</w:t>
      </w:r>
    </w:p>
    <w:p>
      <w:pPr>
        <w:spacing w:after="150" w:line="276"/>
        <w:jc w:val="both"/>
      </w:pPr>
      <w:r>
        <w:rPr>
          <w:rFonts w:ascii="Atkinson Hyperlegible" w:cs="Atkinson Hyperlegible" w:eastAsia="Atkinson Hyperlegible" w:hAnsi="Atkinson Hyperlegible"/>
          <w:sz w:val="24"/>
          <w:szCs w:val="24"/>
        </w:rPr>
        <w:t xml:space="preserve">The free interval between the faces of the event is </w:t>
      </w:r>
      <w:r>
        <w:rPr>
          <w:rFonts w:ascii="Atkinson Hyperlegible" w:cs="Atkinson Hyperlegible" w:eastAsia="Atkinson Hyperlegible" w:hAnsi="Atkinson Hyperlegible"/>
          <w:b/>
          <w:bCs/>
          <w:sz w:val="24"/>
          <w:szCs w:val="24"/>
        </w:rPr>
        <w:t xml:space="preserve">real</w:t>
      </w:r>
      <w:r>
        <w:rPr>
          <w:rFonts w:ascii="Atkinson Hyperlegible" w:cs="Atkinson Hyperlegible" w:eastAsia="Atkinson Hyperlegible" w:hAnsi="Atkinson Hyperlegible"/>
          <w:sz w:val="24"/>
          <w:szCs w:val="24"/>
        </w:rPr>
        <w:t xml:space="preserve">: pure potential, the now, the seat where α lives — and it is </w:t>
      </w:r>
      <w:r>
        <w:rPr>
          <w:rFonts w:ascii="Atkinson Hyperlegible" w:cs="Atkinson Hyperlegible" w:eastAsia="Atkinson Hyperlegible" w:hAnsi="Atkinson Hyperlegible"/>
          <w:b/>
          <w:bCs/>
          <w:sz w:val="24"/>
          <w:szCs w:val="24"/>
        </w:rPr>
        <w:t xml:space="preserve">unwitnessable by nature, not by weakness of instruments</w:t>
      </w:r>
      <w:r>
        <w:rPr>
          <w:rFonts w:ascii="Atkinson Hyperlegible" w:cs="Atkinson Hyperlegible" w:eastAsia="Atkinson Hyperlegible" w:hAnsi="Atkinson Hyperlegible"/>
          <w:sz w:val="24"/>
          <w:szCs w:val="24"/>
        </w:rPr>
        <w:t xml:space="preserve">: measurement implies actualization, so the moment can only ever be the moment </w:t>
      </w:r>
      <w:r>
        <w:rPr>
          <w:rFonts w:ascii="Atkinson Hyperlegible" w:cs="Atkinson Hyperlegible" w:eastAsia="Atkinson Hyperlegible" w:hAnsi="Atkinson Hyperlegible"/>
          <w:i/>
          <w:iCs/>
          <w:sz w:val="24"/>
          <w:szCs w:val="24"/>
        </w:rPr>
        <w:t xml:space="preserve">from</w:t>
      </w:r>
      <w:r>
        <w:rPr>
          <w:rFonts w:ascii="Atkinson Hyperlegible" w:cs="Atkinson Hyperlegible" w:eastAsia="Atkinson Hyperlegible" w:hAnsi="Atkinson Hyperlegible"/>
          <w:sz w:val="24"/>
          <w:szCs w:val="24"/>
        </w:rPr>
        <w:t xml:space="preserve">, never the moment. The instantaneous vanishing of the untaken alternatives — everywhere, at once, because there is one record — is the same fact read from the possibility side, and it is the structural seat of what physics meets as entanglement; this proof names the seat and claims nothing quantitative about it.</w:t>
      </w:r>
    </w:p>
    <w:p>
      <w:pPr>
        <w:spacing w:after="150" w:line="276"/>
        <w:jc w:val="both"/>
      </w:pPr>
      <w:r>
        <w:rPr>
          <w:rFonts w:ascii="Atkinson Hyperlegible" w:cs="Atkinson Hyperlegible" w:eastAsia="Atkinson Hyperlegible" w:hAnsi="Atkinson Hyperlegible"/>
          <w:sz w:val="24"/>
          <w:szCs w:val="24"/>
        </w:rPr>
        <w:t xml:space="preserve">Blinks nest, because grips nest: ice to water to vapor is astronomical counts of grips opening severally, each bond’s blink at its own level and the phase’s at the lattice level, each paying its own single toll. And the ladder runs all the way down: a proton falling forever toward a black hole is grips opening one instant at a time — defragmentation as decoupling — until the 0 and the 1 are free and returned to pure potential as the empty set Ø. The origin runs the ladder the other way: AP19 §3’s silent pop — the break, the orientation around it, the superposition before collapse — is this event’s phenomenology at the one scale with no prior configuration, and the inheritance of the mechanism from that limiting case to every matter blink is held as the family’s summit claim, graded candidate, its derivation deliberately not attempted here.</w:t>
      </w:r>
    </w:p>
    <w:p>
      <w:pPr>
        <w:pStyle w:val="Heading1"/>
        <w:pageBreakBefore/>
        <w:spacing w:after="180" w:before="120"/>
      </w:pPr>
      <w:r>
        <w:rPr>
          <w:rFonts w:ascii="Atkinson Hyperlegible" w:cs="Atkinson Hyperlegible" w:eastAsia="Atkinson Hyperlegible" w:hAnsi="Atkinson Hyperlegible"/>
          <w:b/>
          <w:bCs/>
          <w:sz w:val="40"/>
          <w:szCs w:val="40"/>
        </w:rPr>
        <w:t xml:space="preserve">4 — The Ledger and the Toll Theorem</w:t>
      </w:r>
    </w:p>
    <w:p>
      <w:pPr>
        <w:spacing w:after="150" w:line="276"/>
        <w:jc w:val="both"/>
      </w:pPr>
      <w:r>
        <w:rPr>
          <w:rFonts w:ascii="Atkinson Hyperlegible" w:cs="Atkinson Hyperlegible" w:eastAsia="Atkinson Hyperlegible" w:hAnsi="Atkinson Hyperlegible"/>
          <w:b/>
          <w:bCs/>
          <w:sz w:val="24"/>
          <w:szCs w:val="24"/>
        </w:rPr>
        <w:t xml:space="preserve">The ledger identity.</w:t>
      </w:r>
      <w:r>
        <w:rPr>
          <w:rFonts w:ascii="Atkinson Hyperlegible" w:cs="Atkinson Hyperlegible" w:eastAsia="Atkinson Hyperlegible" w:hAnsi="Atkinson Hyperlegible"/>
          <w:sz w:val="24"/>
          <w:szCs w:val="24"/>
        </w:rPr>
        <w:t xml:space="preserve"> A held lineage sheds one flow-quantum per instant on the writing direction — the leakage stream, the structural reading of ordinary persistence. A free lineage sheds nothing, costs nothing, is charged nothing, while gravity’s hold never lapses. Across any blink, therefore: sheds = 0, and the deficit against uninterrupted persistence equals the window’s length, minimum one. The blink’s signature in the leakage ledger is a gap of missing sheds — counts, not magnitudes.</w:t>
      </w:r>
    </w:p>
    <w:p>
      <w:pPr>
        <w:spacing w:after="150" w:line="276"/>
        <w:jc w:val="both"/>
      </w:pPr>
      <w:r>
        <w:rPr>
          <w:rFonts w:ascii="Atkinson Hyperlegible" w:cs="Atkinson Hyperlegible" w:eastAsia="Atkinson Hyperlegible" w:hAnsi="Atkinson Hyperlegible"/>
          <w:b/>
          <w:bCs/>
          <w:sz w:val="24"/>
          <w:szCs w:val="24"/>
        </w:rPr>
        <w:t xml:space="preserve">Lemma 1 (ties heal).</w:t>
      </w:r>
      <w:r>
        <w:rPr>
          <w:rFonts w:ascii="Atkinson Hyperlegible" w:cs="Atkinson Hyperlegible" w:eastAsia="Atkinson Hyperlegible" w:hAnsi="Atkinson Hyperlegible"/>
          <w:sz w:val="24"/>
          <w:szCs w:val="24"/>
        </w:rPr>
        <w:t xml:space="preserve"> The transition HELD → FREE occurs only with strict excess: at exact balance, the crack heals, symmetry restores, the configuration persists, and Axiom R has nothing to keep, because nothing irreversible occurred. A break at exact balance is a non-event. </w:t>
      </w:r>
      <w:r>
        <w:rPr>
          <w:rFonts w:ascii="Atkinson Hyperlegible" w:cs="Atkinson Hyperlegible" w:eastAsia="Atkinson Hyperlegible" w:hAnsi="Atkinson Hyperlegible"/>
          <w:i/>
          <w:iCs/>
          <w:sz w:val="24"/>
          <w:szCs w:val="24"/>
        </w:rPr>
        <w:t xml:space="preserve">Grade: canon-seated (the healing default; Axiom S); its fully formal statement inherits the record-algebra debt and says so. The author’s rope — it holds absolutely until the last moment — is this lemma in his register.</w:t>
      </w:r>
    </w:p>
    <w:p>
      <w:pPr>
        <w:spacing w:after="150" w:line="276"/>
        <w:jc w:val="both"/>
      </w:pPr>
      <w:r>
        <w:rPr>
          <w:rFonts w:ascii="Atkinson Hyperlegible" w:cs="Atkinson Hyperlegible" w:eastAsia="Atkinson Hyperlegible" w:hAnsi="Atkinson Hyperlegible"/>
          <w:b/>
          <w:bCs/>
          <w:sz w:val="24"/>
          <w:szCs w:val="24"/>
        </w:rPr>
        <w:t xml:space="preserve">Lemma 2 (the ledger counts).</w:t>
      </w:r>
      <w:r>
        <w:rPr>
          <w:rFonts w:ascii="Atkinson Hyperlegible" w:cs="Atkinson Hyperlegible" w:eastAsia="Atkinson Hyperlegible" w:hAnsi="Atkinson Hyperlegible"/>
          <w:sz w:val="24"/>
          <w:szCs w:val="24"/>
        </w:rP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pPr>
        <w:spacing w:after="150" w:line="276"/>
        <w:jc w:val="both"/>
      </w:pPr>
      <w:r>
        <w:rPr>
          <w:rFonts w:ascii="Atkinson Hyperlegible" w:cs="Atkinson Hyperlegible" w:eastAsia="Atkinson Hyperlegible" w:hAnsi="Atkinson Hyperlegible"/>
          <w:b/>
          <w:bCs/>
          <w:sz w:val="24"/>
          <w:szCs w:val="24"/>
        </w:rPr>
        <w:t xml:space="preserve">Theorem 1 (the toll is forced, and it is one).</w:t>
      </w:r>
      <w:r>
        <w:rPr>
          <w:rFonts w:ascii="Atkinson Hyperlegible" w:cs="Atkinson Hyperlegible" w:eastAsia="Atkinson Hyperlegible" w:hAnsi="Atkinson Hyperlegible"/>
          <w:sz w:val="24"/>
          <w:szCs w:val="24"/>
        </w:rPr>
        <w:t xml:space="preserve"> At every blink, the toll exists and equals exactly one grain of distinction, spent on the possibility ledger as the pruning of the alternatives not taken, paid by the breaking configuration as its last act. </w:t>
      </w:r>
      <w:r>
        <w:rPr>
          <w:rFonts w:ascii="Atkinson Hyperlegible" w:cs="Atkinson Hyperlegible" w:eastAsia="Atkinson Hyperlegible" w:hAnsi="Atkinson Hyperlegible"/>
          <w:i/>
          <w:iCs/>
          <w:sz w:val="24"/>
          <w:szCs w:val="24"/>
        </w:rPr>
        <w:t xml:space="preserve">Proof.</w:t>
      </w:r>
      <w:r>
        <w:rPr>
          <w:rFonts w:ascii="Atkinson Hyperlegible" w:cs="Atkinson Hyperlegible" w:eastAsia="Atkinson Hyperlegible" w:hAnsi="Atkinson Hyperlegible"/>
          <w:sz w:val="24"/>
          <w:szCs w:val="24"/>
        </w:rPr>
        <w:t xml:space="preserve"> Existence: by Lemma 1 every break that occurs carries a strict win; by Lemma 2 the least such win is one quantum; therefore every break carries at least one. Exactness: the break occurs at the first sufficient excess — the rope’s last moment — and more than one would contradict minimality; the ledger’s own entry is unit-valued. 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pPr>
        <w:spacing w:after="150" w:line="276"/>
        <w:jc w:val="both"/>
      </w:pPr>
      <w:r>
        <w:rPr>
          <w:rFonts w:ascii="Atkinson Hyperlegible" w:cs="Atkinson Hyperlegible" w:eastAsia="Atkinson Hyperlegible" w:hAnsi="Atkinson Hyperlegible"/>
          <w:b/>
          <w:bCs/>
          <w:sz w:val="24"/>
          <w:szCs w:val="24"/>
        </w:rPr>
        <w:t xml:space="preserve">Corollary (the event-scale balance).</w:t>
      </w:r>
      <w:r>
        <w:rPr>
          <w:rFonts w:ascii="Atkinson Hyperlegible" w:cs="Atkinson Hyperlegible" w:eastAsia="Atkinson Hyperlegible" w:hAnsi="Atkinson Hyperlegible"/>
          <w:sz w:val="24"/>
          <w:szCs w:val="24"/>
        </w:rPr>
        <w:t xml:space="preserve"> Per full blink: one quantum withheld at the snap — the bump, on the writing direction, booking into mass at persistence and invisible ever after — and one quantum spent at the break — the toll, on the releasing direction, booking nowhere. One each way: the axiom’s two directions each take exactly one at their crossing. They remain two costs with two selection arguments, present as the two dimensional components of the one event, coincident or not. Nothing in this corollary is a magnitude; it is a count, and the count is the theorem.</w:t>
      </w:r>
    </w:p>
    <w:p>
      <w:pPr>
        <w:pStyle w:val="Heading1"/>
        <w:pageBreakBefore/>
        <w:spacing w:after="180" w:before="120"/>
      </w:pPr>
      <w:r>
        <w:rPr>
          <w:rFonts w:ascii="Atkinson Hyperlegible" w:cs="Atkinson Hyperlegible" w:eastAsia="Atkinson Hyperlegible" w:hAnsi="Atkinson Hyperlegible"/>
          <w:b/>
          <w:bCs/>
          <w:sz w:val="40"/>
          <w:szCs w:val="40"/>
        </w:rPr>
        <w:t xml:space="preserve">5 — The Denomination and the Two Faces</w:t>
      </w:r>
    </w:p>
    <w:p>
      <w:pPr>
        <w:spacing w:after="150" w:line="276"/>
        <w:jc w:val="both"/>
      </w:pPr>
      <w:r>
        <w:rPr>
          <w:rFonts w:ascii="Atkinson Hyperlegible" w:cs="Atkinson Hyperlegible" w:eastAsia="Atkinson Hyperlegible" w:hAnsi="Atkinson Hyperlegible"/>
          <w:b/>
          <w:bCs/>
          <w:sz w:val="24"/>
          <w:szCs w:val="24"/>
        </w:rPr>
        <w:t xml:space="preserve">The denomination is α, by two arguments on two jurisdictions that could not have disagreed without breaking the axiom’s own semantics.</w:t>
      </w:r>
      <w:r>
        <w:rPr>
          <w:rFonts w:ascii="Atkinson Hyperlegible" w:cs="Atkinson Hyperlegible" w:eastAsia="Atkinson Hyperlegible" w:hAnsi="Atkinson Hyperlegible"/>
          <w:sz w:val="24"/>
          <w:szCs w:val="24"/>
        </w:rPr>
        <w:t xml:space="preserve"> First: the flow is one operation, so its two directions carry one currency — and the writing direction’s currency is α by construction, the per-channel coupling AP28 built. Second: the grip that opens is electromagnetic, so breaking it is priced in the grip’s own coupling — while thermodynamics decides </w:t>
      </w:r>
      <w:r>
        <w:rPr>
          <w:rFonts w:ascii="Atkinson Hyperlegible" w:cs="Atkinson Hyperlegible" w:eastAsia="Atkinson Hyperlegible" w:hAnsi="Atkinson Hyperlegible"/>
          <w:i/>
          <w:iCs/>
          <w:sz w:val="24"/>
          <w:szCs w:val="24"/>
        </w:rPr>
        <w:t xml:space="preserve">when</w:t>
      </w:r>
      <w:r>
        <w:rPr>
          <w:rFonts w:ascii="Atkinson Hyperlegible" w:cs="Atkinson Hyperlegible" w:eastAsia="Atkinson Hyperlegible" w:hAnsi="Atkinson Hyperlegible"/>
          <w:sz w:val="24"/>
          <w:szCs w:val="24"/>
        </w:rPr>
        <w:t xml:space="preserve"> a break is affordable, never </w:t>
      </w:r>
      <w:r>
        <w:rPr>
          <w:rFonts w:ascii="Atkinson Hyperlegible" w:cs="Atkinson Hyperlegible" w:eastAsia="Atkinson Hyperlegible" w:hAnsi="Atkinson Hyperlegible"/>
          <w:i/>
          <w:iCs/>
          <w:sz w:val="24"/>
          <w:szCs w:val="24"/>
        </w:rPr>
        <w:t xml:space="preserve">what it is worth</w:t>
      </w:r>
      <w:r>
        <w:rPr>
          <w:rFonts w:ascii="Atkinson Hyperlegible" w:cs="Atkinson Hyperlegible" w:eastAsia="Atkinson Hyperlegible" w:hAnsi="Atkinson Hyperlegible"/>
          <w:sz w:val="24"/>
          <w:szCs w:val="24"/>
        </w:rPr>
        <w:t xml:space="preserve">: the modulator, not the mint. 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rFonts w:ascii="Atkinson Hyperlegible" w:cs="Atkinson Hyperlegible" w:eastAsia="Atkinson Hyperlegible" w:hAnsi="Atkinson Hyperlegible"/>
          <w:b/>
          <w:bCs/>
          <w:sz w:val="24"/>
          <w:szCs w:val="24"/>
        </w:rPr>
        <w:t xml:space="preserve">α is not chosen. It is what remains.</w:t>
      </w:r>
    </w:p>
    <w:p>
      <w:pPr>
        <w:spacing w:after="150" w:line="276"/>
        <w:jc w:val="both"/>
      </w:pPr>
      <w:r>
        <w:rPr>
          <w:rFonts w:ascii="Atkinson Hyperlegible" w:cs="Atkinson Hyperlegible" w:eastAsia="Atkinson Hyperlegible" w:hAnsi="Atkinson Hyperlegible"/>
          <w:b/>
          <w:bCs/>
          <w:sz w:val="24"/>
          <w:szCs w:val="24"/>
        </w:rPr>
        <w:t xml:space="preserve">The two faces, ruled.</w:t>
      </w:r>
      <w:r>
        <w:rPr>
          <w:rFonts w:ascii="Atkinson Hyperlegible" w:cs="Atkinson Hyperlegible" w:eastAsia="Atkinson Hyperlegible" w:hAnsi="Atkinson Hyperlegible"/>
          <w:sz w:val="24"/>
          <w:szCs w:val="24"/>
        </w:rPr>
        <w:t xml:space="preserve"> The toll is one singular cost calculated at two dimensions. The </w:t>
      </w:r>
      <w:r>
        <w:rPr>
          <w:rFonts w:ascii="Atkinson Hyperlegible" w:cs="Atkinson Hyperlegible" w:eastAsia="Atkinson Hyperlegible" w:hAnsi="Atkinson Hyperlegible"/>
          <w:b/>
          <w:bCs/>
          <w:sz w:val="24"/>
          <w:szCs w:val="24"/>
        </w:rPr>
        <w:t xml:space="preserve">energy face is the outside</w:t>
      </w:r>
      <w:r>
        <w:rPr>
          <w:rFonts w:ascii="Atkinson Hyperlegible" w:cs="Atkinson Hyperlegible" w:eastAsia="Atkinson Hyperlegible" w:hAnsi="Atkinson Hyperlegible"/>
          <w:sz w:val="24"/>
          <w:szCs w:val="24"/>
        </w:rP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 The </w:t>
      </w:r>
      <w:r>
        <w:rPr>
          <w:rFonts w:ascii="Atkinson Hyperlegible" w:cs="Atkinson Hyperlegible" w:eastAsia="Atkinson Hyperlegible" w:hAnsi="Atkinson Hyperlegible"/>
          <w:b/>
          <w:bCs/>
          <w:sz w:val="24"/>
          <w:szCs w:val="24"/>
        </w:rPr>
        <w:t xml:space="preserve">possibility face is the inside</w:t>
      </w:r>
      <w:r>
        <w:rPr>
          <w:rFonts w:ascii="Atkinson Hyperlegible" w:cs="Atkinson Hyperlegible" w:eastAsia="Atkinson Hyperlegible" w:hAnsi="Atkinson Hyperlegible"/>
          <w:sz w:val="24"/>
          <w:szCs w:val="24"/>
        </w:rPr>
        <w:t xml:space="preserve">, where the toll actually lives: dimensionless, one ε-grain of α-worth — the alternatives not taken. 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pStyle w:val="Heading1"/>
        <w:pageBreakBefore/>
        <w:spacing w:after="180" w:before="120"/>
      </w:pPr>
      <w:r>
        <w:rPr>
          <w:rFonts w:ascii="Atkinson Hyperlegible" w:cs="Atkinson Hyperlegible" w:eastAsia="Atkinson Hyperlegible" w:hAnsi="Atkinson Hyperlegible"/>
          <w:b/>
          <w:bCs/>
          <w:sz w:val="40"/>
          <w:szCs w:val="40"/>
        </w:rPr>
        <w:t xml:space="preserve">6 — The Channels</w:t>
      </w:r>
    </w:p>
    <w:p>
      <w:pPr>
        <w:spacing w:after="150" w:line="276"/>
        <w:jc w:val="both"/>
      </w:pPr>
      <w:r>
        <w:rPr>
          <w:rFonts w:ascii="Atkinson Hyperlegible" w:cs="Atkinson Hyperlegible" w:eastAsia="Atkinson Hyperlegible" w:hAnsi="Atkinson Hyperlegible"/>
          <w:sz w:val="24"/>
          <w:szCs w:val="24"/>
        </w:rPr>
        <w:t xml:space="preserve">Twenty-one channels: eighteen face-projections and three actualisation gates — AP28’s construction, inherited whole. Two partitions of them were derived independently in the family record, from different roles, and then laid over each other; what happened next is the reason this section exists.</w:t>
      </w:r>
    </w:p>
    <w:p>
      <w:pPr>
        <w:spacing w:after="150" w:line="276"/>
        <w:jc w:val="both"/>
      </w:pPr>
      <w:r>
        <w:rPr>
          <w:rFonts w:ascii="Atkinson Hyperlegible" w:cs="Atkinson Hyperlegible" w:eastAsia="Atkinson Hyperlegible" w:hAnsi="Atkinson Hyperlegible"/>
          <w:b/>
          <w:bCs/>
          <w:sz w:val="24"/>
          <w:szCs w:val="24"/>
        </w:rPr>
        <w:t xml:space="preserve">The closing partition.</w:t>
      </w:r>
      <w:r>
        <w:rPr>
          <w:rFonts w:ascii="Atkinson Hyperlegible" w:cs="Atkinson Hyperlegible" w:eastAsia="Atkinson Hyperlegible" w:hAnsi="Atkinson Hyperlegible"/>
          <w:sz w:val="24"/>
          <w:szCs w:val="24"/>
        </w:rPr>
        <w:t xml:space="preserve"> The readings of a configuration — mass, the coupling worth, the temporal direction — are what a grip can hold and a break can release: nine faces, plus the three gates, </w:t>
      </w:r>
      <w:r>
        <w:rPr>
          <w:rFonts w:ascii="Atkinson Hyperlegible" w:cs="Atkinson Hyperlegible" w:eastAsia="Atkinson Hyperlegible" w:hAnsi="Atkinson Hyperlegible"/>
          <w:b/>
          <w:bCs/>
          <w:sz w:val="24"/>
          <w:szCs w:val="24"/>
        </w:rPr>
        <w:t xml:space="preserve">twelve channels that close</w:t>
      </w:r>
      <w:r>
        <w:rPr>
          <w:rFonts w:ascii="Atkinson Hyperlegible" w:cs="Atkinson Hyperlegible" w:eastAsia="Atkinson Hyperlegible" w:hAnsi="Atkinson Hyperlegible"/>
          <w:sz w:val="24"/>
          <w:szCs w:val="24"/>
        </w:rPr>
        <w:t xml:space="preserve">. The arena’s readings — c, G, the substrate stiffness — have nothing to let go of: </w:t>
      </w:r>
      <w:r>
        <w:rPr>
          <w:rFonts w:ascii="Atkinson Hyperlegible" w:cs="Atkinson Hyperlegible" w:eastAsia="Atkinson Hyperlegible" w:hAnsi="Atkinson Hyperlegible"/>
          <w:b/>
          <w:bCs/>
          <w:sz w:val="24"/>
          <w:szCs w:val="24"/>
        </w:rPr>
        <w:t xml:space="preserve">nine channels that never close</w:t>
      </w:r>
      <w:r>
        <w:rPr>
          <w:rFonts w:ascii="Atkinson Hyperlegible" w:cs="Atkinson Hyperlegible" w:eastAsia="Atkinson Hyperlegible" w:hAnsi="Atkinson Hyperlegible"/>
          <w:sz w:val="24"/>
          <w:szCs w:val="24"/>
        </w:rPr>
        <w:t xml:space="preserve">, which is also why gravity holds all twenty-one while the grip grips only some.</w:t>
      </w:r>
    </w:p>
    <w:p>
      <w:pPr>
        <w:spacing w:after="150" w:line="276"/>
        <w:jc w:val="both"/>
      </w:pPr>
      <w:r>
        <w:rPr>
          <w:rFonts w:ascii="Atkinson Hyperlegible" w:cs="Atkinson Hyperlegible" w:eastAsia="Atkinson Hyperlegible" w:hAnsi="Atkinson Hyperlegible"/>
          <w:b/>
          <w:bCs/>
          <w:sz w:val="24"/>
          <w:szCs w:val="24"/>
        </w:rPr>
        <w:t xml:space="preserve">The balance partition.</w:t>
      </w:r>
      <w:r>
        <w:rPr>
          <w:rFonts w:ascii="Atkinson Hyperlegible" w:cs="Atkinson Hyperlegible" w:eastAsia="Atkinson Hyperlegible" w:hAnsi="Atkinson Hyperlegible"/>
          <w:sz w:val="24"/>
          <w:szCs w:val="24"/>
        </w:rPr>
        <w:t xml:space="preserve"> Remove the actualizing one and Axiom S splits the remainder ten and ten, the readings pairing as duals: </w:t>
      </w:r>
      <w:r>
        <w:rPr>
          <w:rFonts w:ascii="Atkinson Hyperlegible" w:cs="Atkinson Hyperlegible" w:eastAsia="Atkinson Hyperlegible" w:hAnsi="Atkinson Hyperlegible"/>
          <w:b/>
          <w:bCs/>
          <w:sz w:val="24"/>
          <w:szCs w:val="24"/>
        </w:rPr>
        <w:t xml:space="preserve">m ↔ G</w:t>
      </w:r>
      <w:r>
        <w:rPr>
          <w:rFonts w:ascii="Atkinson Hyperlegible" w:cs="Atkinson Hyperlegible" w:eastAsia="Atkinson Hyperlegible" w:hAnsi="Atkinson Hyperlegible"/>
          <w:sz w:val="24"/>
          <w:szCs w:val="24"/>
        </w:rPr>
        <w:t xml:space="preserve">, resistance against hold — ruled at the rope, gravity and resistance as the 1:1; </w:t>
      </w:r>
      <w:r>
        <w:rPr>
          <w:rFonts w:ascii="Atkinson Hyperlegible" w:cs="Atkinson Hyperlegible" w:eastAsia="Atkinson Hyperlegible" w:hAnsi="Atkinson Hyperlegible"/>
          <w:b/>
          <w:bCs/>
          <w:sz w:val="24"/>
          <w:szCs w:val="24"/>
        </w:rPr>
        <w:t xml:space="preserve">α ↔ c</w:t>
      </w:r>
      <w:r>
        <w:rPr>
          <w:rFonts w:ascii="Atkinson Hyperlegible" w:cs="Atkinson Hyperlegible" w:eastAsia="Atkinson Hyperlegible" w:hAnsi="Atkinson Hyperlegible"/>
          <w:sz w:val="24"/>
          <w:szCs w:val="24"/>
        </w:rPr>
        <w:t xml:space="preserve">, the flow’s worth against the flow’s bound; </w:t>
      </w:r>
      <w:r>
        <w:rPr>
          <w:rFonts w:ascii="Atkinson Hyperlegible" w:cs="Atkinson Hyperlegible" w:eastAsia="Atkinson Hyperlegible" w:hAnsi="Atkinson Hyperlegible"/>
          <w:b/>
          <w:bCs/>
          <w:sz w:val="24"/>
          <w:szCs w:val="24"/>
        </w:rPr>
        <w:t xml:space="preserve">s ↔ τ</w:t>
      </w:r>
      <w:r>
        <w:rPr>
          <w:rFonts w:ascii="Atkinson Hyperlegible" w:cs="Atkinson Hyperlegible" w:eastAsia="Atkinson Hyperlegible" w:hAnsi="Atkinson Hyperlegible"/>
          <w:sz w:val="24"/>
          <w:szCs w:val="24"/>
        </w:rPr>
        <w:t xml:space="preserve">, the substrate across space against the direction across time. One reading of each pair to the 1-side — {m, α, τ}, the particle, the actualised — and one to the 0-side — {G, c, s}, the hold, the arena. Nine faces a side, one gate a side for each sector’s own access to the now, and the one visible gate making it all real: </w:t>
      </w:r>
      <w:r>
        <w:rPr>
          <w:rFonts w:ascii="Atkinson Hyperlegible" w:cs="Atkinson Hyperlegible" w:eastAsia="Atkinson Hyperlegible" w:hAnsi="Atkinson Hyperlegible"/>
          <w:b/>
          <w:bCs/>
          <w:sz w:val="24"/>
          <w:szCs w:val="24"/>
        </w:rPr>
        <w:t xml:space="preserve">10:10, plus the 1 — the axiom’s own shape, written at channel scale.</w:t>
      </w:r>
    </w:p>
    <w:p>
      <w:pPr>
        <w:spacing w:after="150" w:line="276"/>
        <w:jc w:val="both"/>
      </w:pPr>
      <w:r>
        <w:rPr>
          <w:rFonts w:ascii="Atkinson Hyperlegible" w:cs="Atkinson Hyperlegible" w:eastAsia="Atkinson Hyperlegible" w:hAnsi="Atkinson Hyperlegible"/>
          <w:b/>
          <w:bCs/>
          <w:sz w:val="24"/>
          <w:szCs w:val="24"/>
        </w:rPr>
        <w:t xml:space="preserve">The overlay, computed — and the ruling.</w:t>
      </w:r>
      <w:r>
        <w:rPr>
          <w:rFonts w:ascii="Atkinson Hyperlegible" w:cs="Atkinson Hyperlegible" w:eastAsia="Atkinson Hyperlegible" w:hAnsi="Atkinson Hyperlegible"/>
          <w:sz w:val="24"/>
          <w:szCs w:val="24"/>
        </w:rPr>
        <w:t xml:space="preserve"> The 1-side faces are exactly the closing faces; the 0-side faces are exactly the arena faces; the two axes coincide on all eighteen, and the gates distribute without contradiction anywhere on the twenty-one. The author ruled the finding at its strongest reading: </w:t>
      </w:r>
      <w:r>
        <w:rPr>
          <w:rFonts w:ascii="Atkinson Hyperlegible" w:cs="Atkinson Hyperlegible" w:eastAsia="Atkinson Hyperlegible" w:hAnsi="Atkinson Hyperlegible"/>
          <w:b/>
          <w:bCs/>
          <w:sz w:val="24"/>
          <w:szCs w:val="24"/>
        </w:rPr>
        <w:t xml:space="preserve">not deep structure — the deepest structure.</w:t>
      </w:r>
      <w:r>
        <w:rPr>
          <w:rFonts w:ascii="Atkinson Hyperlegible" w:cs="Atkinson Hyperlegible" w:eastAsia="Atkinson Hyperlegible" w:hAnsi="Atkinson Hyperlegible"/>
          <w:sz w:val="24"/>
          <w:szCs w:val="24"/>
        </w:rPr>
        <w:t xml:space="preserve"> One axis, two names: who grips, and who holds. 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pStyle w:val="Heading1"/>
        <w:pageBreakBefore/>
        <w:spacing w:after="180" w:before="120"/>
      </w:pPr>
      <w:r>
        <w:rPr>
          <w:rFonts w:ascii="Atkinson Hyperlegible" w:cs="Atkinson Hyperlegible" w:eastAsia="Atkinson Hyperlegible" w:hAnsi="Atkinson Hyperlegible"/>
          <w:b/>
          <w:bCs/>
          <w:sz w:val="40"/>
          <w:szCs w:val="40"/>
        </w:rPr>
        <w:t xml:space="preserve">7 — The Possibility Face</w:t>
      </w:r>
    </w:p>
    <w:p>
      <w:pPr>
        <w:spacing w:after="150" w:line="276"/>
        <w:jc w:val="both"/>
      </w:pPr>
      <w:r>
        <w:rPr>
          <w:rFonts w:ascii="Atkinson Hyperlegible" w:cs="Atkinson Hyperlegible" w:eastAsia="Atkinson Hyperlegible" w:hAnsi="Atkinson Hyperlegible"/>
          <w:sz w:val="24"/>
          <w:szCs w:val="24"/>
        </w:rPr>
        <w:t xml:space="preserve">The availability field is recomputed at every instant, from the four constraint families, the coupling capacity, and the record history at both scales — the lineage’s own and the whole’s, inseparable. All possibilities exist in the free state; </w:t>
      </w:r>
      <w:r>
        <w:rPr>
          <w:rFonts w:ascii="Atkinson Hyperlegible" w:cs="Atkinson Hyperlegible" w:eastAsia="Atkinson Hyperlegible" w:hAnsi="Atkinson Hyperlegible"/>
          <w:b/>
          <w:bCs/>
          <w:sz w:val="24"/>
          <w:szCs w:val="24"/>
        </w:rPr>
        <w:t xml:space="preserve">decoherence prunes</w:t>
      </w:r>
      <w:r>
        <w:rPr>
          <w:rFonts w:ascii="Atkinson Hyperlegible" w:cs="Atkinson Hyperlegible" w:eastAsia="Atkinson Hyperlegible" w:hAnsi="Atkinson Hyperlegible"/>
          <w:sz w:val="24"/>
          <w:szCs w:val="24"/>
        </w:rPr>
        <w:t xml:space="preserve"> them to the available; </w:t>
      </w:r>
      <w:r>
        <w:rPr>
          <w:rFonts w:ascii="Atkinson Hyperlegible" w:cs="Atkinson Hyperlegible" w:eastAsia="Atkinson Hyperlegible" w:hAnsi="Atkinson Hyperlegible"/>
          <w:b/>
          <w:bCs/>
          <w:sz w:val="24"/>
          <w:szCs w:val="24"/>
        </w:rPr>
        <w:t xml:space="preserve">the record history weights</w:t>
      </w:r>
      <w:r>
        <w:rPr>
          <w:rFonts w:ascii="Atkinson Hyperlegible" w:cs="Atkinson Hyperlegible" w:eastAsia="Atkinson Hyperlegible" w:hAnsi="Atkinson Hyperlegible"/>
          <w:sz w:val="24"/>
          <w:szCs w:val="24"/>
        </w:rPr>
        <w:t xml:space="preserve"> the outcomes. When the event actualizes, the alternatives vanish instantaneously, everywhere, because there is one record — and that vanishing </w:t>
      </w:r>
      <w:r>
        <w:rPr>
          <w:rFonts w:ascii="Atkinson Hyperlegible" w:cs="Atkinson Hyperlegible" w:eastAsia="Atkinson Hyperlegible" w:hAnsi="Atkinson Hyperlegible"/>
          <w:b/>
          <w:bCs/>
          <w:sz w:val="24"/>
          <w:szCs w:val="24"/>
        </w:rPr>
        <w:t xml:space="preserve">is</w:t>
      </w:r>
      <w:r>
        <w:rPr>
          <w:rFonts w:ascii="Atkinson Hyperlegible" w:cs="Atkinson Hyperlegible" w:eastAsia="Atkinson Hyperlegible" w:hAnsi="Atkinson Hyperlegible"/>
          <w:sz w:val="24"/>
          <w:szCs w:val="24"/>
        </w:rPr>
        <w:t xml:space="preserve"> the toll being paid.</w:t>
      </w:r>
    </w:p>
    <w:p>
      <w:pPr>
        <w:spacing w:after="150" w:line="276"/>
        <w:jc w:val="both"/>
      </w:pPr>
      <w:r>
        <w:rPr>
          <w:rFonts w:ascii="Atkinson Hyperlegible" w:cs="Atkinson Hyperlegible" w:eastAsia="Atkinson Hyperlegible" w:hAnsi="Atkinson Hyperlegible"/>
          <w:b/>
          <w:bCs/>
          <w:sz w:val="24"/>
          <w:szCs w:val="24"/>
        </w:rPr>
        <w:t xml:space="preserve">The Born identification, ruled.</w:t>
      </w:r>
      <w:r>
        <w:rPr>
          <w:rFonts w:ascii="Atkinson Hyperlegible" w:cs="Atkinson Hyperlegible" w:eastAsia="Atkinson Hyperlegible" w:hAnsi="Atkinson Hyperlegible"/>
          <w:sz w:val="24"/>
          <w:szCs w:val="24"/>
        </w:rPr>
        <w:t xml:space="preserve"> The Born statistics are the possibility ledger’s outside face: outcomes have probabilities, and probability is the possibility ledger being spent — the identification and rejection of possibilities against the record history that weighted them. </w:t>
      </w:r>
      <w:r>
        <w:rPr>
          <w:rFonts w:ascii="Atkinson Hyperlegible" w:cs="Atkinson Hyperlegible" w:eastAsia="Atkinson Hyperlegible" w:hAnsi="Atkinson Hyperlegible"/>
          <w:b/>
          <w:bCs/>
          <w:sz w:val="24"/>
          <w:szCs w:val="24"/>
        </w:rPr>
        <w:t xml:space="preserve">This is an identification, not a prediction.</w:t>
      </w:r>
      <w:r>
        <w:rPr>
          <w:rFonts w:ascii="Atkinson Hyperlegible" w:cs="Atkinson Hyperlegible" w:eastAsia="Atkinson Hyperlegible" w:hAnsi="Atkinson Hyperlegible"/>
          <w:sz w:val="24"/>
          <w:szCs w:val="24"/>
        </w:rPr>
        <w:t xml:space="preserve"> The corpus does not predict Born weights here; it names what they are the accounting of. The no-deviation fence is armed on this proof’s own hash: no departure from Born statistics is claimed anywhere, ever, and any future deviation-claim is a different family owing its own forcing argument. 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pStyle w:val="Heading1"/>
        <w:pageBreakBefore/>
        <w:spacing w:after="180" w:before="120"/>
      </w:pPr>
      <w:r>
        <w:rPr>
          <w:rFonts w:ascii="Atkinson Hyperlegible" w:cs="Atkinson Hyperlegible" w:eastAsia="Atkinson Hyperlegible" w:hAnsi="Atkinson Hyperlegible"/>
          <w:b/>
          <w:bCs/>
          <w:sz w:val="40"/>
          <w:szCs w:val="40"/>
        </w:rPr>
        <w:t xml:space="preserve">8 — The Pairing, the Mirror, and the Non-Closure</w:t>
      </w:r>
    </w:p>
    <w:p>
      <w:pPr>
        <w:spacing w:after="150" w:line="276"/>
        <w:jc w:val="both"/>
      </w:pPr>
      <w:r>
        <w:rPr>
          <w:rFonts w:ascii="Atkinson Hyperlegible" w:cs="Atkinson Hyperlegible" w:eastAsia="Atkinson Hyperlegible" w:hAnsi="Atkinson Hyperlegible"/>
          <w:b/>
          <w:bCs/>
          <w:sz w:val="24"/>
          <w:szCs w:val="24"/>
        </w:rPr>
        <w:t xml:space="preserve">The pairing.</w:t>
      </w:r>
      <w:r>
        <w:rPr>
          <w:rFonts w:ascii="Atkinson Hyperlegible" w:cs="Atkinson Hyperlegible" w:eastAsia="Atkinson Hyperlegible" w:hAnsi="Atkinson Hyperlegible"/>
          <w:sz w:val="24"/>
          <w:szCs w:val="24"/>
        </w:rP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 The sole unpaired cost in the entire ledger is </w:t>
      </w:r>
      <w:r>
        <w:rPr>
          <w:rFonts w:ascii="Atkinson Hyperlegible" w:cs="Atkinson Hyperlegible" w:eastAsia="Atkinson Hyperlegible" w:hAnsi="Atkinson Hyperlegible"/>
          <w:b/>
          <w:bCs/>
          <w:sz w:val="24"/>
          <w:szCs w:val="24"/>
        </w:rPr>
        <w:t xml:space="preserve">the arena’s</w:t>
      </w:r>
      <w:r>
        <w:rPr>
          <w:rFonts w:ascii="Atkinson Hyperlegible" w:cs="Atkinson Hyperlegible" w:eastAsia="Atkinson Hyperlegible" w:hAnsi="Atkinson Hyperlegible"/>
          <w:sz w:val="24"/>
          <w:szCs w:val="24"/>
        </w:rPr>
        <w:t xml:space="preserve"> — AP44’s once-held commitment, the splinter that is global to the break and never per-transit — and it is precisely what makes the rest a visible balance rather than a silent one. </w:t>
      </w:r>
      <w:r>
        <w:rPr>
          <w:rFonts w:ascii="Atkinson Hyperlegible" w:cs="Atkinson Hyperlegible" w:eastAsia="Atkinson Hyperlegible" w:hAnsi="Atkinson Hyperlegible"/>
          <w:b/>
          <w:bCs/>
          <w:sz w:val="24"/>
          <w:szCs w:val="24"/>
        </w:rPr>
        <w:t xml:space="preserve">The ledger’s global form is the axiom’s own shape: 1:1 + 1×ε</w:t>
      </w:r>
      <w:r>
        <w:rPr>
          <w:rFonts w:ascii="Atkinson Hyperlegible" w:cs="Atkinson Hyperlegible" w:eastAsia="Atkinson Hyperlegible" w:hAnsi="Atkinson Hyperlegible"/>
          <w:sz w:val="24"/>
          <w:szCs w:val="24"/>
        </w:rPr>
        <w:t xml:space="preserve"> — the bracket’s two directions each owning half of every pair, and the One beside them all.</w:t>
      </w:r>
    </w:p>
    <w:p>
      <w:pPr>
        <w:spacing w:after="150" w:line="276"/>
        <w:jc w:val="both"/>
      </w:pPr>
      <w:r>
        <w:rPr>
          <w:rFonts w:ascii="Atkinson Hyperlegible" w:cs="Atkinson Hyperlegible" w:eastAsia="Atkinson Hyperlegible" w:hAnsi="Atkinson Hyperlegible"/>
          <w:b/>
          <w:bCs/>
          <w:sz w:val="24"/>
          <w:szCs w:val="24"/>
        </w:rPr>
        <w:t xml:space="preserve">The mirror.</w:t>
      </w:r>
      <w:r>
        <w:rPr>
          <w:rFonts w:ascii="Atkinson Hyperlegible" w:cs="Atkinson Hyperlegible" w:eastAsia="Atkinson Hyperlegible" w:hAnsi="Atkinson Hyperlegible"/>
          <w:sz w:val="24"/>
          <w:szCs w:val="24"/>
        </w:rPr>
        <w:t xml:space="preserve"> AP44 priced the + direction: the hold, once, at the arena, written into the gravitational coupling. This proof prices the − direction: the break, per event, spent. The axiom’s bracket demands both directions carry their cost, and the ledger equals out </w:t>
      </w:r>
      <w:r>
        <w:rPr>
          <w:rFonts w:ascii="Atkinson Hyperlegible" w:cs="Atkinson Hyperlegible" w:eastAsia="Atkinson Hyperlegible" w:hAnsi="Atkinson Hyperlegible"/>
          <w:b/>
          <w:bCs/>
          <w:sz w:val="24"/>
          <w:szCs w:val="24"/>
        </w:rPr>
        <w:t xml:space="preserve">by the two proofs together</w:t>
      </w:r>
      <w:r>
        <w:rPr>
          <w:rFonts w:ascii="Atkinson Hyperlegible" w:cs="Atkinson Hyperlegible" w:eastAsia="Atkinson Hyperlegible" w:hAnsi="Atkinson Hyperlegible"/>
          <w:sz w:val="24"/>
          <w:szCs w:val="24"/>
        </w:rPr>
        <w:t xml:space="preserve"> — while no locked number moves, anywhere, ever: the literal branch of the mirror died against AP30’s headroom at every order of ε before this paper existed, and its grave is marked in the family record.</w:t>
      </w:r>
    </w:p>
    <w:p>
      <w:pPr>
        <w:spacing w:after="150" w:line="276"/>
        <w:jc w:val="both"/>
      </w:pPr>
      <w:r>
        <w:rPr>
          <w:rFonts w:ascii="Atkinson Hyperlegible" w:cs="Atkinson Hyperlegible" w:eastAsia="Atkinson Hyperlegible" w:hAnsi="Atkinson Hyperlegible"/>
          <w:b/>
          <w:bCs/>
          <w:sz w:val="24"/>
          <w:szCs w:val="24"/>
        </w:rPr>
        <w:t xml:space="preserve">The non-closure.</w:t>
      </w:r>
      <w:r>
        <w:rPr>
          <w:rFonts w:ascii="Atkinson Hyperlegible" w:cs="Atkinson Hyperlegible" w:eastAsia="Atkinson Hyperlegible" w:hAnsi="Atkinson Hyperlegible"/>
          <w:sz w:val="24"/>
          <w:szCs w:val="24"/>
        </w:rPr>
        <w:t xml:space="preserve"> And the ledger can never perfectly equal out — it is structurally impossible, because of the +1×ε: if it ever balanced exactly, the structure would close back into undifferentiated Ø, and the universe would stop existing. The Axiom chapter says it as canon; this family says it as accounting: </w:t>
      </w:r>
      <w:r>
        <w:rPr>
          <w:rFonts w:ascii="Atkinson Hyperlegible" w:cs="Atkinson Hyperlegible" w:eastAsia="Atkinson Hyperlegible" w:hAnsi="Atkinson Hyperlegible"/>
          <w:b/>
          <w:bCs/>
          <w:sz w:val="24"/>
          <w:szCs w:val="24"/>
        </w:rPr>
        <w:t xml:space="preserve">the pairs balance; the One never does; the books stay open — and the imperfection is not a flaw in the accounting. It is the accounting.</w:t>
      </w:r>
    </w:p>
    <w:p>
      <w:pPr>
        <w:pStyle w:val="Heading1"/>
        <w:pageBreakBefore/>
        <w:spacing w:after="180" w:before="120"/>
      </w:pPr>
      <w:r>
        <w:rPr>
          <w:rFonts w:ascii="Atkinson Hyperlegible" w:cs="Atkinson Hyperlegible" w:eastAsia="Atkinson Hyperlegible" w:hAnsi="Atkinson Hyperlegible"/>
          <w:b/>
          <w:bCs/>
          <w:sz w:val="40"/>
          <w:szCs w:val="40"/>
        </w:rPr>
        <w:t xml:space="preserve">9 — The Payment of D5</w:t>
      </w:r>
    </w:p>
    <w:p>
      <w:pPr>
        <w:spacing w:after="150" w:line="276"/>
        <w:jc w:val="both"/>
      </w:pPr>
      <w:r>
        <w:rPr>
          <w:rFonts w:ascii="Atkinson Hyperlegible" w:cs="Atkinson Hyperlegible" w:eastAsia="Atkinson Hyperlegible" w:hAnsi="Atkinson Hyperlegible"/>
          <w:sz w:val="24"/>
          <w:szCs w:val="24"/>
        </w:rPr>
        <w:t xml:space="preserve">Notebook VII’s D5 asked for the per-instant cost to be given a formal account, in the seat its own instruction named: Notebook IV, as a corollary or extension of AP06. The </w:t>
      </w:r>
      <w:r>
        <w:rPr>
          <w:rFonts w:ascii="Atkinson Hyperlegible" w:cs="Atkinson Hyperlegible" w:eastAsia="Atkinson Hyperlegible" w:hAnsi="Atkinson Hyperlegible"/>
          <w:b/>
          <w:bCs/>
          <w:sz w:val="24"/>
          <w:szCs w:val="24"/>
        </w:rPr>
        <w:t xml:space="preserve">splinter half</w:t>
      </w:r>
      <w:r>
        <w:rPr>
          <w:rFonts w:ascii="Atkinson Hyperlegible" w:cs="Atkinson Hyperlegible" w:eastAsia="Atkinson Hyperlegible" w:hAnsi="Atkinson Hyperlegible"/>
          <w:sz w:val="24"/>
          <w:szCs w:val="24"/>
        </w:rPr>
        <w:t xml:space="preserve"> — the standing commitment, one ε held so that the break persists — was paid by AP44’s arena constitution, quietly, before anyone saw it was a payment; the rulings of 11 August claimed it, at their hedge. The </w:t>
      </w:r>
      <w:r>
        <w:rPr>
          <w:rFonts w:ascii="Atkinson Hyperlegible" w:cs="Atkinson Hyperlegible" w:eastAsia="Atkinson Hyperlegible" w:hAnsi="Atkinson Hyperlegible"/>
          <w:b/>
          <w:bCs/>
          <w:sz w:val="24"/>
          <w:szCs w:val="24"/>
        </w:rPr>
        <w:t xml:space="preserve">flow half</w:t>
      </w:r>
      <w:r>
        <w:rPr>
          <w:rFonts w:ascii="Atkinson Hyperlegible" w:cs="Atkinson Hyperlegible" w:eastAsia="Atkinson Hyperlegible" w:hAnsi="Atkinson Hyperlegible"/>
          <w:sz w:val="24"/>
          <w:szCs w:val="24"/>
        </w:rPr>
        <w:t xml:space="preserve"> — the per-event cost — is paid by this proof’s Theorem 1: one grain per actualization, the alternatives not taken. Together with the author’s clause — the remainder as the toll in a sense — the two halves are one coin at two scales, and </w:t>
      </w:r>
      <w:r>
        <w:rPr>
          <w:rFonts w:ascii="Atkinson Hyperlegible" w:cs="Atkinson Hyperlegible" w:eastAsia="Atkinson Hyperlegible" w:hAnsi="Atkinson Hyperlegible"/>
          <w:b/>
          <w:bCs/>
          <w:sz w:val="24"/>
          <w:szCs w:val="24"/>
        </w:rPr>
        <w:t xml:space="preserve">D5’s formal account now exists.</w:t>
      </w:r>
      <w:r>
        <w:rPr>
          <w:rFonts w:ascii="Atkinson Hyperlegible" w:cs="Atkinson Hyperlegible" w:eastAsia="Atkinson Hyperlegible" w:hAnsi="Atkinson Hyperlegible"/>
          <w:sz w:val="24"/>
          <w:szCs w:val="24"/>
        </w:rPr>
        <w:t xml:space="preserve"> Whether D5 </w:t>
      </w:r>
      <w:r>
        <w:rPr>
          <w:rFonts w:ascii="Atkinson Hyperlegible" w:cs="Atkinson Hyperlegible" w:eastAsia="Atkinson Hyperlegible" w:hAnsi="Atkinson Hyperlegible"/>
          <w:i/>
          <w:iCs/>
          <w:sz w:val="24"/>
          <w:szCs w:val="24"/>
        </w:rPr>
        <w:t xml:space="preserve">closes</w:t>
      </w:r>
      <w:r>
        <w:rPr>
          <w:rFonts w:ascii="Atkinson Hyperlegible" w:cs="Atkinson Hyperlegible" w:eastAsia="Atkinson Hyperlegible" w:hAnsi="Atkinson Hyperlegible"/>
          <w:sz w:val="24"/>
          <w:szCs w:val="24"/>
        </w:rPr>
        <w:t xml:space="preserve"> is the author’s ruling at this proof’s lock; the debt does not close by this sentence, and says so. What this section additionally inherits with open eyes: the three registers the sources hold — per-instant residue, per-cycle rate, one global splinter — pointing at each other across Dissolutions and AP43; the two-role separation plus this ledger is the standing resolver, and the reconciliation is this section’s formal work at lock, not a footnote’s.</w:t>
      </w:r>
    </w:p>
    <w:p>
      <w:pPr>
        <w:pStyle w:val="Heading1"/>
        <w:pageBreakBefore/>
        <w:spacing w:after="180" w:before="120"/>
      </w:pPr>
      <w:r>
        <w:rPr>
          <w:rFonts w:ascii="Atkinson Hyperlegible" w:cs="Atkinson Hyperlegible" w:eastAsia="Atkinson Hyperlegible" w:hAnsi="Atkinson Hyperlegible"/>
          <w:b/>
          <w:bCs/>
          <w:sz w:val="40"/>
          <w:szCs w:val="40"/>
        </w:rPr>
        <w:t xml:space="preserve">10 — History and Genre, with the Deaths Shown</w:t>
      </w:r>
    </w:p>
    <w:p>
      <w:pPr>
        <w:spacing w:after="150" w:line="276"/>
        <w:jc w:val="both"/>
      </w:pPr>
      <w:r>
        <w:rPr>
          <w:rFonts w:ascii="Atkinson Hyperlegible" w:cs="Atkinson Hyperlegible" w:eastAsia="Atkinson Hyperlegible" w:hAnsi="Atkinson Hyperlegible"/>
          <w:b/>
          <w:bCs/>
          <w:sz w:val="24"/>
          <w:szCs w:val="24"/>
        </w:rPr>
        <w:t xml:space="preserve">The honest genre, on its face:</w:t>
      </w:r>
      <w:r>
        <w:rPr>
          <w:rFonts w:ascii="Atkinson Hyperlegible" w:cs="Atkinson Hyperlegible" w:eastAsia="Atkinson Hyperlegible" w:hAnsi="Atkinson Hyperlegible"/>
          <w:sz w:val="24"/>
          <w:szCs w:val="24"/>
        </w:rPr>
        <w:t xml:space="preserve"> a structural derivation whose result on the energy face is </w:t>
      </w:r>
      <w:r>
        <w:rPr>
          <w:rFonts w:ascii="Atkinson Hyperlegible" w:cs="Atkinson Hyperlegible" w:eastAsia="Atkinson Hyperlegible" w:hAnsi="Atkinson Hyperlegible"/>
          <w:b/>
          <w:bCs/>
          <w:sz w:val="24"/>
          <w:szCs w:val="24"/>
        </w:rPr>
        <w:t xml:space="preserve">INTERPRETIVE BY DIMENSION</w:t>
      </w:r>
      <w:r>
        <w:rPr>
          <w:rFonts w:ascii="Atkinson Hyperlegible" w:cs="Atkinson Hyperlegible" w:eastAsia="Atkinson Hyperlegible" w:hAnsi="Atkinson Hyperlegible"/>
          <w:sz w:val="24"/>
          <w:szCs w:val="24"/>
        </w:rPr>
        <w:t xml:space="preserve"> — this proof adds no term to any energy budget at any size, on purpose and by construction — and whose result on the possibility face is an </w:t>
      </w:r>
      <w:r>
        <w:rPr>
          <w:rFonts w:ascii="Atkinson Hyperlegible" w:cs="Atkinson Hyperlegible" w:eastAsia="Atkinson Hyperlegible" w:hAnsi="Atkinson Hyperlegible"/>
          <w:b/>
          <w:bCs/>
          <w:sz w:val="24"/>
          <w:szCs w:val="24"/>
        </w:rPr>
        <w:t xml:space="preserve">identification</w:t>
      </w:r>
      <w:r>
        <w:rPr>
          <w:rFonts w:ascii="Atkinson Hyperlegible" w:cs="Atkinson Hyperlegible" w:eastAsia="Atkinson Hyperlegible" w:hAnsi="Atkinson Hyperlegible"/>
          <w:sz w:val="24"/>
          <w:szCs w:val="24"/>
        </w:rPr>
        <w:t xml:space="preserve">, not a new prediction. Both labels are worn openly, because a paper that hides its genre is the disease this corpus exists to refuse. And the genre was not adopted; it was </w:t>
      </w:r>
      <w:r>
        <w:rPr>
          <w:rFonts w:ascii="Atkinson Hyperlegible" w:cs="Atkinson Hyperlegible" w:eastAsia="Atkinson Hyperlegible" w:hAnsi="Atkinson Hyperlegible"/>
          <w:b/>
          <w:bCs/>
          <w:sz w:val="24"/>
          <w:szCs w:val="24"/>
        </w:rPr>
        <w:t xml:space="preserve">forced</w:t>
      </w:r>
      <w:r>
        <w:rPr>
          <w:rFonts w:ascii="Atkinson Hyperlegible" w:cs="Atkinson Hyperlegible" w:eastAsia="Atkinson Hyperlegible" w:hAnsi="Atkinson Hyperlegible"/>
          <w:sz w:val="24"/>
          <w:szCs w:val="24"/>
        </w:rPr>
        <w:t xml:space="preserve">, twice, and both forcings are shown.</w:t>
      </w:r>
    </w:p>
    <w:p>
      <w:pPr>
        <w:spacing w:after="150" w:line="276"/>
        <w:jc w:val="both"/>
      </w:pPr>
      <w:r>
        <w:rPr>
          <w:rFonts w:ascii="Atkinson Hyperlegible" w:cs="Atkinson Hyperlegible" w:eastAsia="Atkinson Hyperlegible" w:hAnsi="Atkinson Hyperlegible"/>
          <w:b/>
          <w:bCs/>
          <w:sz w:val="24"/>
          <w:szCs w:val="24"/>
        </w:rPr>
        <w:t xml:space="preserve">The first death — KS-NPP.1, fired, and staying fired.</w:t>
      </w:r>
      <w:r>
        <w:rPr>
          <w:rFonts w:ascii="Atkinson Hyperlegible" w:cs="Atkinson Hyperlegible" w:eastAsia="Atkinson Hyperlegible" w:hAnsi="Atkinson Hyperlegible"/>
          <w:sz w:val="24"/>
          <w:szCs w:val="24"/>
        </w:rPr>
        <w:t xml:space="preserve"> This enquiry’s original quarry was the neutron. An earlier structural prediction on that front missed, its switch fired, and the corpse stands on the registry’s board under the house rule the author stated for the record: </w:t>
      </w:r>
      <w:r>
        <w:rPr>
          <w:rFonts w:ascii="Atkinson Hyperlegible" w:cs="Atkinson Hyperlegible" w:eastAsia="Atkinson Hyperlegible" w:hAnsi="Atkinson Hyperlegible"/>
          <w:i/>
          <w:iCs/>
          <w:sz w:val="24"/>
          <w:szCs w:val="24"/>
        </w:rPr>
        <w:t xml:space="preserve">always show the death; never hide; update, never delete.</w:t>
      </w:r>
      <w:r>
        <w:rPr>
          <w:rFonts w:ascii="Atkinson Hyperlegible" w:cs="Atkinson Hyperlegible" w:eastAsia="Atkinson Hyperlegible" w:hAnsi="Atkinson Hyperlegible"/>
          <w:sz w:val="24"/>
          <w:szCs w:val="24"/>
        </w:rPr>
        <w:t xml:space="preserve"> The fired switch is honest evidence that an omission exists on the resistance side — that inference is the scoreboard read correctly — and the omitted piece, if it is ever derived, will be derived from structure, computed once, blind to every standing number, behind the fence dated 16 August, entering the record as a new frozen claim and never as a repair. This proof does not repair KS-NPP.1. Nothing does. A fired switch stays fired; at most a new structural limb freezes beside the corpse, and the corpse stays on the board.</w:t>
      </w:r>
    </w:p>
    <w:p>
      <w:pPr>
        <w:spacing w:after="150" w:line="276"/>
        <w:jc w:val="both"/>
      </w:pPr>
      <w:r>
        <w:rPr>
          <w:rFonts w:ascii="Atkinson Hyperlegible" w:cs="Atkinson Hyperlegible" w:eastAsia="Atkinson Hyperlegible" w:hAnsi="Atkinson Hyperlegible"/>
          <w:b/>
          <w:bCs/>
          <w:sz w:val="24"/>
          <w:szCs w:val="24"/>
        </w:rPr>
        <w:t xml:space="preserve">The second death — the pre-registered execution of 16 August, with its numbers.</w:t>
      </w:r>
      <w:r>
        <w:rPr>
          <w:rFonts w:ascii="Atkinson Hyperlegible" w:cs="Atkinson Hyperlegible" w:eastAsia="Atkinson Hyperlegible" w:hAnsi="Atkinson Hyperlegible"/>
          <w:sz w:val="24"/>
          <w:szCs w:val="24"/>
        </w:rPr>
        <w:t xml:space="preserve"> Five days before any number existed, the family pre-registered its own headroom test. On 16 August the ceilings were inventoried and hashed at 15:00:19Z (cb77b354…); the candidate’s first arithmetic exists at 15:00:37Z — </w:t>
      </w:r>
      <w:r>
        <w:rPr>
          <w:rFonts w:ascii="Atkinson Hyperlegible" w:cs="Atkinson Hyperlegible" w:eastAsia="Atkinson Hyperlegible" w:hAnsi="Atkinson Hyperlegible"/>
          <w:b/>
          <w:bCs/>
          <w:sz w:val="24"/>
          <w:szCs w:val="24"/>
        </w:rPr>
        <w:t xml:space="preserve">eighteen seconds separate the law from the number.</w:t>
      </w:r>
      <w:r>
        <w:rPr>
          <w:rFonts w:ascii="Atkinson Hyperlegible" w:cs="Atkinson Hyperlegible" w:eastAsia="Atkinson Hyperlegible" w:hAnsi="Atkinson Hyperlegible"/>
          <w:sz w:val="24"/>
          <w:szCs w:val="24"/>
        </w:rPr>
        <w:t xml:space="preserve"> The candidate — the toll read as an </w:t>
      </w:r>
      <w:r>
        <w:rPr>
          <w:rFonts w:ascii="Atkinson Hyperlegible" w:cs="Atkinson Hyperlegible" w:eastAsia="Atkinson Hyperlegible" w:hAnsi="Atkinson Hyperlegible"/>
          <w:i/>
          <w:iCs/>
          <w:sz w:val="24"/>
          <w:szCs w:val="24"/>
        </w:rPr>
        <w:t xml:space="preserve">additional</w:t>
      </w:r>
      <w:r>
        <w:rPr>
          <w:rFonts w:ascii="Atkinson Hyperlegible" w:cs="Atkinson Hyperlegible" w:eastAsia="Atkinson Hyperlegible" w:hAnsi="Atkinson Hyperlegible"/>
          <w:sz w:val="24"/>
          <w:szCs w:val="24"/>
        </w:rPr>
        <w:t xml:space="preserve"> per-event energy term at magnitude α times the broken grip’s energy — computed once: 0.0992 eV at a hydrogen optical event against a ceiling of 2.1 × 10⁻¹¹ eV, an excess of 4.8 × 10⁹; 0.0326 eV at a bond-breaking event against 4.0 × 10⁻⁸ eV, an excess of 8.1 × 10⁵. </w:t>
      </w:r>
      <w:r>
        <w:rPr>
          <w:rFonts w:ascii="Atkinson Hyperlegible" w:cs="Atkinson Hyperlegible" w:eastAsia="Atkinson Hyperlegible" w:hAnsi="Atkinson Hyperlegible"/>
          <w:b/>
          <w:bCs/>
          <w:sz w:val="24"/>
          <w:szCs w:val="24"/>
        </w:rPr>
        <w:t xml:space="preserve">It died without appeal</w:t>
      </w:r>
      <w:r>
        <w:rPr>
          <w:rFonts w:ascii="Atkinson Hyperlegible" w:cs="Atkinson Hyperlegible" w:eastAsia="Atkinson Hyperlegible" w:hAnsi="Atkinson Hyperlegible"/>
          <w:sz w:val="24"/>
          <w:szCs w:val="24"/>
        </w:rP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 The death is what forced the dimension into the open: the toll was never in the ceilings’ jurisdiction, and the family found that out the honest way — by letting the wrong reading walk into the wall at full speed, on the record.</w:t>
      </w:r>
    </w:p>
    <w:p>
      <w:pPr>
        <w:spacing w:after="150" w:line="276"/>
        <w:jc w:val="both"/>
      </w:pPr>
      <w:r>
        <w:rPr>
          <w:rFonts w:ascii="Atkinson Hyperlegible" w:cs="Atkinson Hyperlegible" w:eastAsia="Atkinson Hyperlegible" w:hAnsi="Atkinson Hyperlegible"/>
          <w:b/>
          <w:bCs/>
          <w:sz w:val="24"/>
          <w:szCs w:val="24"/>
        </w:rPr>
        <w:t xml:space="preserve">The cage.</w:t>
      </w:r>
      <w:r>
        <w:rPr>
          <w:rFonts w:ascii="Atkinson Hyperlegible" w:cs="Atkinson Hyperlegible" w:eastAsia="Atkinson Hyperlegible" w:hAnsi="Atkinson Hyperlegible"/>
          <w:sz w:val="24"/>
          <w:szCs w:val="24"/>
        </w:rPr>
        <w:t xml:space="preserve"> Two coincidences are recorded because they are pretty and caged because they were noticed after the fact; both are graded INTERPRETIVE-COHERENCE and neither is evidence. One: α times a chemical bond sits at the thermal scale — α × 4.46 eV ≈ 0.033 eV against kT at room temperature ≈ 0.026 eV — the ruled modulator’s quantitative face: the environment hands out quanta at the toll’s denomination for chemistry’s grips. Two: the standard theory’s own bookkeeping charges α at every coupling vertex, and this proof’s toll charges α-worth at every actualization; the vertex factor and the toll rhyme. A rhyme is not a derivation. The cage is labeled, and the label is part of the paper.</w:t>
      </w:r>
    </w:p>
    <w:p>
      <w:pPr>
        <w:pStyle w:val="Heading1"/>
        <w:pageBreakBefore/>
        <w:spacing w:after="180" w:before="120"/>
      </w:pPr>
      <w:r>
        <w:rPr>
          <w:rFonts w:ascii="Atkinson Hyperlegible" w:cs="Atkinson Hyperlegible" w:eastAsia="Atkinson Hyperlegible" w:hAnsi="Atkinson Hyperlegible"/>
          <w:b/>
          <w:bCs/>
          <w:sz w:val="40"/>
          <w:szCs w:val="40"/>
        </w:rPr>
        <w:t xml:space="preserve">11 — What This Proof Does Not Claim</w:t>
      </w:r>
    </w:p>
    <w:p>
      <w:pPr>
        <w:spacing w:after="150" w:line="276"/>
        <w:jc w:val="both"/>
      </w:pPr>
      <w:r>
        <w:rPr>
          <w:rFonts w:ascii="Atkinson Hyperlegible" w:cs="Atkinson Hyperlegible" w:eastAsia="Atkinson Hyperlegible" w:hAnsi="Atkinson Hyperlegible"/>
          <w:sz w:val="24"/>
          <w:szCs w:val="24"/>
        </w:rPr>
        <w:t xml:space="preserve">It adds no term to any energy budget, at any size. It does not derive the value of α — the seat is named; the value stays the one measured input; the corpus’s stance is untouched. It does not repair KS-NPP.1. It does not deliver the mirror’s outstanding energy-face piece — D-BLINK.3 names it, dates its fence, and leaves it for structure to produce once, blind, if ever. It predicts no probability, no deviation, no spectroscopic signature, and no cosmological share. And it does not claim the axiom balances: the deepest clause of this family is the opposite, and §8 carries it. The books stay open.</w:t>
      </w:r>
    </w:p>
    <w:p>
      <w:pPr>
        <w:pStyle w:val="Heading1"/>
        <w:pageBreakBefore/>
        <w:spacing w:after="180" w:before="120"/>
      </w:pPr>
      <w:r>
        <w:rPr>
          <w:rFonts w:ascii="Atkinson Hyperlegible" w:cs="Atkinson Hyperlegible" w:eastAsia="Atkinson Hyperlegible" w:hAnsi="Atkinson Hyperlegible"/>
          <w:b/>
          <w:bCs/>
          <w:sz w:val="40"/>
          <w:szCs w:val="40"/>
        </w:rPr>
        <w:t xml:space="preserve">12 — Kill Switches</w:t>
      </w:r>
    </w:p>
    <w:p>
      <w:pPr>
        <w:spacing w:after="150" w:line="276"/>
        <w:jc w:val="both"/>
      </w:pPr>
      <w:r>
        <w:rPr>
          <w:rFonts w:ascii="Atkinson Hyperlegible" w:cs="Atkinson Hyperlegible" w:eastAsia="Atkinson Hyperlegible" w:hAnsi="Atkinson Hyperlegible"/>
          <w:sz w:val="24"/>
          <w:szCs w:val="24"/>
        </w:rPr>
        <w:t xml:space="preserve">Four armed at lock on the author’s word; one fired and shown. Claim / Test / Status / Recovery, identifiers pending MKSR registration at the wave.</w:t>
      </w:r>
    </w:p>
    <w:p>
      <w:pPr>
        <w:pStyle w:val="Heading2"/>
        <w:spacing w:after="110" w:before="220"/>
      </w:pPr>
      <w:r>
        <w:rPr>
          <w:rFonts w:ascii="Atkinson Hyperlegible" w:cs="Atkinson Hyperlegible" w:eastAsia="Atkinson Hyperlegible" w:hAnsi="Atkinson Hyperlegible"/>
          <w:b/>
          <w:bCs/>
          <w:sz w:val="32"/>
          <w:szCs w:val="32"/>
        </w:rPr>
        <w:t xml:space="preserve">KS-BLINK.1 — The balanced break</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break carries a strict, registrable win; a break at exact balance is a non-event (Lemma 1).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D-CCC.1’s record algebra, when written.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the algebra permits balanced breaks, Theorem 1’s existence clause falls and the proof reverts to a description.</w:t>
      </w:r>
    </w:p>
    <w:p>
      <w:pPr>
        <w:pStyle w:val="Heading2"/>
        <w:spacing w:after="110" w:before="220"/>
      </w:pPr>
      <w:r>
        <w:rPr>
          <w:rFonts w:ascii="Atkinson Hyperlegible" w:cs="Atkinson Hyperlegible" w:eastAsia="Atkinson Hyperlegible" w:hAnsi="Atkinson Hyperlegible"/>
          <w:b/>
          <w:bCs/>
          <w:sz w:val="32"/>
          <w:szCs w:val="32"/>
        </w:rPr>
        <w:t xml:space="preserve">KS-BLINK.2 — The Born identification</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possibility ledger’s outside face is the Born statistics.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record algebra’s derived weights; inherits the switches of the corpus’s own quantum papers.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the algebra yields non-Born weighting from the same structure, the identification retires; the toll theorem stands, unpriced on its outside.</w:t>
      </w:r>
    </w:p>
    <w:p>
      <w:pPr>
        <w:pStyle w:val="Heading2"/>
        <w:spacing w:after="110" w:before="220"/>
      </w:pPr>
      <w:r>
        <w:rPr>
          <w:rFonts w:ascii="Atkinson Hyperlegible" w:cs="Atkinson Hyperlegible" w:eastAsia="Atkinson Hyperlegible" w:hAnsi="Atkinson Hyperlegible"/>
          <w:b/>
          <w:bCs/>
          <w:sz w:val="32"/>
          <w:szCs w:val="32"/>
        </w:rPr>
        <w:t xml:space="preserve">KS-BLINK.3 — The dimension label</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energy budget owes this toll a line, at any size.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corpus’s own future use.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it binds the claim, not a person, in the sovereignty pattern of KS-CCC.1.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It fires against any consumer — including the author, including the desk — who prices the toll into an energy formula without a superseding derivation; the offending use retires, the proof stands.</w:t>
      </w:r>
    </w:p>
    <w:p>
      <w:pPr>
        <w:pStyle w:val="Heading2"/>
        <w:spacing w:after="110" w:before="220"/>
      </w:pPr>
      <w:r>
        <w:rPr>
          <w:rFonts w:ascii="Atkinson Hyperlegible" w:cs="Atkinson Hyperlegible" w:eastAsia="Atkinson Hyperlegible" w:hAnsi="Atkinson Hyperlegible"/>
          <w:b/>
          <w:bCs/>
          <w:sz w:val="32"/>
          <w:szCs w:val="32"/>
        </w:rPr>
        <w:t xml:space="preserve">KS-BLINK.4 — The grain count</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One grain per event, regardless of the crowd of vanished alternatives.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record algebra’s event accounting.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the formalism forces per-alternative pricing, the count clause falls and the denomination reopens.</w:t>
      </w:r>
    </w:p>
    <w:p>
      <w:pPr>
        <w:pStyle w:val="Heading2"/>
        <w:spacing w:after="110" w:before="220"/>
      </w:pPr>
      <w:r>
        <w:rPr>
          <w:rFonts w:ascii="Atkinson Hyperlegible" w:cs="Atkinson Hyperlegible" w:eastAsia="Atkinson Hyperlegible" w:hAnsi="Atkinson Hyperlegible"/>
          <w:b/>
          <w:bCs/>
          <w:sz w:val="32"/>
          <w:szCs w:val="32"/>
        </w:rPr>
        <w:t xml:space="preserve">KS-NPP.1 — Fired, and shown</w:t>
      </w:r>
    </w:p>
    <w:p>
      <w:pPr>
        <w:spacing w:after="15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FIRED — the neutron-front prediction that missed, standing on the board per the house rule: the death shown, never hidden, never deleted, never repaired. Its honest yield is recorded in §10: an omission exists on the resistance side, and its future derivation, if any, enters as new. Registered at the wave as the registry’s first shown firing from this family.</w:t>
      </w:r>
    </w:p>
    <w:p>
      <w:pPr>
        <w:pStyle w:val="Heading1"/>
        <w:pageBreakBefore/>
        <w:spacing w:after="180" w:before="120"/>
      </w:pPr>
      <w:r>
        <w:rPr>
          <w:rFonts w:ascii="Atkinson Hyperlegible" w:cs="Atkinson Hyperlegible" w:eastAsia="Atkinson Hyperlegible" w:hAnsi="Atkinson Hyperlegible"/>
          <w:b/>
          <w:bCs/>
          <w:sz w:val="40"/>
          <w:szCs w:val="40"/>
        </w:rPr>
        <w:t xml:space="preserve">13 — Dependencies, and What Moves on Adoption</w:t>
      </w:r>
    </w:p>
    <w:p>
      <w:pPr>
        <w:spacing w:after="150" w:line="276"/>
        <w:jc w:val="both"/>
      </w:pPr>
      <w:r>
        <w:rPr>
          <w:rFonts w:ascii="Atkinson Hyperlegible" w:cs="Atkinson Hyperlegible" w:eastAsia="Atkinson Hyperlegible" w:hAnsi="Atkinson Hyperlegible"/>
          <w:sz w:val="24"/>
          <w:szCs w:val="24"/>
        </w:rPr>
        <w:t xml:space="preserve">Load-bearing, verified at file level in the family record: AP44 §4 and its lock instrument; AP43 Premise 2 and D5; the Ø Dissolutions Axiom chapter and Chapter 11; AP28’s channel construction; AP29’s E ≡ κ(B)AS; AP06’s rate semantics; AP19 §3; and the eleven family documents of §0.2 with the ceiling inventory. On adoption at the wave: the Master Kill Switch Registry advances by </w:t>
      </w:r>
      <w:r>
        <w:rPr>
          <w:rFonts w:ascii="Atkinson Hyperlegible" w:cs="Atkinson Hyperlegible" w:eastAsia="Atkinson Hyperlegible" w:hAnsi="Atkinson Hyperlegible"/>
          <w:b/>
          <w:bCs/>
          <w:sz w:val="24"/>
          <w:szCs w:val="24"/>
        </w:rPr>
        <w:t xml:space="preserve">five entries — four live, one fired and shown</w:t>
      </w:r>
      <w:r>
        <w:rPr>
          <w:rFonts w:ascii="Atkinson Hyperlegible" w:cs="Atkinson Hyperlegible" w:eastAsia="Atkinson Hyperlegible" w:hAnsi="Atkinson Hyperlegible"/>
          <w:sz w:val="24"/>
          <w:szCs w:val="24"/>
        </w:rPr>
        <w:t xml:space="preserve"> — totals fixed at the wave against the registry file of record; AP45 registers in Notebook IV beside AP44; the D5 line updates per §9 with closure the author’s ruling; and the D-BLINK debts enter the register beside D-CCC.1’s, which their formalisation inherits. Nothing else in canon moves: no value, no constant, no share, no page that carries a number.</w:t>
      </w:r>
    </w:p>
    <w:p>
      <w:pPr>
        <w:pStyle w:val="Heading1"/>
        <w:pageBreakBefore/>
        <w:spacing w:after="180" w:before="120"/>
      </w:pPr>
      <w:r>
        <w:rPr>
          <w:rFonts w:ascii="Atkinson Hyperlegible" w:cs="Atkinson Hyperlegible" w:eastAsia="Atkinson Hyperlegible" w:hAnsi="Atkinson Hyperlegible"/>
          <w:b/>
          <w:bCs/>
          <w:sz w:val="40"/>
          <w:szCs w:val="40"/>
        </w:rPr>
        <w:t xml:space="preserve">Claim Summary</w:t>
      </w:r>
    </w:p>
    <w:p>
      <w:pPr>
        <w:spacing w:after="150" w:line="276"/>
        <w:jc w:val="both"/>
      </w:pPr>
      <w:r>
        <w:rPr>
          <w:rFonts w:ascii="Atkinson Hyperlegible" w:cs="Atkinson Hyperlegible" w:eastAsia="Atkinson Hyperlegible" w:hAnsi="Atkinson Hyperlegible"/>
          <w:sz w:val="24"/>
          <w:szCs w:val="24"/>
        </w:rPr>
        <w:t xml:space="preserve">Every actualization is one singular blink; the event necessarily costs exactly one grain of distinction, denominated α, spent on the possibility ledger as the alternatives not taken; the energy face of the event is ordinary and unchanged; the Born statistics are the possibility ledger’s outside face, as an identification; the blink is the releasing direction’s cost family, the structural mirror of AP44’s writing-direction commitment, and together they balance the axiom’s bracket around the One that never balances; D5’s formal account exists in the two halves; and the whole stands graded — interpretive by dimension on the energy face, identification on the possibility face — with its two deaths shown, four switches armed, and no number predicted anywhere.</w:t>
      </w:r>
    </w:p>
    <w:p>
      <w:pPr>
        <w:pStyle w:val="Heading1"/>
        <w:pageBreakBefore/>
        <w:spacing w:after="180" w:before="120"/>
      </w:pPr>
      <w:r>
        <w:rPr>
          <w:rFonts w:ascii="Atkinson Hyperlegible" w:cs="Atkinson Hyperlegible" w:eastAsia="Atkinson Hyperlegible" w:hAnsi="Atkinson Hyperlegible"/>
          <w:b/>
          <w:bCs/>
          <w:sz w:val="40"/>
          <w:szCs w:val="40"/>
        </w:rPr>
        <w:t xml:space="preserve">Conditionality Footer</w:t>
      </w:r>
    </w:p>
    <w:p>
      <w:pPr>
        <w:spacing w:after="150" w:line="276"/>
        <w:jc w:val="both"/>
      </w:pPr>
      <w:r>
        <w:rPr>
          <w:rFonts w:ascii="Atkinson Hyperlegible" w:cs="Atkinson Hyperlegible" w:eastAsia="Atkinson Hyperlegible" w:hAnsi="Atkinson Hyperlegible"/>
          <w:sz w:val="24"/>
          <w:szCs w:val="24"/>
        </w:rPr>
        <w:t xml:space="preserve">Everything above is conditional on the axiom and its locked developments, and is exactly as strong as they are. If D-CCC.1’s algebra, when written, permits balanced breaks, Theorem 1 falls. If it yields non-Born weights, the identification retires. If the count is forced per-alternative, the denomination reopens. If the one-axis finding of §6 breaks under an adjusted pairing, the partitions separate again and §6 reverts to two compatible readings. 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pStyle w:val="Heading1"/>
        <w:pageBreakBefore/>
        <w:spacing w:after="180" w:before="120"/>
      </w:pPr>
      <w:r>
        <w:rPr>
          <w:rFonts w:ascii="Atkinson Hyperlegible" w:cs="Atkinson Hyperlegible" w:eastAsia="Atkinson Hyperlegible" w:hAnsi="Atkinson Hyperlegible"/>
          <w:b/>
          <w:bCs/>
          <w:sz w:val="40"/>
          <w:szCs w:val="40"/>
        </w:rPr>
        <w:t xml:space="preserve">Notation Reference</w:t>
      </w:r>
    </w:p>
    <w:p>
      <w:pPr>
        <w:spacing w:after="150" w:line="276"/>
        <w:jc w:val="both"/>
      </w:pPr>
      <w:r>
        <w:rPr>
          <w:rFonts w:ascii="Atkinson Hyperlegible" w:cs="Atkinson Hyperlegible" w:eastAsia="Atkinson Hyperlegible" w:hAnsi="Atkinson Hyperlegible"/>
          <w:b/>
          <w:bCs/>
          <w:sz w:val="24"/>
          <w:szCs w:val="24"/>
        </w:rPr>
        <w:t xml:space="preserve">1:1 + 1×ε @ AS [+1/137 | −1/137]</w:t>
      </w:r>
      <w:r>
        <w:rPr>
          <w:rFonts w:ascii="Atkinson Hyperlegible" w:cs="Atkinson Hyperlegible" w:eastAsia="Atkinson Hyperlegible" w:hAnsi="Atkinson Hyperlegible"/>
          <w:sz w:val="24"/>
          <w:szCs w:val="24"/>
        </w:rPr>
        <w:t xml:space="preserve"> — the complete axiom: symmetry with its held break at the actualizing now, the α-flow cycling around it. </w:t>
      </w: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break; the grain; identified with the electron under The Lock. </w:t>
      </w:r>
      <w:r>
        <w:rPr>
          <w:rFonts w:ascii="Atkinson Hyperlegible" w:cs="Atkinson Hyperlegible" w:eastAsia="Atkinson Hyperlegible" w:hAnsi="Atkinson Hyperlegible"/>
          <w:b/>
          <w:bCs/>
          <w:sz w:val="24"/>
          <w:szCs w:val="24"/>
        </w:rPr>
        <w:t xml:space="preserve">α</w:t>
      </w:r>
      <w:r>
        <w:rPr>
          <w:rFonts w:ascii="Atkinson Hyperlegible" w:cs="Atkinson Hyperlegible" w:eastAsia="Atkinson Hyperlegible" w:hAnsi="Atkinson Hyperlegible"/>
          <w:sz w:val="24"/>
          <w:szCs w:val="24"/>
        </w:rPr>
        <w:t xml:space="preserve"> — the fine-structure constant, ≈ 1/137.036, the one measured input; the per-channel coupling; the actualisation rate whose seat is the space between, not a channel. One object, several readings, each named where used. </w:t>
      </w:r>
      <w:r>
        <w:rPr>
          <w:rFonts w:ascii="Atkinson Hyperlegible" w:cs="Atkinson Hyperlegible" w:eastAsia="Atkinson Hyperlegible" w:hAnsi="Atkinson Hyperlegible"/>
          <w:b/>
          <w:bCs/>
          <w:sz w:val="24"/>
          <w:szCs w:val="24"/>
        </w:rPr>
        <w:t xml:space="preserve">+ / −</w:t>
      </w:r>
      <w:r>
        <w:rPr>
          <w:rFonts w:ascii="Atkinson Hyperlegible" w:cs="Atkinson Hyperlegible" w:eastAsia="Atkinson Hyperlegible" w:hAnsi="Atkinson Hyperlegible"/>
          <w:sz w:val="24"/>
          <w:szCs w:val="24"/>
        </w:rPr>
        <w:t xml:space="preserve"> — the writing and releasing directions of the flow: roads, not objects; the object +1×ε departs via the − road at a break. </w:t>
      </w:r>
      <w:r>
        <w:rPr>
          <w:rFonts w:ascii="Atkinson Hyperlegible" w:cs="Atkinson Hyperlegible" w:eastAsia="Atkinson Hyperlegible" w:hAnsi="Atkinson Hyperlegible"/>
          <w:b/>
          <w:bCs/>
          <w:sz w:val="24"/>
          <w:szCs w:val="24"/>
        </w:rPr>
        <w:t xml:space="preserve">Lineage, splinter, sliver, grip, blink, window, toll, bump</w:t>
      </w:r>
      <w:r>
        <w:rPr>
          <w:rFonts w:ascii="Atkinson Hyperlegible" w:cs="Atkinson Hyperlegible" w:eastAsia="Atkinson Hyperlegible" w:hAnsi="Atkinson Hyperlegible"/>
          <w:sz w:val="24"/>
          <w:szCs w:val="24"/>
        </w:rPr>
        <w:t xml:space="preserve"> — §1. </w:t>
      </w:r>
      <w:r>
        <w:rPr>
          <w:rFonts w:ascii="Atkinson Hyperlegible" w:cs="Atkinson Hyperlegible" w:eastAsia="Atkinson Hyperlegible" w:hAnsi="Atkinson Hyperlegible"/>
          <w:b/>
          <w:bCs/>
          <w:sz w:val="24"/>
          <w:szCs w:val="24"/>
        </w:rPr>
        <w:t xml:space="preserve">The twelve and the nine; 10:10 + 1</w:t>
      </w:r>
      <w:r>
        <w:rPr>
          <w:rFonts w:ascii="Atkinson Hyperlegible" w:cs="Atkinson Hyperlegible" w:eastAsia="Atkinson Hyperlegible" w:hAnsi="Atkinson Hyperlegible"/>
          <w:sz w:val="24"/>
          <w:szCs w:val="24"/>
        </w:rPr>
        <w:t xml:space="preserve"> — §6’s partitions, one axis. </w:t>
      </w:r>
      <w:r>
        <w:rPr>
          <w:rFonts w:ascii="Atkinson Hyperlegible" w:cs="Atkinson Hyperlegible" w:eastAsia="Atkinson Hyperlegible" w:hAnsi="Atkinson Hyperlegible"/>
          <w:b/>
          <w:bCs/>
          <w:sz w:val="24"/>
          <w:szCs w:val="24"/>
        </w:rPr>
        <w:t xml:space="preserve">E ≡ κ(B)AS</w:t>
      </w:r>
      <w:r>
        <w:rPr>
          <w:rFonts w:ascii="Atkinson Hyperlegible" w:cs="Atkinson Hyperlegible" w:eastAsia="Atkinson Hyperlegible" w:hAnsi="Atkinson Hyperlegible"/>
          <w:sz w:val="24"/>
          <w:szCs w:val="24"/>
        </w:rPr>
        <w:t xml:space="preserve"> — AP29: energy as coupling capacity expressed at the now. </w:t>
      </w:r>
      <w:r>
        <w:rPr>
          <w:rFonts w:ascii="Atkinson Hyperlegible" w:cs="Atkinson Hyperlegible" w:eastAsia="Atkinson Hyperlegible" w:hAnsi="Atkinson Hyperlegible"/>
          <w:b/>
          <w:bCs/>
          <w:sz w:val="24"/>
          <w:szCs w:val="24"/>
        </w:rPr>
        <w:t xml:space="preserve">KS-</w:t>
      </w:r>
      <w:r>
        <w:rPr>
          <w:rFonts w:ascii="Atkinson Hyperlegible" w:cs="Atkinson Hyperlegible" w:eastAsia="Atkinson Hyperlegible" w:hAnsi="Atkinson Hyperlegible"/>
          <w:sz w:val="24"/>
          <w:szCs w:val="24"/>
        </w:rPr>
        <w:t xml:space="preserve"> — kill switch; </w:t>
      </w:r>
      <w:r>
        <w:rPr>
          <w:rFonts w:ascii="Atkinson Hyperlegible" w:cs="Atkinson Hyperlegible" w:eastAsia="Atkinson Hyperlegible" w:hAnsi="Atkinson Hyperlegible"/>
          <w:b/>
          <w:bCs/>
          <w:sz w:val="24"/>
          <w:szCs w:val="24"/>
        </w:rPr>
        <w:t xml:space="preserve">D-</w:t>
      </w:r>
      <w:r>
        <w:rPr>
          <w:rFonts w:ascii="Atkinson Hyperlegible" w:cs="Atkinson Hyperlegible" w:eastAsia="Atkinson Hyperlegible" w:hAnsi="Atkinson Hyperlegible"/>
          <w:sz w:val="24"/>
          <w:szCs w:val="24"/>
        </w:rPr>
        <w:t xml:space="preserve"> — declared debt. </w:t>
      </w:r>
      <w:r>
        <w:rPr>
          <w:rFonts w:ascii="Atkinson Hyperlegible" w:cs="Atkinson Hyperlegible" w:eastAsia="Atkinson Hyperlegible" w:hAnsi="Atkinson Hyperlegible"/>
          <w:b/>
          <w:bCs/>
          <w:sz w:val="24"/>
          <w:szCs w:val="24"/>
        </w:rPr>
        <w:t xml:space="preserve">Ø</w:t>
      </w:r>
      <w:r>
        <w:rPr>
          <w:rFonts w:ascii="Atkinson Hyperlegible" w:cs="Atkinson Hyperlegible" w:eastAsia="Atkinson Hyperlegible" w:hAnsi="Atkinson Hyperlegible"/>
          <w:sz w:val="24"/>
          <w:szCs w:val="24"/>
        </w:rPr>
        <w:t xml:space="preserve"> — the empty set; undifferentiated potential; the terminus of total defragmentation and what the axiom exists by refusing.</w:t>
      </w:r>
    </w:p>
    <w:p>
      <w:pPr>
        <w:spacing w:after="160"/>
      </w:pPr>
    </w:p>
    <w:p>
      <w:pPr>
        <w:spacing w:after="240"/>
        <w:jc w:val="center"/>
      </w:pPr>
      <w:r>
        <w:rPr>
          <w:rFonts w:ascii="Atkinson Hyperlegible" w:cs="Atkinson Hyperlegible" w:eastAsia="Atkinson Hyperlegible" w:hAnsi="Atkinson Hyperlegible"/>
          <w:b w:val="false"/>
          <w:bCs w:val="false"/>
          <w:i/>
          <w:iCs/>
          <w:sz w:val="24"/>
          <w:szCs w:val="24"/>
        </w:rPr>
        <w:t>End of The Blink. Artist’s Proof 45 — Draft v0.3, unlocked.</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AP45</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Blink</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5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5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2026-08-16T16:44:19.069Z</dcterms:created>
  <dcterms:modified xsi:type="dcterms:W3CDTF">2026-08-16T16:44:19.069Z</dcterms:modified>
</cp:coreProperties>
</file>

<file path=docProps/custom.xml><?xml version="1.0" encoding="utf-8"?>
<Properties xmlns="http://schemas.openxmlformats.org/officeDocument/2006/custom-properties" xmlns:vt="http://schemas.openxmlformats.org/officeDocument/2006/docPropsVTypes"/>
</file>