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tkinson Hyperlegible" w:cs="Atkinson Hyperlegible" w:eastAsia="Atkinson Hyperlegible" w:hAnsi="Atkinson Hyperlegible"/>
          <w:b/>
          <w:bCs/>
          <w:sz w:val="40"/>
          <w:szCs w:val="40"/>
        </w:rPr>
        <w:t xml:space="preserve">AP45 — The Blink</w:t>
      </w:r>
    </w:p>
    <w:p>
      <w:pPr>
        <w:spacing w:after="300"/>
        <w:jc w:val="center"/>
      </w:pPr>
      <w:r>
        <w:rPr>
          <w:rFonts w:ascii="Atkinson Hyperlegible" w:cs="Atkinson Hyperlegible" w:eastAsia="Atkinson Hyperlegible" w:hAnsi="Atkinson Hyperlegible"/>
          <w:sz w:val="22"/>
          <w:szCs w:val="22"/>
        </w:rPr>
        <w:t xml:space="preserve">The 420 Code · Studio G, Strand, Cape Town · 2026-08-16</w:t>
      </w:r>
    </w:p>
    <w:p>
      <w:pPr>
        <w:spacing w:after="100"/>
      </w:pPr>
      <w:r>
        <w:rPr>
          <w:rFonts w:ascii="Atkinson Hyperlegible" w:cs="Atkinson Hyperlegible" w:eastAsia="Atkinson Hyperlegible" w:hAnsi="Atkinson Hyperlegible"/>
          <w:b/>
          <w:bCs/>
          <w:sz w:val="20"/>
          <w:szCs w:val="20"/>
        </w:rPr>
        <w:t xml:space="preserve">Register: research draft, the author's drawer. Nothing here circulates, publishes, or anchors until the author says so; the hash exists because dated records are how this work is done. Working title and number per the author's ruling this night: AP45, a new Artist's Proof — the particle-side companion to AP44, The Snap. Placement in the Notebooks is the author's at lock.</w:t>
      </w:r>
    </w:p>
    <w:p>
      <w:pPr>
        <w:spacing w:after="100"/>
      </w:pPr>
      <w:r>
        <w:rPr>
          <w:rFonts w:ascii="Atkinson Hyperlegible" w:cs="Atkinson Hyperlegible" w:eastAsia="Atkinson Hyperlegible" w:hAnsi="Atkinson Hyperlegible"/>
          <w:b/>
          <w:bCs/>
          <w:sz w:val="20"/>
          <w:szCs w:val="20"/>
        </w:rPr>
        <w:t xml:space="preserve">Genre, on its face: a structural derivation whose result on the energy face is INTERPRETIVE BY DIMENSION — this paper adds no term to any energy budget at any size, on purpose and by construction — and whose result on the possibility face is an identification, not a new prediction. Both labels are worn openly, because a paper that hides its genre is the disease this corpus exists to refuse.</w:t>
      </w:r>
    </w:p>
    <w:p>
      <w:pPr>
        <w:spacing w:after="100"/>
      </w:pPr>
      <w:r>
        <w:rPr>
          <w:rFonts w:ascii="Atkinson Hyperlegible" w:cs="Atkinson Hyperlegible" w:eastAsia="Atkinson Hyperlegible" w:hAnsi="Atkinson Hyperlegible"/>
          <w:b/>
          <w:bCs/>
          <w:sz w:val="20"/>
          <w:szCs w:val="20"/>
        </w:rPr>
        <w:t xml:space="preserve">Inheritance: the locked Blink family — WP-BUMP.1 (31ef27d6…), BUMP.2 FINAL (72f02d43…), BUMP.3 FINAL (b136b73c…), BUMP.4 FINAL (664f9840…), BUMP.5 FINAL (a221b1e4…), BUMP.6 FINAL (09a7f73a…), BUMP.7 FINAL (186b0bf2…), BUMP.8 (7ff151ed…), BUMP.9 (72c8646d…), BUMP.10 FINAL (e616db42…) — and WP-COST.1 FINAL (4f7a1c6a…). Everything below derives from the axiom outward: 1:1 + 1×ε @ AS [+1/137 | −1/137].</w:t>
      </w:r>
    </w:p>
    <w:p>
      <w:pPr>
        <w:spacing w:after="100"/>
      </w:pPr>
      <w:r>
        <w:rPr>
          <w:rFonts w:ascii="Atkinson Hyperlegible" w:cs="Atkinson Hyperlegible" w:eastAsia="Atkinson Hyperlegible" w:hAnsi="Atkinson Hyperlegible"/>
          <w:b/>
          <w:bCs/>
          <w:sz w:val="20"/>
          <w:szCs w:val="20"/>
        </w:rPr>
        <w:t xml:space="preserve">Reading copy, with answer prompts at §7. The canonical hashed artifact is AP45_The_Blink_v0_1.md with its sidecar.</w:t>
      </w:r>
    </w:p>
    <w:p>
      <w:pPr>
        <w:pStyle w:val="Heading1"/>
        <w:spacing w:after="240" w:before="480"/>
      </w:pPr>
      <w:r>
        <w:rPr>
          <w:rFonts w:ascii="Atkinson Hyperlegible" w:cs="Atkinson Hyperlegible" w:eastAsia="Atkinson Hyperlegible" w:hAnsi="Atkinson Hyperlegible"/>
          <w:b/>
          <w:bCs/>
          <w:sz w:val="30"/>
          <w:szCs w:val="30"/>
        </w:rPr>
        <w:t xml:space="preserve">§0 — The claim, in one paragraph</w:t>
      </w:r>
    </w:p>
    <w:p>
      <w:pPr>
        <w:spacing w:after="160" w:line="276"/>
        <w:jc w:val="both"/>
      </w:pPr>
      <w:r>
        <w:rPr>
          <w:rFonts w:ascii="Atkinson Hyperlegible" w:cs="Atkinson Hyperlegible" w:eastAsia="Atkinson Hyperlegible" w:hAnsi="Atkinson Hyperlegible"/>
          <w:sz w:val="22"/>
          <w:szCs w:val="22"/>
        </w:rPr>
        <w:t xml:space="preserve">Every actualization is a blink: a configuration breaks and re-couples as one singular event — the eye closes and opens — and the event has a cost. The cost is not paid in energy. On the energy face the event carries only the ordinary threshold energetics every break already involves, unchanged, which is why no budget anywhere owes it a line. The cost is paid on the possibility-and-coupling ledger: exactly one grain of distinction — one ε-grain, α-worth, dimensionless — spent as the pruning of the alternatives not taken, entangling the outcome with its environment. There is a cost to turning right, and it is turning left. The world already measures this ledger's outside face and calls it probability. That is the claim; the rest of the paper is its derivation, its grades, its cage of pretty coincidences, and its kill switches.</w:t>
      </w:r>
    </w:p>
    <w:p>
      <w:pPr>
        <w:pStyle w:val="Heading1"/>
        <w:spacing w:after="240" w:before="480"/>
      </w:pPr>
      <w:r>
        <w:rPr>
          <w:rFonts w:ascii="Atkinson Hyperlegible" w:cs="Atkinson Hyperlegible" w:eastAsia="Atkinson Hyperlegible" w:hAnsi="Atkinson Hyperlegible"/>
          <w:b/>
          <w:bCs/>
          <w:sz w:val="30"/>
          <w:szCs w:val="30"/>
        </w:rPr>
        <w:t xml:space="preserve">§1 — The axiom, and the two roles of ε</w:t>
      </w:r>
    </w:p>
    <w:p>
      <w:pPr>
        <w:spacing w:after="160" w:line="276"/>
        <w:jc w:val="both"/>
      </w:pPr>
      <w:r>
        <w:rPr>
          <w:rFonts w:ascii="Atkinson Hyperlegible" w:cs="Atkinson Hyperlegible" w:eastAsia="Atkinson Hyperlegible" w:hAnsi="Atkinson Hyperlegible"/>
          <w:sz w:val="22"/>
          <w:szCs w:val="22"/>
        </w:rPr>
        <w:t xml:space="preserve">1:1 + 1×ε @ AS [+1/137 | −1/137]. The break — the single +1×ε, the splinter — is held, never cycles, and is the seat of the one interior; for one record to exist, the balance must break and persist, because exact balance is the bare 1:1, and the bare 1:1 is nothing. The flow — ±1/137 — is one operation read from two directions: writing outward, releasing back, α-balanced at every AS instant. Two ε-roles run through this paper and are never conflated: the splinter, singular and permanent; and the slivers, the flow's per-instant grains, which pop free and return. The author's clause stands at its hedge and closes the loop between them: the permanent uncoupled remainder is the toll in a sense — what is needed for the break to persist. The universe pays one grain standing, so that anything exists; every event pays one grain passing, so that this thing exists rather than that one. One coin, two scales.</w:t>
      </w:r>
    </w:p>
    <w:p>
      <w:pPr>
        <w:pStyle w:val="Heading1"/>
        <w:spacing w:after="240" w:before="480"/>
      </w:pPr>
      <w:r>
        <w:rPr>
          <w:rFonts w:ascii="Atkinson Hyperlegible" w:cs="Atkinson Hyperlegible" w:eastAsia="Atkinson Hyperlegible" w:hAnsi="Atkinson Hyperlegible"/>
          <w:b/>
          <w:bCs/>
          <w:sz w:val="30"/>
          <w:szCs w:val="30"/>
        </w:rPr>
        <w:t xml:space="preserve">§2 — The event</w:t>
      </w:r>
    </w:p>
    <w:p>
      <w:pPr>
        <w:spacing w:after="160" w:line="276"/>
        <w:jc w:val="both"/>
      </w:pPr>
      <w:r>
        <w:rPr>
          <w:rFonts w:ascii="Atkinson Hyperlegible" w:cs="Atkinson Hyperlegible" w:eastAsia="Atkinson Hyperlegible" w:hAnsi="Atkinson Hyperlegible"/>
          <w:sz w:val="22"/>
          <w:szCs w:val="22"/>
        </w:rPr>
        <w:t xml:space="preserve">The blink is singular. Break-and-snap are one reconfiguration — turning right, not left — a collapse into a trajectory entangled with its environment. The free interval between them is real: pure potential, the now, the seat where α lives, the space between the opening and the closing of the hand. And it is unwitnessable by nature, not by weakness of instruments: measurement implies actualization, so the moment can only ever be the moment *from*, never the moment. The grip that opens is electromagnetic — the field that holds a configuration within the thermodynamic, gravitational, electromagnetic, and constant conditions — and the blink is defined at grip level: each grip that opens is one blink; grips nest, so blinks nest; ice to water to vapor is astronomical counts of grips opening, and a proton falling forever down a black hole is grips opening one instant at a time until the 0 and the 1 return to Ø.</w:t>
      </w:r>
    </w:p>
    <w:p>
      <w:pPr>
        <w:pStyle w:val="Heading1"/>
        <w:spacing w:after="240" w:before="480"/>
      </w:pPr>
      <w:r>
        <w:rPr>
          <w:rFonts w:ascii="Atkinson Hyperlegible" w:cs="Atkinson Hyperlegible" w:eastAsia="Atkinson Hyperlegible" w:hAnsi="Atkinson Hyperlegible"/>
          <w:b/>
          <w:bCs/>
          <w:sz w:val="30"/>
          <w:szCs w:val="30"/>
        </w:rPr>
        <w:t xml:space="preserve">§3 — The ledger, and the theorem</w:t>
      </w:r>
    </w:p>
    <w:p>
      <w:pPr>
        <w:spacing w:after="160" w:line="276"/>
        <w:jc w:val="both"/>
      </w:pPr>
      <w:r>
        <w:rPr>
          <w:rFonts w:ascii="Atkinson Hyperlegible" w:cs="Atkinson Hyperlegible" w:eastAsia="Atkinson Hyperlegible" w:hAnsi="Atkinson Hyperlegible"/>
          <w:sz w:val="22"/>
          <w:szCs w:val="22"/>
        </w:rPr>
        <w:t xml:space="preserve">Every ε belongs to a lineage; the lineage is the identity; the record history — the lineage's own and the whole's, inseparable — is what travels, because nothing else does. A held lineage sheds one flow-quantum per instant on the writing direction: the leakage stream, the structural reading of ordinary persistence. A free lineage sheds nothing, costs nothing, is charged nothing. At the event: the release itself is the registration — nothing is written at the exit; the snap withholds one write — held instead of shed, a reconfigured quantum of the same lineage, booking into mass at persistence and invisible ever after; and the toll is spent.</w:t>
      </w:r>
    </w:p>
    <w:p>
      <w:pPr>
        <w:spacing w:after="160" w:line="276"/>
        <w:jc w:val="both"/>
      </w:pPr>
      <w:r>
        <w:rPr>
          <w:rFonts w:ascii="Atkinson Hyperlegible" w:cs="Atkinson Hyperlegible" w:eastAsia="Atkinson Hyperlegible" w:hAnsi="Atkinson Hyperlegible"/>
          <w:sz w:val="22"/>
          <w:szCs w:val="22"/>
        </w:rPr>
        <w:t xml:space="preserve">Theorem (the toll). At every actualization, exactly one grain of distinction is spent on the possibility ledger — the alternatives not taken, α-worth, paid by the event as its own occurrence. It exists because ties heal: a break at exact balance is a non-event the record cannot keep, so every break carries a strict win. It is one because the ledger counts: a win too small to register is indistinguishable and therefore nonexistent, and the rope holds until the last moment, so the win is the smallest registrable one. It is spent because vanished alternatives book nowhere: the toll dies with its payer, accumulates into nothing, and leaves the deuteron wall nothing to bite. And it is one regardless of the crowd — turning right when there were a thousand lefts still spends one grain, because the count is the event's, not the alternatives'.</w:t>
      </w:r>
    </w:p>
    <w:p>
      <w:pPr>
        <w:spacing w:after="160" w:line="276"/>
        <w:jc w:val="both"/>
      </w:pPr>
      <w:r>
        <w:rPr>
          <w:rFonts w:ascii="Atkinson Hyperlegible" w:cs="Atkinson Hyperlegible" w:eastAsia="Atkinson Hyperlegible" w:hAnsi="Atkinson Hyperlegible"/>
          <w:sz w:val="22"/>
          <w:szCs w:val="22"/>
        </w:rPr>
        <w:t xml:space="preserve">The denomination. α, by two arguments on two jurisdictions that could not have disagreed without breaking the axiom's own semantics: the flow is one operation, so its two directions carry one currency; and the grip is electromagnetic, so breaking it is priced in the grip's own coupling — while thermodynamics decides when a break is affordable, never what it is worth. Mass, c, G, stiffness, and direction were each weighed and each fails as a currency for a flow-crossing event; α is not chosen, it is what remains, and it is what AP28 built. One hand opens and closes the grip; one eye blinks; a lineage has one hand, one eye — one coin.</w:t>
      </w:r>
    </w:p>
    <w:p>
      <w:pPr>
        <w:pStyle w:val="Heading1"/>
        <w:spacing w:after="240" w:before="480"/>
      </w:pPr>
      <w:r>
        <w:rPr>
          <w:rFonts w:ascii="Atkinson Hyperlegible" w:cs="Atkinson Hyperlegible" w:eastAsia="Atkinson Hyperlegible" w:hAnsi="Atkinson Hyperlegible"/>
          <w:b/>
          <w:bCs/>
          <w:sz w:val="30"/>
          <w:szCs w:val="30"/>
        </w:rPr>
        <w:t xml:space="preserve">§4 — The channels</w:t>
      </w:r>
    </w:p>
    <w:p>
      <w:pPr>
        <w:spacing w:after="160" w:line="276"/>
        <w:jc w:val="both"/>
      </w:pPr>
      <w:r>
        <w:rPr>
          <w:rFonts w:ascii="Atkinson Hyperlegible" w:cs="Atkinson Hyperlegible" w:eastAsia="Atkinson Hyperlegible" w:hAnsi="Atkinson Hyperlegible"/>
          <w:sz w:val="22"/>
          <w:szCs w:val="22"/>
        </w:rPr>
        <w:t xml:space="preserve">Twenty-one channels; four partitions, each derived from its role, all compatible on the same twenty-one, and two of them revealed as one. The eighteen face-projections plus the three actualisation gates are the construction (AP28). The visible one is an actualisation gate — the one making it all real. The closing twelve are the channels whose readings are of a configuration — mass, phase coupling, temporal direction, and the gates — the things a grip can hold and a break can release; the arena's nine — c, G, stiffness — have nothing to let go of and never close, which is also why gravity holds all channels while the grip grips only some. And the balance — remove the actualizing one and Axiom S splits the remainder ten and ten, the readings pairing as duals, resistance against hold, worth against bound, space against time — lands its sides exactly on the closing line: the particle side of the balance is the gripping side of the dynamics, on all eighteen faces. Ruled: not deep structure — the deepest structure. One axis, two names: who grips, and who holds. The singular event works this geometry as one motion: the break dimension opens the closed channels; the hold dimension re-establishes, CCC-shaped, over all twenty-one.</w:t>
      </w:r>
    </w:p>
    <w:p>
      <w:pPr>
        <w:pStyle w:val="Heading1"/>
        <w:spacing w:after="240" w:before="480"/>
      </w:pPr>
      <w:r>
        <w:rPr>
          <w:rFonts w:ascii="Atkinson Hyperlegible" w:cs="Atkinson Hyperlegible" w:eastAsia="Atkinson Hyperlegible" w:hAnsi="Atkinson Hyperlegible"/>
          <w:b/>
          <w:bCs/>
          <w:sz w:val="30"/>
          <w:szCs w:val="30"/>
        </w:rPr>
        <w:t xml:space="preserve">§5 — The possibility face, and what the world already measures</w:t>
      </w:r>
    </w:p>
    <w:p>
      <w:pPr>
        <w:spacing w:after="160" w:line="276"/>
        <w:jc w:val="both"/>
      </w:pPr>
      <w:r>
        <w:rPr>
          <w:rFonts w:ascii="Atkinson Hyperlegible" w:cs="Atkinson Hyperlegible" w:eastAsia="Atkinson Hyperlegible" w:hAnsi="Atkinson Hyperlegible"/>
          <w:sz w:val="22"/>
          <w:szCs w:val="22"/>
        </w:rPr>
        <w:t xml:space="preserve">The availability field is recomputed at every instant: all possibilities exist in the free state; decoherence, under the four constraint families and coupling capacity, prunes them to the available; the record history weights the outcomes. When the event actualizes, the alternatives vanish instantaneously, everywhere, because there is one record — and that vanishing is the toll being paid. Ruled, this night: the Born statistics are the possibility ledger's outside face. Outcomes have probabilities, and probability is the possibility ledger being spent — the identification and rejection of possibilities against the record history that weighted them. This is an identification, not a prediction: the corpus does not predict Born weights here, it names what they are the accounting of. The paper says so plainly and claims nothing it did not derive.</w:t>
      </w:r>
    </w:p>
    <w:p>
      <w:pPr>
        <w:pStyle w:val="Heading1"/>
        <w:spacing w:after="240" w:before="480"/>
      </w:pPr>
      <w:r>
        <w:rPr>
          <w:rFonts w:ascii="Atkinson Hyperlegible" w:cs="Atkinson Hyperlegible" w:eastAsia="Atkinson Hyperlegible" w:hAnsi="Atkinson Hyperlegible"/>
          <w:b/>
          <w:bCs/>
          <w:sz w:val="30"/>
          <w:szCs w:val="30"/>
        </w:rPr>
        <w:t xml:space="preserve">§6 — The cage</w:t>
      </w:r>
    </w:p>
    <w:p>
      <w:pPr>
        <w:spacing w:after="160" w:line="276"/>
        <w:jc w:val="both"/>
      </w:pPr>
      <w:r>
        <w:rPr>
          <w:rFonts w:ascii="Atkinson Hyperlegible" w:cs="Atkinson Hyperlegible" w:eastAsia="Atkinson Hyperlegible" w:hAnsi="Atkinson Hyperlegible"/>
          <w:sz w:val="22"/>
          <w:szCs w:val="22"/>
        </w:rPr>
        <w:t xml:space="preserve">Two coincidences are recorded because they are pretty and caged because they were noticed after the fact; both are graded INTERPRETIVE-COHERENCE and neither is evidence. One: α times a chemical bond sits at the thermal scale — the ruled modulator's quantitative face; the environment hands out quanta at the toll's denomination for chemistry's grips. Two: the standard theory's own bookkeeping charges α at every coupling vertex, and this paper's toll charges α-worth at every actualization. The vertex factor and the toll rhyme. A rhyme is not a derivation. The cage is labeled, and the label is part of the paper.</w:t>
      </w:r>
    </w:p>
    <w:p>
      <w:pPr>
        <w:pStyle w:val="Heading1"/>
        <w:spacing w:after="240" w:before="480"/>
      </w:pPr>
      <w:r>
        <w:rPr>
          <w:rFonts w:ascii="Atkinson Hyperlegible" w:cs="Atkinson Hyperlegible" w:eastAsia="Atkinson Hyperlegible" w:hAnsi="Atkinson Hyperlegible"/>
          <w:b/>
          <w:bCs/>
          <w:sz w:val="30"/>
          <w:szCs w:val="30"/>
        </w:rPr>
        <w:t xml:space="preserve">§7 — The payment of D5</w:t>
      </w:r>
    </w:p>
    <w:p>
      <w:pPr>
        <w:spacing w:after="160" w:line="276"/>
        <w:jc w:val="both"/>
      </w:pPr>
      <w:r>
        <w:rPr>
          <w:rFonts w:ascii="Atkinson Hyperlegible" w:cs="Atkinson Hyperlegible" w:eastAsia="Atkinson Hyperlegible" w:hAnsi="Atkinson Hyperlegible"/>
          <w:sz w:val="22"/>
          <w:szCs w:val="22"/>
        </w:rPr>
        <w:t xml:space="preserve">Notebook VII's D5 asked for the per-instant cost of awareness to be given a formal account. The splinter half — the standing commitment, one ε held so that the break persists — was paid by AP44's arena constitution, quietly, before anyone saw it was a payment; the rulings of 11 August claimed it, at their hedge. The flow half — the per-event cost — is paid by this paper's theorem: one grain per actualization, the alternatives not taken. Together with the author's clause of this night — the remainder as the toll in a sense — the two halves are one coin at two scales, and D5's formal account exists. Whether D5 CLOSES is the author's ruling at this paper's lock, in the seat D5's own instruction named; the debt does not close by this sentence, and says so.</w:t>
      </w:r>
    </w:p>
    <w:p>
      <w:pPr>
        <w:pStyle w:val="Heading1"/>
        <w:spacing w:after="240" w:before="480"/>
      </w:pPr>
      <w:r>
        <w:rPr>
          <w:rFonts w:ascii="Atkinson Hyperlegible" w:cs="Atkinson Hyperlegible" w:eastAsia="Atkinson Hyperlegible" w:hAnsi="Atkinson Hyperlegible"/>
          <w:b/>
          <w:bCs/>
          <w:sz w:val="30"/>
          <w:szCs w:val="30"/>
        </w:rPr>
        <w:t xml:space="preserve">§8 — What this paper does not claim</w:t>
      </w:r>
    </w:p>
    <w:p>
      <w:pPr>
        <w:spacing w:after="160" w:line="276"/>
        <w:jc w:val="both"/>
      </w:pPr>
      <w:r>
        <w:rPr>
          <w:rFonts w:ascii="Atkinson Hyperlegible" w:cs="Atkinson Hyperlegible" w:eastAsia="Atkinson Hyperlegible" w:hAnsi="Atkinson Hyperlegible"/>
          <w:sz w:val="22"/>
          <w:szCs w:val="22"/>
        </w:rPr>
        <w:t xml:space="preserve">It adds no term to any energy budget, at any size — the Stage-6 arithmetic stands in the family record as the probe that forced this very dimension into the open, and the ceilings it computed were never this toll's judges. It does not derive the value of α; the seat is named, the value stays the one measured input, and the corpus's stance is untouched. It does not repair KS-NPP.1; the fired switch stays fired. It does not deliver the mirror: the author rules, this night, that an energy-face numerical piece is probably still outstanding on the resistance side — the fired switch is honest evidence that an omission exists, and that inference is the scoreboard read correctly — but whatever that term is, it is not this paper's, and it will be derived, if ever, from structure, computed once, blind to every standing number, behind the fence dated 16 August, entering the record as a new frozen claim and never as a repair. And it does not claim the axiom balances: the deepest clause of this family is the opposite — the axiom can never perfectly equal out, because +1×ε; if it ever did, the universe would stop existing. The books stay open. That is not a flaw in the accounting. It is the accounting.</w:t>
      </w:r>
    </w:p>
    <w:p>
      <w:pPr>
        <w:pStyle w:val="Heading1"/>
        <w:spacing w:after="240" w:before="480"/>
      </w:pPr>
      <w:r>
        <w:rPr>
          <w:rFonts w:ascii="Atkinson Hyperlegible" w:cs="Atkinson Hyperlegible" w:eastAsia="Atkinson Hyperlegible" w:hAnsi="Atkinson Hyperlegible"/>
          <w:b/>
          <w:bCs/>
          <w:sz w:val="30"/>
          <w:szCs w:val="30"/>
        </w:rPr>
        <w:t xml:space="preserve">§9 — Kill switches (drafted; armed at lock on the author's word)</w:t>
      </w:r>
    </w:p>
    <w:p>
      <w:pPr>
        <w:spacing w:after="160" w:line="276"/>
        <w:jc w:val="both"/>
      </w:pPr>
      <w:r>
        <w:rPr>
          <w:rFonts w:ascii="Atkinson Hyperlegible" w:cs="Atkinson Hyperlegible" w:eastAsia="Atkinson Hyperlegible" w:hAnsi="Atkinson Hyperlegible"/>
          <w:sz w:val="22"/>
          <w:szCs w:val="22"/>
        </w:rPr>
        <w:t xml:space="preserve">KS-BLINK.1 — the balanced break. Claim: every break carries a strict, registrable win. Test: D-CCC.1's record algebra, when written. Dies if the algebra permits balanced breaks; the balance-impossibility conjecture — registered with its reason — predicts it never will, and the switch stays armed anyway, because nothing here retires by assertion.</w:t>
      </w:r>
    </w:p>
    <w:p>
      <w:pPr>
        <w:spacing w:after="160" w:line="276"/>
        <w:jc w:val="both"/>
      </w:pPr>
      <w:r>
        <w:rPr>
          <w:rFonts w:ascii="Atkinson Hyperlegible" w:cs="Atkinson Hyperlegible" w:eastAsia="Atkinson Hyperlegible" w:hAnsi="Atkinson Hyperlegible"/>
          <w:sz w:val="22"/>
          <w:szCs w:val="22"/>
        </w:rPr>
        <w:t xml:space="preserve">KS-BLINK.2 — the Born identification. Claim: the possibility ledger's outside face is the Born statistics. Test: the record algebra's derived weights. Dies if the algebra yields non-Born weighting from the same structure; inherits AP09/AP25's own switches.</w:t>
      </w:r>
    </w:p>
    <w:p>
      <w:pPr>
        <w:spacing w:after="160" w:line="276"/>
        <w:jc w:val="both"/>
      </w:pPr>
      <w:r>
        <w:rPr>
          <w:rFonts w:ascii="Atkinson Hyperlegible" w:cs="Atkinson Hyperlegible" w:eastAsia="Atkinson Hyperlegible" w:hAnsi="Atkinson Hyperlegible"/>
          <w:sz w:val="22"/>
          <w:szCs w:val="22"/>
        </w:rPr>
        <w:t xml:space="preserve">KS-BLINK.3 — the dimension label. Claim: no energy budget owes this toll a line, at any size. Test: the corpus's own future use. Fires against any consumer — including the author, including the desk — who prices the toll into an energy formula without a superseding derivation; the switch binds the claim, not a person, in the sovereignty pattern of KS-CCC.1.</w:t>
      </w:r>
    </w:p>
    <w:p>
      <w:pPr>
        <w:spacing w:after="160" w:line="276"/>
        <w:jc w:val="both"/>
      </w:pPr>
      <w:r>
        <w:rPr>
          <w:rFonts w:ascii="Atkinson Hyperlegible" w:cs="Atkinson Hyperlegible" w:eastAsia="Atkinson Hyperlegible" w:hAnsi="Atkinson Hyperlegible"/>
          <w:sz w:val="22"/>
          <w:szCs w:val="22"/>
        </w:rPr>
        <w:t xml:space="preserve">KS-BLINK.4 — the grain count. Claim: one grain per event, regardless of the crowd. Test: the record algebra's event accounting. Dies if the formalism forces per-alternative pricing.</w:t>
      </w:r>
    </w:p>
    <w:p>
      <w:pPr>
        <w:pStyle w:val="Heading1"/>
        <w:spacing w:after="240" w:before="480"/>
      </w:pPr>
      <w:r>
        <w:rPr>
          <w:rFonts w:ascii="Atkinson Hyperlegible" w:cs="Atkinson Hyperlegible" w:eastAsia="Atkinson Hyperlegible" w:hAnsi="Atkinson Hyperlegible"/>
          <w:b/>
          <w:bCs/>
          <w:sz w:val="30"/>
          <w:szCs w:val="30"/>
        </w:rPr>
        <w:t xml:space="preserve">§10 — The lock line (empty until the author walks the paper)</w:t>
      </w:r>
    </w:p>
    <w:p>
      <w:pPr>
        <w:pStyle w:val="Heading1"/>
        <w:spacing w:after="240" w:before="480"/>
      </w:pPr>
      <w:r>
        <w:rPr>
          <w:rFonts w:ascii="Atkinson Hyperlegible" w:cs="Atkinson Hyperlegible" w:eastAsia="Atkinson Hyperlegible" w:hAnsi="Atkinson Hyperlegible"/>
          <w:b/>
          <w:bCs/>
          <w:sz w:val="30"/>
          <w:szCs w:val="30"/>
        </w:rPr>
        <w:t xml:space="preserve"/>
      </w:r>
    </w:p>
    <w:p>
      <w:pPr>
        <w:spacing w:after="160" w:line="276"/>
        <w:jc w:val="both"/>
      </w:pPr>
      <w:r>
        <w:rPr>
          <w:rFonts w:ascii="Atkinson Hyperlegible" w:cs="Atkinson Hyperlegible" w:eastAsia="Atkinson Hyperlegible" w:hAnsi="Atkinson Hyperlegible"/>
          <w:sz w:val="22"/>
          <w:szCs w:val="22"/>
        </w:rPr>
        <w:t xml:space="preserve"/>
      </w:r>
    </w:p>
    <w:p>
      <w:pPr>
        <w:spacing w:after="160" w:line="276"/>
        <w:jc w:val="both"/>
      </w:pPr>
      <w:r>
        <w:rPr>
          <w:rFonts w:ascii="Atkinson Hyperlegible" w:cs="Atkinson Hyperlegible" w:eastAsia="Atkinson Hyperlegible" w:hAnsi="Atkinson Hyperlegible"/>
          <w:i/>
          <w:iCs/>
          <w:sz w:val="20"/>
          <w:szCs w:val="20"/>
        </w:rPr>
        <w:t xml:space="preserve">This file is never edited. Revisions supersede as v0.2 onward; the family record above is this paper's provenance. Document and sidecar re-pair together, always.</w:t>
      </w:r>
    </w:p>
    <w:p>
      <w:pPr>
        <w:spacing w:after="160" w:line="276"/>
        <w:jc w:val="both"/>
      </w:pPr>
      <w:r>
        <w:rPr>
          <w:rFonts w:ascii="Atkinson Hyperlegible" w:cs="Atkinson Hyperlegible" w:eastAsia="Atkinson Hyperlegible" w:hAnsi="Atkinson Hyperlegible"/>
          <w:i/>
          <w:iCs/>
          <w:sz w:val="20"/>
          <w:szCs w:val="20"/>
        </w:rPr>
        <w:t xml:space="preserve">This work is published for free, forever — when and if the author says so. Keep the signal clean.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2026-08-16T16:18:46.613Z</dcterms:created>
  <dcterms:modified xsi:type="dcterms:W3CDTF">2026-08-16T16:18:46.626Z</dcterms:modified>
</cp:coreProperties>
</file>

<file path=docProps/custom.xml><?xml version="1.0" encoding="utf-8"?>
<Properties xmlns="http://schemas.openxmlformats.org/officeDocument/2006/custom-properties" xmlns:vt="http://schemas.openxmlformats.org/officeDocument/2006/docPropsVTypes"/>
</file>