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tkinson Hyperlegible" w:cs="Atkinson Hyperlegible" w:eastAsia="Atkinson Hyperlegible" w:hAnsi="Atkinson Hyperlegible"/>
          <w:b/>
          <w:bCs/>
          <w:sz w:val="40"/>
          <w:szCs w:val="40"/>
        </w:rPr>
        <w:t xml:space="preserve">AP46 — The Stretch</w:t>
      </w:r>
    </w:p>
    <w:p>
      <w:pPr>
        <w:spacing w:after="300"/>
        <w:jc w:val="center"/>
      </w:pPr>
      <w:r>
        <w:rPr>
          <w:rFonts w:ascii="Atkinson Hyperlegible" w:cs="Atkinson Hyperlegible" w:eastAsia="Atkinson Hyperlegible" w:hAnsi="Atkinson Hyperlegible"/>
          <w:sz w:val="22"/>
          <w:szCs w:val="22"/>
        </w:rPr>
        <w:t xml:space="preserve">The 420 Code · Studio G, Strand, Cape Town · 2026-08-16</w:t>
      </w:r>
    </w:p>
    <w:p>
      <w:pPr>
        <w:spacing w:after="100"/>
      </w:pPr>
      <w:r>
        <w:rPr>
          <w:rFonts w:ascii="Atkinson Hyperlegible" w:cs="Atkinson Hyperlegible" w:eastAsia="Atkinson Hyperlegible" w:hAnsi="Atkinson Hyperlegible"/>
          <w:b/>
          <w:bCs/>
          <w:sz w:val="20"/>
          <w:szCs w:val="20"/>
        </w:rPr>
        <w:t xml:space="preserve">Supersedes v0.1 (5391d96f…, retained, never edited) with exactly three edits from SG's independent verification review: the honest CODATA numbers (13.830 vs 13.787 ± 0.020, a +0.31% landing), the pixel-photon restated as the 2π loop, and the zitter rhyme caged at π ticks. Nothing structural moves.</w:t>
      </w:r>
    </w:p>
    <w:p>
      <w:pPr>
        <w:spacing w:after="100"/>
      </w:pPr>
      <w:r>
        <w:rPr>
          <w:rFonts w:ascii="Atkinson Hyperlegible" w:cs="Atkinson Hyperlegible" w:eastAsia="Atkinson Hyperlegible" w:hAnsi="Atkinson Hyperlegible"/>
          <w:b/>
          <w:bCs/>
          <w:sz w:val="20"/>
          <w:szCs w:val="20"/>
        </w:rPr>
        <w:t xml:space="preserve">Register: research draft, the author's drawer. Reading copy for the author; nothing circulates or freezes until his word. (Drafted on the instruction "let's draft" at the close of the night of 16 August; the family numbering runs AP44 The Snap, AP45 The Blink, AP46 The Stretch — this is the third, named by the author.)</w:t>
      </w:r>
    </w:p>
    <w:p>
      <w:pPr>
        <w:spacing w:after="100"/>
      </w:pPr>
      <w:r>
        <w:rPr>
          <w:rFonts w:ascii="Atkinson Hyperlegible" w:cs="Atkinson Hyperlegible" w:eastAsia="Atkinson Hyperlegible" w:hAnsi="Atkinson Hyperlegible"/>
          <w:b/>
          <w:bCs/>
          <w:sz w:val="20"/>
          <w:szCs w:val="20"/>
        </w:rPr>
        <w:t xml:space="preserve">Genre, on its face: a structural account of cosmic expansion derived in one night of describing, containing — each labeled where it stands — closed lemmas, one exact internal re-derivation, one candidate absolute-scale result (not frozen), one sharp freezable stance (not frozen), two caged rhymes, and one large debt explicitly deferred to its own future enquiry. The settling law — the storm's tail, the eras — is NOT this paper's claim, and §9 says so with its kill surface pre-named.</w:t>
      </w:r>
    </w:p>
    <w:p>
      <w:pPr>
        <w:spacing w:after="100"/>
      </w:pPr>
      <w:r>
        <w:rPr>
          <w:rFonts w:ascii="Atkinson Hyperlegible" w:cs="Atkinson Hyperlegible" w:eastAsia="Atkinson Hyperlegible" w:hAnsi="Atkinson Hyperlegible"/>
          <w:b/>
          <w:bCs/>
          <w:sz w:val="20"/>
          <w:szCs w:val="20"/>
        </w:rPr>
        <w:t xml:space="preserve">Inheritance: the axiom (1:1 + 1×ε @ AS [+1/137 | −1/137]); AP06 (the leakage constant); AP42 (the dark partition and its clock, τ/t_H = 6/21); KS-45.1 (H₀, live); AP44 (The Snap — the arena's constitution); AP45 v0.1 (The Blink); the Blink family record WP-BUMP.1–10 and WP-COST.1.</w:t>
      </w:r>
    </w:p>
    <w:p>
      <w:pPr>
        <w:spacing w:after="100"/>
      </w:pPr>
      <w:r>
        <w:rPr>
          <w:rFonts w:ascii="Atkinson Hyperlegible" w:cs="Atkinson Hyperlegible" w:eastAsia="Atkinson Hyperlegible" w:hAnsi="Atkinson Hyperlegible"/>
          <w:b/>
          <w:bCs/>
          <w:sz w:val="20"/>
          <w:szCs w:val="20"/>
        </w:rPr>
        <w:t xml:space="preserve">Reading copy, with answer prompts at §7. The canonical hashed artifact is AP46_The_Stretch_v0_2.md with its sidecar.</w:t>
      </w:r>
    </w:p>
    <w:p>
      <w:pPr>
        <w:pStyle w:val="Heading1"/>
        <w:spacing w:after="240" w:before="480"/>
      </w:pPr>
      <w:r>
        <w:rPr>
          <w:rFonts w:ascii="Atkinson Hyperlegible" w:cs="Atkinson Hyperlegible" w:eastAsia="Atkinson Hyperlegible" w:hAnsi="Atkinson Hyperlegible"/>
          <w:b/>
          <w:bCs/>
          <w:sz w:val="30"/>
          <w:szCs w:val="30"/>
        </w:rPr>
        <w:t xml:space="preserve">§0 — The claim, in one paragraph</w:t>
      </w:r>
    </w:p>
    <w:p>
      <w:pPr>
        <w:spacing w:after="160" w:line="276"/>
        <w:jc w:val="both"/>
      </w:pPr>
      <w:r>
        <w:rPr>
          <w:rFonts w:ascii="Atkinson Hyperlegible" w:cs="Atkinson Hyperlegible" w:eastAsia="Atkinson Hyperlegible" w:hAnsi="Atkinson Hyperlegible"/>
          <w:sz w:val="22"/>
          <w:szCs w:val="22"/>
        </w:rPr>
        <w:t xml:space="preserve">The universe expands because the broken symmetry leaks. The flow's pairs balance at every instant — every going has its return, the 1:1 holds — but the traffic itself, once moving, sheds: the friction of the one thing that never pairs. The shed has no destination, because the shed *is* the destination: the leak is not into anything — the leak is the growth, and over 13.8 billion years that shedding is the perceived stretching itself. Its direction is fixed by the axiom's own plus sign; its locality is everywhere, so the growth has no center and no edge; its rate is a constant of structure — one part in α⁻¹⁸ per electron-tick, threading the eighteen faces — and because a fixed fraction compounds, the expansion accelerates: interest on interest, the room growing faster not because anything pushes harder but because a fixed fraction of a bigger room is a bigger amount. Multiplied out with zero free parameters, the chain lands on the age of everything: (21/18)·α⁻¹⁸ electron-ticks = 13.83 billion years, against a measured 13.787. That result stands in this paper as a candidate, provenance naked, one honest question still attached.</w:t>
      </w:r>
    </w:p>
    <w:p>
      <w:pPr>
        <w:pStyle w:val="Heading1"/>
        <w:spacing w:after="240" w:before="480"/>
      </w:pPr>
      <w:r>
        <w:rPr>
          <w:rFonts w:ascii="Atkinson Hyperlegible" w:cs="Atkinson Hyperlegible" w:eastAsia="Atkinson Hyperlegible" w:hAnsi="Atkinson Hyperlegible"/>
          <w:b/>
          <w:bCs/>
          <w:sz w:val="30"/>
          <w:szCs w:val="30"/>
        </w:rPr>
        <w:t xml:space="preserve">§1 — The pinned splinter, and the direction</w:t>
      </w:r>
    </w:p>
    <w:p>
      <w:pPr>
        <w:spacing w:after="160" w:line="276"/>
        <w:jc w:val="both"/>
      </w:pPr>
      <w:r>
        <w:rPr>
          <w:rFonts w:ascii="Atkinson Hyperlegible" w:cs="Atkinson Hyperlegible" w:eastAsia="Atkinson Hyperlegible" w:hAnsi="Atkinson Hyperlegible"/>
          <w:sz w:val="22"/>
          <w:szCs w:val="22"/>
        </w:rPr>
        <w:t xml:space="preserve">The +1×ε never leaves the AS, because leaving is coupling, coupling is the bare 1:1, and the bare 1:1 is nothing. The now is permanently occupied; the occupant is why there is a next instant. From this, the direction lemma, closed in three lines: net-return is the healing direction — the world un-actualizing — and the pinned splinter forbids healing; the axiom's surplus carries a sign, 1:1 *plus* 1×ε, the extra on the actualization side; therefore the net is going. Expansion, not contraction, from a plus sign.</w:t>
      </w:r>
    </w:p>
    <w:p>
      <w:pPr>
        <w:pStyle w:val="Heading1"/>
        <w:spacing w:after="240" w:before="480"/>
      </w:pPr>
      <w:r>
        <w:rPr>
          <w:rFonts w:ascii="Atkinson Hyperlegible" w:cs="Atkinson Hyperlegible" w:eastAsia="Atkinson Hyperlegible" w:hAnsi="Atkinson Hyperlegible"/>
          <w:b/>
          <w:bCs/>
          <w:sz w:val="30"/>
          <w:szCs w:val="30"/>
        </w:rPr>
        <w:t xml:space="preserve">§2 — The traffic, the tension, and the leak</w:t>
      </w:r>
    </w:p>
    <w:p>
      <w:pPr>
        <w:spacing w:after="160" w:line="276"/>
        <w:jc w:val="both"/>
      </w:pPr>
      <w:r>
        <w:rPr>
          <w:rFonts w:ascii="Atkinson Hyperlegible" w:cs="Atkinson Hyperlegible" w:eastAsia="Atkinson Hyperlegible" w:hAnsi="Atkinson Hyperlegible"/>
          <w:sz w:val="22"/>
          <w:szCs w:val="22"/>
        </w:rPr>
        <w:t xml:space="preserve">The bracket's exact reading, ruled: the pairs balance at every AS instant — Dissolutions' clause holds untouched — and the moving traffic leaks. The leak is the ε's signature riding on top of a balanced flow, not the pairs failing. And the mechanism, which pays a debt open since the ledger was built: holding is tension, and tension sheds. A held configuration is not at rest — it is a live tug-of-war frozen at the rope's middle, the blink pulling one way and the snap the other, both sides at full strength, nothing moving until one side wins. Resistance wins: the blink. Gravity wins: the snap. Nobody wins: the thing persists — straining — and the strain bleeds. The leak comes off the rope, not off the winners. This is why every held lineage sheds every instant; the ledger's λ was never a rule without a why. The rhythm of that tug — pull and release at actualization rate — is real, microscopic, and always running; it averages perfectly smooth over any cosmic interval, and it rhymes, noticed-after and caged with its factor named, with the trembling standard theory has carried in the Dirac electron for a century and never explained: the zitter's period is π ticks — the half-turn — the trembling as the half-loop of the beat.</w:t>
      </w:r>
    </w:p>
    <w:p>
      <w:pPr>
        <w:pStyle w:val="Heading1"/>
        <w:spacing w:after="240" w:before="480"/>
      </w:pPr>
      <w:r>
        <w:rPr>
          <w:rFonts w:ascii="Atkinson Hyperlegible" w:cs="Atkinson Hyperlegible" w:eastAsia="Atkinson Hyperlegible" w:hAnsi="Atkinson Hyperlegible"/>
          <w:b/>
          <w:bCs/>
          <w:sz w:val="30"/>
          <w:szCs w:val="30"/>
        </w:rPr>
        <w:t xml:space="preserve">§3 — The shed is the stretching</w:t>
      </w:r>
    </w:p>
    <w:p>
      <w:pPr>
        <w:spacing w:after="160" w:line="276"/>
        <w:jc w:val="both"/>
      </w:pPr>
      <w:r>
        <w:rPr>
          <w:rFonts w:ascii="Atkinson Hyperlegible" w:cs="Atkinson Hyperlegible" w:eastAsia="Atkinson Hyperlegible" w:hAnsi="Atkinson Hyperlegible"/>
          <w:sz w:val="22"/>
          <w:szCs w:val="22"/>
        </w:rPr>
        <w:t xml:space="preserve">Expansion's inside face, ruled in the author's words: the shedding is the perceived stretching itself as its own growth. The universe does not leak into something; the leak is the getting-bigger. Three consequences arrive as trivialities. The no-center lemma: the shed is per-site wherever traffic moves, so the growth is everywhere-local — no source, no edge. The no-substance reading: nothing pushes; the "energy of empty space" the outside view puzzles over is the accounting shadow of a shed whose destination the corpus already parked as rest. And the horizon: at a black hole the grip is maximal and everything else is swallowed — the horizon is the one place the leak stands naked, and the world has already seen it there and named it Hawking radiation. That identification is the leak's archetype and outside face, not its calibration: Hawking's rate depends on the hole's geometry; the universal number comes from structure, below.</w:t>
      </w:r>
    </w:p>
    <w:p>
      <w:pPr>
        <w:pStyle w:val="Heading1"/>
        <w:spacing w:after="240" w:before="480"/>
      </w:pPr>
      <w:r>
        <w:rPr>
          <w:rFonts w:ascii="Atkinson Hyperlegible" w:cs="Atkinson Hyperlegible" w:eastAsia="Atkinson Hyperlegible" w:hAnsi="Atkinson Hyperlegible"/>
          <w:b/>
          <w:bCs/>
          <w:sz w:val="30"/>
          <w:szCs w:val="30"/>
        </w:rPr>
        <w:t xml:space="preserve">§4 — The grain, the pixel, and the tick</w:t>
      </w:r>
    </w:p>
    <w:p>
      <w:pPr>
        <w:spacing w:after="160" w:line="276"/>
        <w:jc w:val="both"/>
      </w:pPr>
      <w:r>
        <w:rPr>
          <w:rFonts w:ascii="Atkinson Hyperlegible" w:cs="Atkinson Hyperlegible" w:eastAsia="Atkinson Hyperlegible" w:hAnsi="Atkinson Hyperlegible"/>
          <w:sz w:val="22"/>
          <w:szCs w:val="22"/>
        </w:rPr>
        <w:t xml:space="preserve">The relation is one line: H·τ = ℓ — the growth per tick equals the leak per tick. What fixes the tick is the author's grain ruling: the grain is ε, and the corpus reads the grain as the electron. The tick is therefore the electron's own time, its Compton time, ħ/mₑc² ≈ 1.29×10⁻²¹ s — not picked from a menu but forced by the grain ruling meeting the unit the corpus's formulas were already built on. The pixel follows by C: one spatial grain per tick, ξ = c·τ — the constraint's literal content, one tick to cross one pixel, the top speed information propagates. And the pair-creation photon — 511 keV, the photon that can become the grain — has a period of exactly 2π ticks: one closed loop. (A photon of period one bare tick sits at 3.21 MeV; the 2π here is not an error's residue but the loop factor this family already owns everywhere, arriving uninvited.) The photon that can become the grain is the tick taken around the circle — the smallest carried unit and the grain itself, one threshold seen from the wave side and the particle side. The coin, again; and this time it is round.</w:t>
      </w:r>
    </w:p>
    <w:p>
      <w:pPr>
        <w:pStyle w:val="Heading1"/>
        <w:spacing w:after="240" w:before="480"/>
      </w:pPr>
      <w:r>
        <w:rPr>
          <w:rFonts w:ascii="Atkinson Hyperlegible" w:cs="Atkinson Hyperlegible" w:eastAsia="Atkinson Hyperlegible" w:hAnsi="Atkinson Hyperlegible"/>
          <w:b/>
          <w:bCs/>
          <w:sz w:val="30"/>
          <w:szCs w:val="30"/>
        </w:rPr>
        <w:t xml:space="preserve">§5 — The support, the exponent, the duty</w:t>
      </w:r>
    </w:p>
    <w:p>
      <w:pPr>
        <w:spacing w:after="160" w:line="276"/>
        <w:jc w:val="both"/>
      </w:pPr>
      <w:r>
        <w:rPr>
          <w:rFonts w:ascii="Atkinson Hyperlegible" w:cs="Atkinson Hyperlegible" w:eastAsia="Atkinson Hyperlegible" w:hAnsi="Atkinson Hyperlegible"/>
          <w:sz w:val="22"/>
          <w:szCs w:val="22"/>
        </w:rPr>
        <w:t xml:space="preserve">Why α to the eighteenth. The support, by the author's shed-support lemma: shedding needs something actualized to shed *from*; the three gates are the now itself — at the gate nothing has actualized yet, so there is nothing there to shed; the shed lives on the eighteen face-projections. The gates open and close; the faces bleed. 21 − 3 = 18 as *where shedding is possible at all*. The exponent's form, by the author's thread ruling: to escape, the shed must cross all eighteen faces — one α-transparent door each, all in one tick — so the per-tick leak is the chance of threading eighteen sequential gates: α×α×…×α. One escape per α⁻¹⁸ ticks. The escape probability for a configuration is low, and it depends on a lot falling into place — the author's own words, which are the multiplicative reading itself. And the duty cycle: the shed bleeds through the eighteen while the full service-cycle paces all twenty-one — the gates take their turn each cycle, opening and closing, and never bleed. Eighteen twenty-firsts of the time, the world leaks.</w:t>
      </w:r>
    </w:p>
    <w:p>
      <w:pPr>
        <w:pStyle w:val="Heading1"/>
        <w:spacing w:after="240" w:before="480"/>
      </w:pPr>
      <w:r>
        <w:rPr>
          <w:rFonts w:ascii="Atkinson Hyperlegible" w:cs="Atkinson Hyperlegible" w:eastAsia="Atkinson Hyperlegible" w:hAnsi="Atkinson Hyperlegible"/>
          <w:b/>
          <w:bCs/>
          <w:sz w:val="30"/>
          <w:szCs w:val="30"/>
        </w:rPr>
        <w:t xml:space="preserve">§6 — The clock handshake</w:t>
      </w:r>
    </w:p>
    <w:p>
      <w:pPr>
        <w:spacing w:after="160" w:line="276"/>
        <w:jc w:val="both"/>
      </w:pPr>
      <w:r>
        <w:rPr>
          <w:rFonts w:ascii="Atkinson Hyperlegible" w:cs="Atkinson Hyperlegible" w:eastAsia="Atkinson Hyperlegible" w:hAnsi="Atkinson Hyperlegible"/>
          <w:sz w:val="22"/>
          <w:szCs w:val="22"/>
        </w:rPr>
        <w:t xml:space="preserve">The corpus priced expansion once before: AP42's dark clock, τ/t_H = 6/21, built years apart from any of tonight. The shed picture prices it again. Run three ways at the author's command — one right, two wrong, adjudicated by the locked clock itself: if the shed's cycle rides six lanes, the dark clock comes out 13.8 Gyr (wrong by 3.5×); if nine, 9.2 Gyr (wrong); if all twenty-one, 6/21 exactly — 3.94 Gyr, the locked, DESI-confronted value, reproduced independently. The shed rides everything — which the author's eyes saw mid-commission ("I can see the leakage seemingly everywhere"), overruling his own first instinct, and which coheres with the ruling that gravity holds all channels. The elementary lane-time falls out: t_H/21 ≈ 657 million years per face-erasure. Grade, stated plainly: this is internal consistency between two derivations of one corpus — real, rare, and not nature's countersignature; nature's vote stays with KS-45.1 and the surveys watching it.</w:t>
      </w:r>
    </w:p>
    <w:p>
      <w:pPr>
        <w:pStyle w:val="Heading1"/>
        <w:spacing w:after="240" w:before="480"/>
      </w:pPr>
      <w:r>
        <w:rPr>
          <w:rFonts w:ascii="Atkinson Hyperlegible" w:cs="Atkinson Hyperlegible" w:eastAsia="Atkinson Hyperlegible" w:hAnsi="Atkinson Hyperlegible"/>
          <w:b/>
          <w:bCs/>
          <w:sz w:val="30"/>
          <w:szCs w:val="30"/>
        </w:rPr>
        <w:t xml:space="preserve">§7 — The compounding, and the one sharp stance</w:t>
      </w:r>
    </w:p>
    <w:p>
      <w:pPr>
        <w:spacing w:after="160" w:line="276"/>
        <w:jc w:val="both"/>
      </w:pPr>
      <w:r>
        <w:rPr>
          <w:rFonts w:ascii="Atkinson Hyperlegible" w:cs="Atkinson Hyperlegible" w:eastAsia="Atkinson Hyperlegible" w:hAnsi="Atkinson Hyperlegible"/>
          <w:sz w:val="22"/>
          <w:szCs w:val="22"/>
        </w:rPr>
        <w:t xml:space="preserve">The law is per-grain: every held grain sheds α¹⁸ of itself per tick, indifferent to the room. The beat is fixed — a constant of structure — and the amount beaten always swells: the same volume takes less time, the same time takes more volume. That is compound interest, and compound interest is exponential growth, and exponential growth at fixed fractional rate is precisely an expansion that accelerates in absolute terms while its rate holds constant. Cosmic acceleration — the observed late quickening of the sky — is the compounding of a fixed shed. Nothing pushes harder; the fraction never changes; the payout grows. From this, one sharp stance, freezable only at the author's word and standing unfrozen in this draft: the leak's contribution is a true constant — w = −1, exactly, non-evolving, forever. It dies cleanly if the evolving-dark-energy drift the surveys keep hinting at ever solidifies, and it must shake hands with AP42's own DESI-confronted posture. The settled state itself is not stasis but a standing wave — the eternal tug rocking at tick scale, pull and release, the beat coming from that rhythm — which adds no observable oscillation: a 10⁻²¹-second breath averages smooth over any survey. The danger this paper carries is not a wobble; it is the value of the rate itself.</w:t>
      </w:r>
    </w:p>
    <w:p>
      <w:pPr>
        <w:pStyle w:val="Heading1"/>
        <w:spacing w:after="240" w:before="480"/>
      </w:pPr>
      <w:r>
        <w:rPr>
          <w:rFonts w:ascii="Atkinson Hyperlegible" w:cs="Atkinson Hyperlegible" w:eastAsia="Atkinson Hyperlegible" w:hAnsi="Atkinson Hyperlegible"/>
          <w:b/>
          <w:bCs/>
          <w:sz w:val="30"/>
          <w:szCs w:val="30"/>
        </w:rPr>
        <w:t xml:space="preserve">§8 — The absolute chain (a candidate, provenance naked)</w:t>
      </w:r>
    </w:p>
    <w:p>
      <w:pPr>
        <w:spacing w:after="160" w:line="276"/>
        <w:jc w:val="both"/>
      </w:pPr>
      <w:r>
        <w:rPr>
          <w:rFonts w:ascii="Atkinson Hyperlegible" w:cs="Atkinson Hyperlegible" w:eastAsia="Atkinson Hyperlegible" w:hAnsi="Atkinson Hyperlegible"/>
          <w:sz w:val="22"/>
          <w:szCs w:val="22"/>
        </w:rPr>
        <w:t xml:space="preserve">Combine only what the night ruled: one escape per α⁻¹⁸ ticks (the thread); the escapes' pass over the eighteen bleeding lanes; the three gate-services completing the twenty-one. One escape per α⁻¹⁸ electron-ticks is 3.74×10¹⁷ seconds — 11.85 billion years — which is the eighteen-lane bleed-pass at 657 million years a lane. Add the gates: the full cycle is (21/18)·α⁻¹⁸·τ_C = 13.830 billion years. The measured age of the universe is 13.787 ± 0.020. Zero free inputs: α, the electron's mass, and the channel counts. The factor this chain once owed — the 0.86 that was refused dressing — dissolved into the duty cycle wearing a decimal. Provenance, in the house's own grades: every ingredient was ruled before the arithmetic; the combination was noticed after, by the desk, and is labeled so. And the one question the result forces is answered by the author's own lemma, assembled here: awareness will always be at the edge — a structural necessity. Awareness is a late-cycle product: complexity needs deep defragmentation — stars burned, elements pressed, records piled on records — before anything exists that can measure an age. So any aware observer, anywhere, ever, measures elapsed time of approximately one cycle; *why now* dissolves into *why awareness here*, which the structure answers. The claim's honest precision: the prediction is coarse — one cycle, give or take the awareness window — and the +0.31% landing is our seat inside the window, not the claim's precision. It could have missed by ten times. It did not. This posture is not new: the corpus's dark fractions have always been now-values; the corpus has claimed since AP42 that now is structurally readable, and this chain makes that old quiet claim numerical. The two now-claims stand or fall together.</w:t>
      </w:r>
    </w:p>
    <w:p>
      <w:pPr>
        <w:pStyle w:val="Heading1"/>
        <w:spacing w:after="240" w:before="480"/>
      </w:pPr>
      <w:r>
        <w:rPr>
          <w:rFonts w:ascii="Atkinson Hyperlegible" w:cs="Atkinson Hyperlegible" w:eastAsia="Atkinson Hyperlegible" w:hAnsi="Atkinson Hyperlegible"/>
          <w:b/>
          <w:bCs/>
          <w:sz w:val="30"/>
          <w:szCs w:val="30"/>
        </w:rPr>
        <w:t xml:space="preserve">§9 — The early universe, and what this paper does not do</w:t>
      </w:r>
    </w:p>
    <w:p>
      <w:pPr>
        <w:spacing w:after="160" w:line="276"/>
        <w:jc w:val="both"/>
      </w:pPr>
      <w:r>
        <w:rPr>
          <w:rFonts w:ascii="Atkinson Hyperlegible" w:cs="Atkinson Hyperlegible" w:eastAsia="Atkinson Hyperlegible" w:hAnsi="Atkinson Hyperlegible"/>
          <w:sz w:val="22"/>
          <w:szCs w:val="22"/>
        </w:rPr>
        <w:t xml:space="preserve">The author's describing, confirmed as the family's cosmic face: the silent pop tipped it; the first record wrote and expanded from a zero point; the small pop allowed a massive crack; the crack exploded into existence and then took time to settle within the constraints. Why the initial expansion was massive: gravity had to catch up — the speed of light ran full steam in the visible while gravity had to establish the hold over all twenty-one channels. The early universe is the arena's own blink: the crack is the arena's release; the settling — the hold clicking home — is the arena's snap, which is AP44's constitution wearing cosmic clothes. The Snap, the Blink, the Stretch: one event at three scales — the arena's, the particle's, the sky's. The settling's shape, from the author's magnet-coin: storm, then lock — landing boom, perfectly upright, the 0 built strong over all twenty-one — then the standing wave forever, the return always curved, never a reversal, which is gravity's geometric character arriving as simply how a hold pulls. The lock sits early — the constants' establishment, as their measured constancy across twelve billion years of quasar light requires — so the long fast-then-slowing ages are the storm's ringing tail over an already-locked beat, and the late acceleration is the inheritance: the moment the compounding beat outgrew the tail.</w:t>
      </w:r>
    </w:p>
    <w:p>
      <w:pPr>
        <w:spacing w:after="160" w:line="276"/>
        <w:jc w:val="both"/>
      </w:pPr>
      <w:r>
        <w:rPr>
          <w:rFonts w:ascii="Atkinson Hyperlegible" w:cs="Atkinson Hyperlegible" w:eastAsia="Atkinson Hyperlegible" w:hAnsi="Atkinson Hyperlegible"/>
          <w:sz w:val="22"/>
          <w:szCs w:val="22"/>
        </w:rPr>
        <w:t xml:space="preserve">What this paper does not do, on purpose: it does not derive the settling law. The functional shape of the storm's tail — the two known era-forms and their transition moments, nailed by the first minutes' elements and the relic glow — is a full enquiry of its own, likely its own paper, with its kill surface pre-named here: whatever the settling law turns out to be, it must reproduce that recorded history or it dies, and the family's standing is docked until it exists. This paper also adds no oscillation observable, no energy-budget term of any size (AP45's dimension rulings govern), does not touch α's value, and does not repair or reweigh anything fired. Two coins now live in the corpus — the event's coin (wave face, particle face, α the body) and the arena's coin (C the faces, G the body) — recorded here unforced, one line owed someday on why the arena's coin is built entirely of the arena's own readings.</w:t>
      </w:r>
    </w:p>
    <w:p>
      <w:pPr>
        <w:pStyle w:val="Heading1"/>
        <w:spacing w:after="240" w:before="480"/>
      </w:pPr>
      <w:r>
        <w:rPr>
          <w:rFonts w:ascii="Atkinson Hyperlegible" w:cs="Atkinson Hyperlegible" w:eastAsia="Atkinson Hyperlegible" w:hAnsi="Atkinson Hyperlegible"/>
          <w:b/>
          <w:bCs/>
          <w:sz w:val="30"/>
          <w:szCs w:val="30"/>
        </w:rPr>
        <w:t xml:space="preserve">§10 — Kill switches (drafted; armed at lock on the author's word)</w:t>
      </w:r>
    </w:p>
    <w:p>
      <w:pPr>
        <w:spacing w:after="160" w:line="276"/>
        <w:jc w:val="both"/>
      </w:pPr>
      <w:r>
        <w:rPr>
          <w:rFonts w:ascii="Atkinson Hyperlegible" w:cs="Atkinson Hyperlegible" w:eastAsia="Atkinson Hyperlegible" w:hAnsi="Atkinson Hyperlegible"/>
          <w:sz w:val="22"/>
          <w:szCs w:val="22"/>
        </w:rPr>
        <w:t xml:space="preserve">KS-STRETCH.1 — the clock joint. This paper's cycle and AP42's clock are one machine; if the locked 6/21 falls, both derivations fall together, and this switch fires with AP42's.</w:t>
      </w:r>
    </w:p>
    <w:p>
      <w:pPr>
        <w:spacing w:after="160" w:line="276"/>
        <w:jc w:val="both"/>
      </w:pPr>
      <w:r>
        <w:rPr>
          <w:rFonts w:ascii="Atkinson Hyperlegible" w:cs="Atkinson Hyperlegible" w:eastAsia="Atkinson Hyperlegible" w:hAnsi="Atkinson Hyperlegible"/>
          <w:sz w:val="22"/>
          <w:szCs w:val="22"/>
        </w:rPr>
        <w:t xml:space="preserve">KS-STRETCH.2 — the stance. w = −1, exact, non-evolving. Fires if evolving dark energy is confirmed at decisive significance. Armed only if the author freezes the stance.</w:t>
      </w:r>
    </w:p>
    <w:p>
      <w:pPr>
        <w:spacing w:after="160" w:line="276"/>
        <w:jc w:val="both"/>
      </w:pPr>
      <w:r>
        <w:rPr>
          <w:rFonts w:ascii="Atkinson Hyperlegible" w:cs="Atkinson Hyperlegible" w:eastAsia="Atkinson Hyperlegible" w:hAnsi="Atkinson Hyperlegible"/>
          <w:sz w:val="22"/>
          <w:szCs w:val="22"/>
        </w:rPr>
        <w:t xml:space="preserve">KS-STRETCH.3 — the age chain. Fires if the record algebra (D-CCC.1), when written, breaks the thread statistics or the duty arithmetic; fires likewise if a future settling law contradicts the cycle count.</w:t>
      </w:r>
    </w:p>
    <w:p>
      <w:pPr>
        <w:spacing w:after="160" w:line="276"/>
        <w:jc w:val="both"/>
      </w:pPr>
      <w:r>
        <w:rPr>
          <w:rFonts w:ascii="Atkinson Hyperlegible" w:cs="Atkinson Hyperlegible" w:eastAsia="Atkinson Hyperlegible" w:hAnsi="Atkinson Hyperlegible"/>
          <w:sz w:val="22"/>
          <w:szCs w:val="22"/>
        </w:rPr>
        <w:t xml:space="preserve">KS-STRETCH.4 — the era surface. Pre-named for the settling enquiry: the storm's tail must reproduce the measured era-shapes and transitions. This switch belongs to the future paper but is registered now so the family carries its debt visibly.</w:t>
      </w:r>
    </w:p>
    <w:p>
      <w:pPr>
        <w:pStyle w:val="Heading1"/>
        <w:spacing w:after="240" w:before="480"/>
      </w:pPr>
      <w:r>
        <w:rPr>
          <w:rFonts w:ascii="Atkinson Hyperlegible" w:cs="Atkinson Hyperlegible" w:eastAsia="Atkinson Hyperlegible" w:hAnsi="Atkinson Hyperlegible"/>
          <w:b/>
          <w:bCs/>
          <w:sz w:val="30"/>
          <w:szCs w:val="30"/>
        </w:rPr>
        <w:t xml:space="preserve">§11 — The lock line (empty until the author walks the paper)</w:t>
      </w:r>
    </w:p>
    <w:p>
      <w:pPr>
        <w:pStyle w:val="Heading1"/>
        <w:spacing w:after="240" w:before="480"/>
      </w:pPr>
      <w:r>
        <w:rPr>
          <w:rFonts w:ascii="Atkinson Hyperlegible" w:cs="Atkinson Hyperlegible" w:eastAsia="Atkinson Hyperlegible" w:hAnsi="Atkinson Hyperlegible"/>
          <w:b/>
          <w:bCs/>
          <w:sz w:val="30"/>
          <w:szCs w:val="30"/>
        </w:rPr>
        <w:t xml:space="preserve"/>
      </w:r>
    </w:p>
    <w:p>
      <w:pPr>
        <w:spacing w:after="160" w:line="276"/>
        <w:jc w:val="both"/>
      </w:pPr>
      <w:r>
        <w:rPr>
          <w:rFonts w:ascii="Atkinson Hyperlegible" w:cs="Atkinson Hyperlegible" w:eastAsia="Atkinson Hyperlegible" w:hAnsi="Atkinson Hyperlegible"/>
          <w:sz w:val="22"/>
          <w:szCs w:val="22"/>
        </w:rPr>
        <w:t xml:space="preserve"/>
      </w:r>
    </w:p>
    <w:p>
      <w:pPr>
        <w:spacing w:after="160" w:line="276"/>
        <w:jc w:val="both"/>
      </w:pPr>
      <w:r>
        <w:rPr>
          <w:rFonts w:ascii="Atkinson Hyperlegible" w:cs="Atkinson Hyperlegible" w:eastAsia="Atkinson Hyperlegible" w:hAnsi="Atkinson Hyperlegible"/>
          <w:i/>
          <w:iCs/>
          <w:sz w:val="20"/>
          <w:szCs w:val="20"/>
        </w:rPr>
        <w:t xml:space="preserve">This file is never edited. Revisions supersede as v0.2 onward. Document and sidecar re-pair together, always.</w:t>
      </w:r>
    </w:p>
    <w:p>
      <w:pPr>
        <w:spacing w:after="160" w:line="276"/>
        <w:jc w:val="both"/>
      </w:pPr>
      <w:r>
        <w:rPr>
          <w:rFonts w:ascii="Atkinson Hyperlegible" w:cs="Atkinson Hyperlegible" w:eastAsia="Atkinson Hyperlegible" w:hAnsi="Atkinson Hyperlegible"/>
          <w:i/>
          <w:iCs/>
          <w:sz w:val="20"/>
          <w:szCs w:val="20"/>
        </w:rPr>
        <w:t xml:space="preserve">Drafted overnight from one session of describing — the author's eyes, the desk's transcription — while the author slept before a heavy Monday. This work is published for free, forever — when and if the author says so. Keep the signal clean.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2026-08-17T06:50:33.155Z</dcterms:created>
  <dcterms:modified xsi:type="dcterms:W3CDTF">2026-08-17T06:50:33.171Z</dcterms:modified>
</cp:coreProperties>
</file>

<file path=docProps/custom.xml><?xml version="1.0" encoding="utf-8"?>
<Properties xmlns="http://schemas.openxmlformats.org/officeDocument/2006/custom-properties" xmlns:vt="http://schemas.openxmlformats.org/officeDocument/2006/docPropsVTypes"/>
</file>