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11</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12</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13</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14</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16</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17</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18</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19</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20</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23</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25</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26</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28</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31</w:t>
      </w:r>
    </w:p>
    <w:p>
      <w:pPr>
        <w:tabs>
          <w:tab w:val="right" w:leader="dot" w:pos="9000"/>
        </w:tabs>
        <w:spacing w:after="120"/>
      </w:pPr>
      <w:r>
        <w:rPr>
          <w:b/>
          <w:bCs/>
        </w:rPr>
        <w:t xml:space="preserve">Conditionality Footer</w:t>
      </w:r>
      <w:r>
        <w:tab/>
      </w:r>
      <w:r>
        <w:t xml:space="preserve">33</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draft v0.2.1,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production desk’s intake documents — the Intake Freeze (19eea887…) and the lemma drafts (latest 361240be…) — are cross-referenced as intake. Where the two desks’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AP25’s KS-56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is fired and shown. The full register is in §12.</w:t>
      </w:r>
    </w:p>
    <w:p>
      <w:r>
        <w:t xml:space="preserve">KS-BLINK.1 — the balanced break. LIVE — STRUCTURAL, fireable by the corpus’s own formalism.</w:t>
      </w:r>
    </w:p>
    <w:p>
      <w:r>
        <w:t xml:space="preserve">KS-BLINK.2 — the Born identification. LIVE — STRUCTURAL, and nature-facing by inheritance of AP25’s KS-56.</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instrument WP-ROAD.1 v1.2 records an AP45 v0.3 that does not exist in the author’s archive; v0.2.1 is the version of record by his word, and this lock proceeds from it. The line is corrected by a dated erratum note issued with this lock — WP-ROAD.1 v1.2, Erratum 1, 2 September 2026 — and folded into that instrument’s next revision.</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 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record’s is.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reproduces AP42’s dark clock, τ/t_H = 6/21 (AP42 §5; KS-42.6), from the other direction. 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desk that computed the candidate had inventoried the ceilings itself,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 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is fired and shown.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LIVE — EMPIRICAL). A confirmed violation of the Born rule in any physical system fires KS-56 first, and this identification retires with it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Its registry line — a new entry or a status update on an existing one — is fixed at the wave against the registry file of record, not by this paper.</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working two desks — a production desk that drafts and a verification desk that checks — with every ruling his, made by him and relayed by him between them, every intermediate hashed, and both deaths in the record published with the same care as the survivals. The desks draft, verify, and dress; they make no claim, and nothing here is theirs. The complete provenance lives in the family record of §0.2 and in the author’s thread exports; the honest history is §10, in the body, where it belongs.</w:t>
      </w:r>
    </w:p>
    <w:p>
      <w:r>
        <w:t xml:space="preserve">Lineage: desk draft v0.1 (md 0c278d8b…, reading copy e8a06266…), 16 August 2026 → v0.2, the full redraft in the house standard, produced by the production desk on the author’s ruling and walked by him (5c2b7e8c… as received) → v0.2.1, a relabel, text-identical → FINAL v1.0 (md d0d34c1a…, docx 235576f8…) → FINAL v1.1 (md 7b511d49…, docx 3592a952…) → this FINAL v1.2, 2 September 2026. All prior versions retained, never edited.</w:t>
      </w:r>
    </w:p>
    <w:p>
      <w:r>
        <w:t xml:space="preserve">What changed between v0.2.1 and this lock, listed so no reader hunts: the house dress, and paragraphs cut to the house length with no sentence altered; the Artist’s Note, the author’s; §9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 FINAL v1.1 → v1.2, same day, before anchoring, on the main reviewer’s read: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the ROAD’s phantom line corrected by erratum at this lock; the provenance stated in roles; the house spelling settled. No conclusion moved, no switch retired, no number changed. v1.0 and v1.1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carries KS-NPP.1’s firing — entered or updated as the registry file of record decides — totals fixed at the wave against that file,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 The ROAD v1.2’s AP45 line, corrected by Erratum 1 at this lock.</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