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6.0" w:type="dxa"/>
        <w:jc w:val="center"/>
        <w:tblInd w:w="-2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-351"/>
        <w:tblGridChange w:id="0">
          <w:tblGrid>
            <w:gridCol w:w="1406"/>
            <w:gridCol w:w="757.0000000000002"/>
            <w:gridCol w:w="7474.000000000001"/>
            <w:gridCol w:w="-351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Программирование циклического процесса. Типы циклов.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2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Рассмотреть решение предложенной задачи с использованием всех трех видов циклов. Отладить программу с наиболее рациональным вариантом цикла. Обосновать выбор.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Найти сумму первых k чисел последовательности Фибоначчи. Последовательность определяется законом: F0=F1=1; Fn=Fn-1+Fn-2 для  n &gt;=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24025" cy="47910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objfpc}{$H+}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k, i, a, b, c, sum: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a:=1; b:=0; sum:=0;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write('Введите натуральное число k=');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readln(k);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k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c:=a+b;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a:=b;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b:=c;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sum := sum + c;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writeLn('Результат: ', sum);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drawing>
          <wp:inline distB="114300" distT="114300" distL="114300" distR="114300">
            <wp:extent cx="2571750" cy="2362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языке Pascal существует 3 типа циклов: с предуловием, постусловием и счетный. Для решения данной задачи был использован последний - счетный.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Поставленную задачу можно было решить любым </w:t>
      </w:r>
      <w:r w:rsidDel="00000000" w:rsidR="00000000" w:rsidRPr="00000000">
        <w:rPr>
          <w:rtl w:val="0"/>
        </w:rPr>
        <w:t xml:space="preserve">из этих </w:t>
      </w:r>
      <w:r w:rsidDel="00000000" w:rsidR="00000000" w:rsidRPr="00000000">
        <w:rPr>
          <w:rtl w:val="0"/>
        </w:rPr>
        <w:t xml:space="preserve">циклов, но поскольку требуется </w:t>
      </w:r>
      <w:r w:rsidDel="00000000" w:rsidR="00000000" w:rsidRPr="00000000">
        <w:rPr>
          <w:rtl w:val="0"/>
        </w:rPr>
        <w:t xml:space="preserve">перебрать определенное количество элементов последовательности фибоначчи</w:t>
      </w:r>
      <w:r w:rsidDel="00000000" w:rsidR="00000000" w:rsidRPr="00000000">
        <w:rPr>
          <w:rtl w:val="0"/>
        </w:rPr>
        <w:t xml:space="preserve"> для решения больше всего подходит счетный цикл, поскольку только он позволяет определить кол-во повторений.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При использовании циклов с пред- и пост- условием нам потребовалось бы определить логику инкрементирования значения переменной, с последующей ее проверкой.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3.png"/><Relationship Id="rId7" Type="http://schemas.openxmlformats.org/officeDocument/2006/relationships/image" Target="media/image04.png"/><Relationship Id="rId8" Type="http://schemas.openxmlformats.org/officeDocument/2006/relationships/footer" Target="footer1.xml"/></Relationships>
</file>