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02.0" w:type="dxa"/>
        <w:jc w:val="center"/>
        <w:tblInd w:w="-4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-135"/>
        <w:tblGridChange w:id="0">
          <w:tblGrid>
            <w:gridCol w:w="1406"/>
            <w:gridCol w:w="757.0000000000002"/>
            <w:gridCol w:w="7474.000000000001"/>
            <w:gridCol w:w="-135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2" name="image0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3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Одномерные массивы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4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Определить число инверсий в массиве из 40 целых чисел (инверсия - это пара элементов, в которой большее число расположено слева от меньшего).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2775" cy="76485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j, counter, total: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list: array [1..40] of Longint = (29, 79, 98, 15, 76, 63, 95, 12, 2, 85, 6, 85, 51, 98, 45, 85, 69, 62, 33, 34, 52, 86, 74, 47, 5, 17, 97, 75, 2, 9, 0, 97, 38, 28, 22, 74, 12, 73, 23, 66);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total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i:=0 to length(list)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counter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j:=0 to i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list[j] &gt; list[i] then inc(counter)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total := total + counter;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writeln('Для числа ', list[i],' инверсий: ', counter);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writeln('Общее количество инверсий: ', total);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00325" cy="70675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Массив – это составной объект, образованный из элементов (компонент) одного и того же типа. Такой тип данных применяется в программировании для обозначения объектов, аналогичных числовым последовательностям в математике, где сразу целая группа чисел обозначается одним именем (чаще всего буквой), а для обращения к каждому отдельному числу данной последовательности используются различные индексы (номера элементов). В математике это может выглядеть, например, так: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a1, а2, а3, …, аn.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Таким образом, в программировании массив – это последовательность однотипных элементов, имеющих общее имя, причем каждый элемент этой последовательности определяется порядковым номером (индексом) элемента.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png"/><Relationship Id="rId7" Type="http://schemas.openxmlformats.org/officeDocument/2006/relationships/image" Target="media/image05.png"/><Relationship Id="rId8" Type="http://schemas.openxmlformats.org/officeDocument/2006/relationships/footer" Target="footer1.xml"/></Relationships>
</file>