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профессионального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178.0" w:type="dxa"/>
        <w:jc w:val="left"/>
        <w:tblInd w:w="-108.0" w:type="dxa"/>
        <w:tblLayout w:type="fixed"/>
        <w:tblLook w:val="0600"/>
      </w:tblPr>
      <w:tblGrid>
        <w:gridCol w:w="1260"/>
        <w:gridCol w:w="680"/>
        <w:gridCol w:w="6720"/>
        <w:gridCol w:w="518"/>
        <w:tblGridChange w:id="0">
          <w:tblGrid>
            <w:gridCol w:w="1260"/>
            <w:gridCol w:w="680"/>
            <w:gridCol w:w="6720"/>
            <w:gridCol w:w="518"/>
          </w:tblGrid>
        </w:tblGridChange>
      </w:tblGrid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drawing>
                <wp:inline distB="0" distT="0" distL="0" distR="0">
                  <wp:extent cx="731520" cy="830520"/>
                  <wp:effectExtent b="0" l="0" r="0" t="0"/>
                  <wp:docPr descr="Gerb-BMSTU_01" id="3" name="image05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05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8305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«Московский государственный технический университет имени Н.Э. Баумана»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Факультет: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ИУ «Информатика и системы управления»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Кафедра: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ИУ-6 «Компьютерные системы и сети»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домашнему заданию № 4-А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«Программирование циклического процесса. Типы циклов.»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вариант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Дисциплина:</w:t>
        <w:tab/>
        <w:t xml:space="preserve">Основы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80.0" w:type="dxa"/>
        <w:jc w:val="left"/>
        <w:tblInd w:w="-108.0" w:type="dxa"/>
        <w:tblLayout w:type="fixed"/>
        <w:tblLook w:val="0600"/>
      </w:tblPr>
      <w:tblGrid>
        <w:gridCol w:w="3620"/>
        <w:gridCol w:w="3140"/>
        <w:gridCol w:w="2320"/>
        <w:tblGridChange w:id="0">
          <w:tblGrid>
            <w:gridCol w:w="3620"/>
            <w:gridCol w:w="3140"/>
            <w:gridCol w:w="2320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группы ИУ6-51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Милков В. В.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(Подпись, 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(Фамилия И.О.)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Гукетлев Д. В.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(Подпись, 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(Фамилия И.О.)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Москва, 2016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10195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Задание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Блок-схема алгоритма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vertAlign w:val="baseline"/>
            <w:rtl w:val="0"/>
          </w:rPr>
          <w:t xml:space="preserve">Код программы</w:t>
          <w:tab/>
          <w:t xml:space="preserve">5</w:t>
        </w:r>
      </w:hyperlink>
      <w:hyperlink w:anchor="h.1fob9te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vertAlign w:val="baseline"/>
            <w:rtl w:val="0"/>
          </w:rPr>
          <w:t xml:space="preserve">Скриншоты выполнения программы</w:t>
          <w:tab/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6</w:t>
        </w:r>
      </w:hyperlink>
      <w:hyperlink w:anchor="h.3znysh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vertAlign w:val="baseline"/>
            <w:rtl w:val="0"/>
          </w:rPr>
          <w:t xml:space="preserve">Вывод</w:t>
          <w:tab/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7</w:t>
        </w:r>
      </w:hyperlink>
      <w:hyperlink w:anchor="h.1t3h5sf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gjdgxs" w:id="0"/>
      <w:bookmarkEnd w:id="0"/>
      <w:hyperlink w:anchor="h.tyjcwt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w:anchor="h.tyjcwt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40" w:lineRule="auto"/>
        <w:ind w:right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Рассмотреть решение предложенной задачи с использованием всех трех видов циклов. Отладить программу с наиболее рациональным вариантом цикла. Обосновать выбор.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40" w:lineRule="auto"/>
        <w:ind w:right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Найти сумму первых k чисел последовательности Фибоначчи. Последовательность определяется законом: F0=F1=1; Fn=Fn-1+Fn-2 для  n &gt;=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before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Блок-схема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724025" cy="479107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program main;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{$mode objfpc}{$H+}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var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k, i, a, b, c, sum: integer;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a:=1; b:=0; sum:=0;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write('Введите натуральное число k=');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readln(k);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for i:=1 to k do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c:=a+b;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a:=b;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b:=c;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sum := sum + c;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writeLn('Результат: ', sum);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end.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3znysh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Скриншоты выполнения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2et92p0" w:id="3"/>
      <w:bookmarkEnd w:id="3"/>
      <w:r w:rsidDel="00000000" w:rsidR="00000000" w:rsidRPr="00000000">
        <w:drawing>
          <wp:inline distB="114300" distT="114300" distL="114300" distR="114300">
            <wp:extent cx="2571750" cy="23622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tyjcw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1t3h5sf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В языке Pascal существует 3 типа циклов: с предуловием, постусловием и счетный. Для решения данной задачи был использован последний - счетный.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Поставленную задачу можно было решить любым </w:t>
      </w:r>
      <w:r w:rsidDel="00000000" w:rsidR="00000000" w:rsidRPr="00000000">
        <w:rPr>
          <w:sz w:val="28"/>
          <w:szCs w:val="28"/>
          <w:rtl w:val="0"/>
        </w:rPr>
        <w:t xml:space="preserve">из этих </w:t>
      </w:r>
      <w:r w:rsidDel="00000000" w:rsidR="00000000" w:rsidRPr="00000000">
        <w:rPr>
          <w:sz w:val="28"/>
          <w:szCs w:val="28"/>
          <w:rtl w:val="0"/>
        </w:rPr>
        <w:t xml:space="preserve">циклов, но поскольку требуется </w:t>
      </w:r>
      <w:r w:rsidDel="00000000" w:rsidR="00000000" w:rsidRPr="00000000">
        <w:rPr>
          <w:sz w:val="28"/>
          <w:szCs w:val="28"/>
          <w:rtl w:val="0"/>
        </w:rPr>
        <w:t xml:space="preserve">перебрать определенное количество элементов последовательности фибоначчи</w:t>
      </w:r>
      <w:r w:rsidDel="00000000" w:rsidR="00000000" w:rsidRPr="00000000">
        <w:rPr>
          <w:sz w:val="28"/>
          <w:szCs w:val="28"/>
          <w:rtl w:val="0"/>
        </w:rPr>
        <w:t xml:space="preserve"> для решения больше всего подходит счетный цикл, поскольку только он позволяет определить кол-во повторений.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При использовании циклов с пред- и пост- условием нам потребовалось бы определить логику инкрементирования значения переменной, с последующей ее проверкой.</w:t>
      </w: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8" w:w="11906"/>
      <w:pgMar w:bottom="851" w:top="851" w:left="1418" w:right="1418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720" w:before="0" w:line="240" w:lineRule="auto"/>
      <w:ind w:left="0" w:right="0" w:firstLine="0"/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7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40" w:line="257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4b5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image" Target="media/image05.jpg"/><Relationship Id="rId6" Type="http://schemas.openxmlformats.org/officeDocument/2006/relationships/image" Target="media/image02.png"/><Relationship Id="rId7" Type="http://schemas.openxmlformats.org/officeDocument/2006/relationships/image" Target="media/image04.png"/><Relationship Id="rId8" Type="http://schemas.openxmlformats.org/officeDocument/2006/relationships/header" Target="header1.xml"/></Relationships>
</file>