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A2B4A"/>
          <w:sz w:val="56"/>
          <w:szCs w:val="56"/>
        </w:rPr>
        <w:t xml:space="preserve">SmartEduSync</w:t>
      </w:r>
    </w:p>
    <w:p>
      <w:pPr>
        <w:spacing w:after="200"/>
        <w:jc w:val="center"/>
      </w:pPr>
      <w:r>
        <w:rPr>
          <w:i/>
          <w:iCs/>
          <w:color w:val="2C4B7C"/>
          <w:sz w:val="30"/>
          <w:szCs w:val="30"/>
        </w:rPr>
        <w:t xml:space="preserve">A Privacy-First, Emotion-Aware AI Tutoring Robot</w:t>
      </w:r>
    </w:p>
    <w:p>
      <w:pPr>
        <w:spacing w:after="100" w:before="400"/>
        <w:jc w:val="center"/>
      </w:pPr>
      <w:r>
        <w:rPr>
          <w:b/>
          <w:bCs/>
          <w:color w:val="444444"/>
          <w:sz w:val="26"/>
          <w:szCs w:val="26"/>
        </w:rPr>
        <w:t xml:space="preserve">System Requirements &amp; Design Specification (SRS)</w:t>
      </w:r>
    </w:p>
    <w:p>
      <w:pPr>
        <w:spacing w:after="1200"/>
        <w:jc w:val="center"/>
      </w:pPr>
      <w:r>
        <w:rPr>
          <w:color w:val="595959"/>
          <w:sz w:val="21"/>
          <w:szCs w:val="21"/>
        </w:rPr>
        <w:t xml:space="preserve">Combined Blueprint — Part 1 (Companion &amp; Emotion Engine) + Part 2 (Knowledge &amp; Intelligence Engine)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Prepared for: Final Year B.Tech Project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Platform: Raspberry Pi 5 · Tabletop Form Factor (25–30 cm)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Project Overview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SmartEduSync is a tabletop, AI-powered educational robot that combines an emotionally intelligent companion layer with a privacy-first knowledge and tutoring engine. The project reconciles two prior draft concepts — “EduSync” and “SmartEduBot” — and two independently developed goal sets (the Companion Robot goals and the Group 2 module plan) into a single, buildable system. All core reasoning, perception, and student data remain local to the robot's Raspberry Pi; only speech services may optionally use the cloud, as decided in Section 4.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robot detects when a student is engaged, distracted, or struggling; proactively intervenes with contextual, data-grounded encouragement or reminders; and teaches using a Socratic, syllabus-grounded tutoring engine backed by a local knowledge graph. It expresses itself physically through head/arm movement and a facial display, and vocally through emotionally modulated speech.</w:t>
      </w:r>
    </w:p>
    <w:p>
      <w:pPr>
        <w:pStyle w:val="Heading2"/>
        <w:spacing w:after="120" w:before="260"/>
      </w:pPr>
      <w:r>
        <w:t xml:space="preserve">1.2 Purpose of This Document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SRS gives both teams a single shared reference: what the robot must do, how the hardware and software are structured, how Part 1 and Part 2 communicate, and in what order to build it. It resolves inconsistencies found in the two original abstracts (see Section 1.4) so both teams are building toward the same system.</w:t>
      </w:r>
    </w:p>
    <w:p>
      <w:pPr>
        <w:pStyle w:val="Heading2"/>
        <w:spacing w:after="120" w:before="260"/>
      </w:pPr>
      <w:r>
        <w:t xml:space="preserve">1.3 Scope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In scope: on-device emotion/engagement sensing, proactive intervention logic, syllabus-grounded Socratic tutoring via local LLM + GraphRAG, exam-risk tracking via Bayesian Knowledge Tracing, expressive voice and physical (head/arm) emotion display, and a shared orchestration layer tying both halves together.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Out of scope (for this version): mobile app companion, multi-student/classroom mode, cloud analytics dashboards, and continuous learning / model fine-tuning on live student data.</w:t>
      </w:r>
    </w:p>
    <w:p>
      <w:pPr>
        <w:pStyle w:val="Heading2"/>
        <w:spacing w:after="120" w:before="260"/>
      </w:pPr>
      <w:r>
        <w:t xml:space="preserve">1.4 Reconciling the Two Draft Abstracts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EduSync and SmartEduBot abstracts described the same underlying system with different emphasis and one direct conflict (voice pipeline: hybrid cloud STT/TTS vs. fully local). This document adopts the following resolved decisions for both teams to build against: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Resolved decision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SmartEduSync (working title — rename freely, but use one name in all docs going forward)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Voice pipeline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Hybrid: STT/TTS may use cloud APIs (e.g., ElevenLabs) for expressiveness; all vision/emotion data and student records stay local. This must be stated explicitly in the final abstract.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Emotion tracking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Elevated to a first-class feature in the abstract — it is a full Part 1 goal (Goal 2) and should not be a footnote.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Socratic tutoring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Kept as the core teaching philosophy (Part 2, Module 4), not just “Q&amp;A over documents.”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Facial recognition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Scoped down to face + landmark detection for emotion/gaze (not identity recognition), to avoid extra privacy/ethics review.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System Overview</w:t>
      </w:r>
    </w:p>
    <w:p>
      <w:pPr>
        <w:pStyle w:val="Heading2"/>
        <w:spacing w:after="120" w:before="260"/>
      </w:pPr>
      <w:r>
        <w:t xml:space="preserve">2.1 Two-Team Structure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project is delivered by two teams working on complementary halves of one robot: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1 — Companion &amp; Emotion Engine: proactive persona, multimodal emotion/engagement sensing, intervention triggering, academic-risk tracking (BKT), expressive voice.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2 — Knowledge &amp; Intelligence Engine: local LLM dialogue, RAG + GraphRAG retrieval over syllabus content, Socratic tutoring logic, answer verification and learning memory.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Both halves run on the same Raspberry Pi and communicate through a shared Integration Layer (Section 5), so neither team can finish in isolation — the interfaces in Section 5.2 are the contract between teams and should be agreed on in week 1.</w:t>
      </w:r>
    </w:p>
    <w:p>
      <w:pPr>
        <w:pStyle w:val="Heading2"/>
        <w:spacing w:after="120" w:before="260"/>
      </w:pPr>
      <w:r>
        <w:t xml:space="preserve">2.2 Unified Concept Statement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SmartEduSync is a privacy-first, emotion-aware AI tutoring robot that watches how a student studies — not just what they ask — and responds with syllabus-grounded, Socratic guidance and proactive, data-driven encouragement, all while keeping camera and academic data processing local to the device.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Hardware Design</w:t>
      </w:r>
    </w:p>
    <w:p>
      <w:pPr>
        <w:pStyle w:val="Heading2"/>
        <w:spacing w:after="120" w:before="260"/>
      </w:pPr>
      <w:r>
        <w:t xml:space="preserve">3.1 Physical Form Factor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Tabletop robot, approx. 25–30 cm tall, static base (no wheels/locomotion).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Head: pan + tilt (2 DOF minimum) to orient toward the student and nod/tilt for emotion; houses a small round or square display for a simple animated face, plus study-guide text/flashcards/progress info.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Arms: 2 arms, 1–2 DOF each (shoulder + optional elbow) for simple expressive gestures (wave, shrug, “think” pose, celebratory raise) — not manipulation/grasping.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Enclosure: 3D-printed shell; internal mounting for Pi, camera, mic, speaker, servo driver, and wiring channel from base to head.</w:t>
      </w:r>
    </w:p>
    <w:p>
      <w:pPr>
        <w:pStyle w:val="Heading2"/>
        <w:spacing w:after="120" w:before="260"/>
      </w:pPr>
      <w:r>
        <w:t xml:space="preserve">3.2 Bill of Materials (starting point)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0"/>
      </w:tblGrid>
      <w:tr>
        <w:trPr>
          <w:tblHeader/>
        </w:trPr>
        <w:tc>
          <w:tcPr>
            <w:tcW w:type="dxa" w:w="21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part</w:t>
            </w:r>
          </w:p>
        </w:tc>
        <w:tc>
          <w:tcPr>
            <w:tcW w:type="dxa" w:w="38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Raspberry Pi 5 (8GB)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 both Part 1 and Part 2 software stacks locally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Camera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Raspberry Pi Camera Module 3 (wide)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Facial emotion, gaze, posture input for Perception Service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Microphone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ReSpeaker 2/4-Mic array (USB or HAT)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Far-field voice capture for STT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Speaker/Audio out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I2S DAC + amp (e.g., MAX98357A) + small 3–5W speaker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TTS playback, low-latency via PipeWire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 display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3.5–5″ round/square LCD (e.g., GC9A01 round, or small HDMI/DSI panel)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Animated face, study guide, engagement/exam alerts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4–6x digital servos (e.g., MG90S) + PCA9685 16-ch PWM driver (I2C)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 pan/tilt, arm gestures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5V/5A USB-C PD supply for Pi; separate 5–6V/3A rail for servos (isolated from Pi rail)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Prevents servo current spikes from browning out the Pi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Optional accelerator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Coral USB Accelerator or Hailo-8 (optional)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Speeds up on-device face/gaze inference if TFLite alone is too slow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128GB+ microSD (A2 rated) or USB SSD boot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LLM weights, vector DB, SQLite, model caches</w:t>
            </w:r>
          </w:p>
        </w:tc>
      </w:tr>
    </w:tbl>
    <w:p>
      <w:pPr>
        <w:pStyle w:val="Heading2"/>
        <w:spacing w:after="120" w:before="260"/>
      </w:pPr>
      <w:r>
        <w:t xml:space="preserve">3.3 Actuation &amp; Sensing Notes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Drive servos via the PCA9685 over I2C, not directly from Pi GPIO — protects the Pi and centralizes PWM timing.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Run the camera pipeline at a modest resolution (e.g., 640×480) at 5 Hz sampling to match the Goal 2 engagement-score requirement and keep CPU headroom for the LLM.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Keep the servo power rail electrically separate from the Pi's 5V rail; share only ground — this is the single most common cause of Pi reboots in small robot builds.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System Architecture</w:t>
      </w:r>
    </w:p>
    <w:p>
      <w:pPr>
        <w:pStyle w:val="Heading2"/>
        <w:spacing w:after="120" w:before="260"/>
      </w:pPr>
      <w:r>
        <w:t xml:space="preserve">4.1 High-Level Architecture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All sensing, reasoning, and actuation happen on a single Raspberry Pi 5, split into two cooperating engines that communicate through a lightweight event bus.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4.2 Component Communication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Recommended integration pattern: a lightweight local message broker (Mosquitto MQTT, or a simple Python asyncio pub-sub if the teams prefer to avoid an extra service) carries small JSON events between the two engines. A shared “robot state” store (a small SQLite table or in-memory store behind a FastAPI endpoint) holds the current engagement score, emotion label, active study topic, and intervention state so either engine can read the latest state without tight coupling.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500"/>
      </w:tblGrid>
      <w:tr>
        <w:trPr>
          <w:tblHeader/>
        </w:trPr>
        <w:tc>
          <w:tcPr>
            <w:tcW w:type="dxa" w:w="22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28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Subscriber(s)</w:t>
            </w:r>
          </w:p>
        </w:tc>
        <w:tc>
          <w:tcPr>
            <w:tcW w:type="dxa" w:w="25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 (example)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engagement.update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– Perception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Intervention Manager, Part 2 Dialogue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 E_t: 0.38, emotion: "frustrated", ts }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intervention.trigger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– Intervention Manager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 Dialogue, Actuator Control, Voice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 level: "gentle"|"firm", reason, topic }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tutor.response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 – Socratic Tutor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Voice Output, Head Screen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 text, ssml_hint, topic, confidence }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mastery.update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– BKT Tracker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 Dialogue (for difficulty adjustment)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 topic: "Robotics", p_mastery: 0.42 }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exam.alert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– BKT Tracker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Intervention Manager, Head Screen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 subject, days_left, risk: "high" 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Part 1 Software — Companion &amp; Emotion Engine</w:t>
      </w:r>
    </w:p>
    <w:p>
      <w:pPr>
        <w:pStyle w:val="Heading2"/>
        <w:spacing w:after="120" w:before="260"/>
      </w:pPr>
      <w:r>
        <w:t xml:space="preserve">5.1 Module: Proactive Persona &amp; Safety Layer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Owns the robot's conversational “personality” rules and tone guardrails. Wraps outgoing nag/encouragement text through a self-refinement check (rule-based first; an Uptrain-style automated check can be added later) to block toxic, demotivating, or factually unsupported statements before they reach TTS.</w:t>
      </w:r>
    </w:p>
    <w:p>
      <w:pPr>
        <w:pStyle w:val="Heading2"/>
        <w:spacing w:after="120" w:before="260"/>
      </w:pPr>
      <w:r>
        <w:t xml:space="preserve">5.2 Module: Perception Service (Multimodal Emotion Sensing)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Runs MediaPipe Face Landmarker + a lightweight TFLite emotion classifier and a simple posture/gaze heuristic, all on-device.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Computes a fused engagement score E_t at 5 Hz from facial emotion, gaze direction, and posture alignment.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Publishes engagement.update events; never sends raw frames off-device.</w:t>
      </w:r>
    </w:p>
    <w:p>
      <w:pPr>
        <w:pStyle w:val="Heading2"/>
        <w:spacing w:after="120" w:before="260"/>
      </w:pPr>
      <w:r>
        <w:t xml:space="preserve">5.3 Module: Intervention Manager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State machine (idle → watching → gentle nudge → firm nag → escalated alert) driven by E_t thresholds (default trigger: E_t &lt; 0.45 while a study session is active) and elapsed idle time.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Uses a ReAct-style loop to decide actions: check the assignment/exam database, or emit an intervention.trigger event.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 simple state machine is the recommended starting point; the RL variant mentioned in the original goals is a stretch goal once the state machine version works end-to-end.</w:t>
      </w:r>
    </w:p>
    <w:p>
      <w:pPr>
        <w:pStyle w:val="Heading2"/>
        <w:spacing w:after="120" w:before="260"/>
      </w:pPr>
      <w:r>
        <w:t xml:space="preserve">5.4 Module: Academic Risk Tracker (BKT)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Implements Bayesian Knowledge Tracing per syllabus topic, stored in SQLite (per-student, per-topic mastery probability).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Combines mastery probability with exam-calendar proximity to generate exam.alert events and grounds nag text in specifics (e.g., topic name, days remaining, mastery %).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Persists across sessions/semesters so the companion relationship and history carry forward.</w:t>
      </w:r>
    </w:p>
    <w:p>
      <w:pPr>
        <w:pStyle w:val="Heading2"/>
        <w:spacing w:after="120" w:before="260"/>
      </w:pPr>
      <w:r>
        <w:t xml:space="preserve">5.5 Module: Expressive Voice Output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Manages audio I/O concurrency on PipeWire/WirePlumber so the robot can listen while speaking (barge-in support).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Maps emotion/intervention state to SSML (rate, pitch, emphasis) sent to the TTS API — slower/softer for confusion or frustration, faster/sharper for urgent nags.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Part 2 Software — Knowledge &amp; Intelligence Engine</w:t>
      </w:r>
    </w:p>
    <w:p>
      <w:pPr>
        <w:pStyle w:val="Heading2"/>
        <w:spacing w:after="120" w:before="260"/>
      </w:pPr>
      <w:r>
        <w:t xml:space="preserve">6.1 Module: General AI &amp; Dialogue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local LLM (Llama 3.1 8B or Phi-3.5-mini via Ollama/llama.cpp) exposed through a FastAPI service. Owns multi-turn conversation state and routes requests to RAG/GraphRAG for grounding before generating a response.</w:t>
      </w:r>
    </w:p>
    <w:p>
      <w:pPr>
        <w:pStyle w:val="Heading2"/>
        <w:spacing w:after="120" w:before="260"/>
      </w:pPr>
      <w:r>
        <w:t xml:space="preserve">6.2 Module: Knowledge Base &amp; RAG Engine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Ingests syllabus PDFs/notes/slides with PyMuPDF + LangChain, chunks them, embeds with Sentence Transformers, and stores vectors in FAISS/Chroma/Qdrant.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Retrieves the most relevant chunks for a query and passes them as grounding context to the LLM.</w:t>
      </w:r>
    </w:p>
    <w:p>
      <w:pPr>
        <w:pStyle w:val="Heading2"/>
        <w:spacing w:after="120" w:before="260"/>
      </w:pPr>
      <w:r>
        <w:t xml:space="preserve">6.3 Module: Knowledge Graph &amp; GraphRAG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Builds a concept graph (prerequisites, related topics, definitions) in Neo4j or NetworkX.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Combines graph traversal with vector retrieval (GraphRAG) so answers can reference connected concepts, not just isolated text chunks.</w:t>
      </w:r>
    </w:p>
    <w:p>
      <w:pPr>
        <w:pStyle w:val="Heading2"/>
        <w:spacing w:after="120" w:before="260"/>
      </w:pPr>
      <w:r>
        <w:t xml:space="preserve">6.4 Module: Socratic Teaching &amp; Adaptive Tutor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Given a topic and the student's current mastery estimate (from Part 1's BKT tracker), generates guiding questions and progressive hints rather than direct answers by default.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Detects likely misconceptions from student responses and adjusts question difficulty accordingly.</w:t>
      </w:r>
    </w:p>
    <w:p>
      <w:pPr>
        <w:pStyle w:val="Heading2"/>
        <w:spacing w:after="120" w:before="260"/>
      </w:pPr>
      <w:r>
        <w:t xml:space="preserve">6.5 Module: Verification, Evaluation &amp; Memory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Cross-checks generated answers against retrieved RAG/GraphRAG content to catch hallucinations before they're spoken.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Evaluates student answers for correctness/missing concepts and stores learning state (doubts, performance, conversation history) in SQLite.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Overall Part 2 flow: Local LLM (Think) → RAG (Know) → GraphRAG (Connect) → Socratic Engine (Teach) → Verifier/Memory (Improve).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800"/>
      </w:tblGrid>
      <w:tr>
        <w:trPr>
          <w:tblHeader/>
        </w:trPr>
        <w:tc>
          <w:tcPr>
            <w:tcW w:type="dxa" w:w="10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compute an engagement score at ≥5 Hz using camera input, without transmitting raw video off-device.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trigger an intervention when E_t falls below the configured threshold during an active study session.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track topic-level mastery probability per student using BKT and persist it across sessions.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reference specific exam dates and mastery levels when generating academic nudges (not generic phrasing).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answer student questions grounded in ingested syllabus content via RAG/GraphRAG, not general LLM knowledge alone.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default to Socratic hints before giving direct answers, escalating to direct answers after repeated struggle.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verify generated answers against retrieved content before speaking them.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FR-8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express current emotional/intervention state via head screen, head/arm movement, and modulated voice simultaneously.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FR-9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support simultaneous listening and speaking (barge-in) without audio dropouts.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shall allow the student to upload/add new syllabus material and have it searchable within one session.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2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Privacy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camera frames, engagement scores, and academic records are processed and stored locally on the Pi; only text for STT/TTS may leave the device, and only if cloud voice is enabled.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Latency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Engagement score updates ≤200 ms; a spoken response to a direct question should begin within ~2–3 s of query end (budget-dependent on LLM size chosen).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Servo and Pi power rails are electrically isolated; a servo stall/short must not crash or reboot the Pi.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 1 and Part 2 communicate only through the documented event schema (Section 4.2) so either team can refactor internals independently.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Safety/Tone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generated nag/encouragement text passes through the safety/tone guardrail (Section 5.1) before being spoken.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Software should run on a stock Raspberry Pi OS (64-bit) image with documented setup scripts; avoid hard-coded absolute paths.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Development Roadmap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Suggested phased plan so both teams have working, demoable pieces early and integrate incrementally rather than at the very end.</w:t>
      </w:r>
    </w:p>
    <w:p>
      <w:pPr>
        <w:pStyle w:val="Heading2"/>
        <w:spacing w:after="120" w:before="260"/>
      </w:pPr>
      <w:r>
        <w:t xml:space="preserve">Phase 0 (Week 1–2): Foundations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Agree on and freeze the event schema (Section 4.2) — this unblocks both teams to work in parallel.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1: get camera + MediaPipe running on the Pi, log raw engagement scores to console.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2: get local LLM running via Ollama on the Pi, basic FastAPI chat endpoint, no RAG yet.</w:t>
      </w:r>
    </w:p>
    <w:p>
      <w:pPr>
        <w:pStyle w:val="Heading2"/>
        <w:spacing w:after="120" w:before="260"/>
      </w:pPr>
      <w:r>
        <w:t xml:space="preserve">Phase 1 (Week 3–5): Core Engines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1: implement engagement fusion, SQLite BKT schema, basic state-machine intervention manager (no voice/servo yet, just console/log output).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Part 2: implement RAG over 1–2 sample syllabus PDFs; add basic Socratic prompt template.</w:t>
      </w:r>
    </w:p>
    <w:p>
      <w:pPr>
        <w:pStyle w:val="Heading2"/>
        <w:spacing w:after="120" w:before="260"/>
      </w:pPr>
      <w:r>
        <w:t xml:space="preserve">Phase 2 (Week 6–8): Integration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Stand up the event bus; wire engagement.update → intervention.trigger → tutor.response end-to-end.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Add TTS output (SSML) and connect to speaker; add GraphRAG on top of RAG.</w:t>
      </w:r>
    </w:p>
    <w:p>
      <w:pPr>
        <w:pStyle w:val="Heading2"/>
        <w:spacing w:after="120" w:before="260"/>
      </w:pPr>
      <w:r>
        <w:t xml:space="preserve">Phase 3 (Week 9–11): Hardware &amp; Expression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Mount and wire servos via PCA9685; implement head pan/tilt reacting to interaction state; add basic arm gestures.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Wire the head display; implement a simple animated face plus study-guide/exam-alert screens.</w:t>
      </w:r>
    </w:p>
    <w:p>
      <w:pPr>
        <w:pStyle w:val="Heading2"/>
        <w:spacing w:after="120" w:before="260"/>
      </w:pPr>
      <w:r>
        <w:t xml:space="preserve">Phase 4 (Week 12–14): Polish &amp; Evaluation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Add verification/hallucination checks, tune intervention thresholds with real test users, tone-safety pass on nag phrasing.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Write up final report using the reconciled abstract (Section 1.4) and this SRS as the design chapter.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Risk Register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800"/>
      </w:tblGrid>
      <w:tr>
        <w:trPr>
          <w:tblHeader/>
        </w:trPr>
        <w:tc>
          <w:tcPr>
            <w:tcW w:type="dxa" w:w="33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LLM too slow on Pi 5 CPU alone for real-time tutoring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 with Phi-3.5-mini (smaller); consider a Hailo/Coral accelerator or quantized GGUF models; cap context length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Servo current draw destabilizes Pi power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Separate power rails, share ground only; add capacitor buffering on servo rail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Emotion classifier misreads engagement (false nags)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 a rolling average of E_t rather than instantaneous value; require sustained low engagement before triggering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teams' modules drift apart / interfaces mismatch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Freeze the event schema early (Phase 0); integrate on a shared branch weekly, not just at the end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 TTS dependency breaks offline demo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Keep a local TTS fallback (e.g., Piper) for offline/demo-safe operation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11. Appendix — Technology Stack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00"/>
            <w:shd w:fill="2C4B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Raspberry Pi 5 (8GB), Raspberry Pi OS 64-bit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Perception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MediaPipe, TensorFlow Lite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LLM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Ollama or llama.cpp running Llama 3.1 8B / Phi-3.5-mini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PyMuPDF, LangChain, Sentence Transformers, FAISS / Chroma / Qdrant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Neo4j or NetworkX (GraphRAG)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Python, FastAPI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 (BKT mastery, learning memory, conversation history)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Voice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PipeWire/WirePlumber (audio routing), cloud TTS (e.g., ElevenLabs) with SSML, local fallback (e.g., Piper)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MQTT (Mosquitto) or asyncio pub-sub event bus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PCA9685 PWM driver + digital servos (I2C)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Display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Round/square LCD (e.g., GC9A01) driven from Pi GPIO/SPI</w:t>
            </w:r>
          </w:p>
        </w:tc>
      </w:tr>
    </w:tbl>
    <w:p>
      <w:pPr>
        <w:spacing w:after="160" w:line="276"/>
      </w:pPr>
      <w:r>
        <w:rPr>
          <w:color w:val="222222"/>
          <w:sz w:val="22"/>
          <w:szCs w:val="22"/>
        </w:rPr>
        <w:t xml:space="preserve"/>
      </w:r>
    </w:p>
    <w:p>
      <w:pPr>
        <w:spacing w:after="160" w:line="276"/>
      </w:pPr>
      <w:r>
        <w:rPr>
          <w:i/>
          <w:iCs/>
          <w:color w:val="888888"/>
          <w:sz w:val="18"/>
          <w:szCs w:val="18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  <w:outlineLvl w:val="1"/>
    </w:pPr>
    <w:rPr>
      <w:rFonts w:ascii="Calibri" w:cs="Calibri" w:eastAsia="Calibri" w:hAnsi="Calibri"/>
      <w:b/>
      <w:bCs/>
      <w:color w:val="2C4B7C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1F618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e80de00b1f432823ec12e4d83a488f6c73c9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2026-08-11T08:54:08.972Z</dcterms:created>
  <dcterms:modified xsi:type="dcterms:W3CDTF">2026-08-11T08:54:08.984Z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