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D3570" w14:textId="4A9C1BDB" w:rsidR="002D3AEA" w:rsidRPr="003358EC" w:rsidRDefault="00CD5D39" w:rsidP="00960F16">
      <w:pPr>
        <w:jc w:val="center"/>
        <w:rPr>
          <w:rFonts w:ascii="Times New Roman" w:hAnsi="Times New Roman" w:cs="Times New Roman"/>
          <w:sz w:val="32"/>
          <w:szCs w:val="32"/>
        </w:rPr>
      </w:pPr>
      <w:r>
        <w:rPr>
          <w:rFonts w:ascii="Times New Roman" w:eastAsia="Times New Roman" w:hAnsi="Times New Roman" w:cs="Times New Roman"/>
          <w:sz w:val="48"/>
          <w:szCs w:val="48"/>
        </w:rPr>
        <w:t>Senegal</w:t>
      </w:r>
      <w:r w:rsidR="00564192" w:rsidRPr="003358EC">
        <w:rPr>
          <w:rFonts w:ascii="Times New Roman" w:eastAsia="Times New Roman" w:hAnsi="Times New Roman" w:cs="Times New Roman"/>
          <w:sz w:val="48"/>
          <w:szCs w:val="48"/>
        </w:rPr>
        <w:t xml:space="preserve"> Hunger Story Review</w:t>
      </w:r>
    </w:p>
    <w:p w14:paraId="7D04A5C1" w14:textId="77777777" w:rsidR="00E26A52" w:rsidRPr="003358EC" w:rsidRDefault="00E26A52" w:rsidP="00E26A52">
      <w:pPr>
        <w:pStyle w:val="ListParagraph"/>
        <w:rPr>
          <w:rFonts w:ascii="Times New Roman" w:hAnsi="Times New Roman" w:cs="Times New Roman"/>
        </w:rPr>
      </w:pPr>
    </w:p>
    <w:p w14:paraId="73A56C90" w14:textId="6AADCD08" w:rsidR="00217EBA" w:rsidRPr="003358EC" w:rsidRDefault="00A43BAD" w:rsidP="00564192">
      <w:pPr>
        <w:rPr>
          <w:rFonts w:ascii="Times New Roman" w:hAnsi="Times New Roman" w:cs="Times New Roman"/>
          <w:b/>
          <w:bCs/>
        </w:rPr>
      </w:pPr>
      <w:r w:rsidRPr="003358EC">
        <w:rPr>
          <w:rFonts w:ascii="Times New Roman" w:hAnsi="Times New Roman" w:cs="Times New Roman"/>
          <w:b/>
          <w:bCs/>
        </w:rPr>
        <w:t>Progress</w:t>
      </w:r>
      <w:r w:rsidR="006A4A57" w:rsidRPr="003358EC">
        <w:rPr>
          <w:rFonts w:ascii="Times New Roman" w:hAnsi="Times New Roman" w:cs="Times New Roman"/>
          <w:b/>
          <w:bCs/>
        </w:rPr>
        <w:t xml:space="preserve"> and general stats</w:t>
      </w:r>
      <w:r w:rsidRPr="003358EC">
        <w:rPr>
          <w:rFonts w:ascii="Times New Roman" w:hAnsi="Times New Roman" w:cs="Times New Roman"/>
          <w:b/>
          <w:bCs/>
        </w:rPr>
        <w:t>:</w:t>
      </w:r>
    </w:p>
    <w:p w14:paraId="10B45EAF" w14:textId="4AC4AA62" w:rsidR="006A4A57" w:rsidRPr="003358EC" w:rsidRDefault="003945A1" w:rsidP="006A4A57">
      <w:pPr>
        <w:pStyle w:val="ListParagraph"/>
        <w:numPr>
          <w:ilvl w:val="0"/>
          <w:numId w:val="2"/>
        </w:numPr>
        <w:rPr>
          <w:rFonts w:ascii="Times New Roman" w:hAnsi="Times New Roman" w:cs="Times New Roman"/>
        </w:rPr>
      </w:pPr>
      <w:hyperlink r:id="rId7" w:history="1">
        <w:r w:rsidR="006A4A57" w:rsidRPr="003945A1">
          <w:rPr>
            <w:rStyle w:val="Hyperlink"/>
            <w:rFonts w:ascii="Times New Roman" w:hAnsi="Times New Roman" w:cs="Times New Roman"/>
          </w:rPr>
          <w:t>Prevalence of Undernourishment</w:t>
        </w:r>
      </w:hyperlink>
    </w:p>
    <w:p w14:paraId="68525D23" w14:textId="369AB67D" w:rsidR="00E47A10" w:rsidRDefault="00DB0C6F" w:rsidP="00564192">
      <w:pPr>
        <w:rPr>
          <w:rFonts w:ascii="Times New Roman" w:hAnsi="Times New Roman" w:cs="Times New Roman"/>
        </w:rPr>
      </w:pPr>
      <w:r w:rsidRPr="00DB0C6F">
        <w:rPr>
          <w:rFonts w:ascii="Times New Roman" w:hAnsi="Times New Roman" w:cs="Times New Roman"/>
        </w:rPr>
        <w:drawing>
          <wp:inline distT="0" distB="0" distL="0" distR="0" wp14:anchorId="203510CB" wp14:editId="5FD3D482">
            <wp:extent cx="5153025" cy="3033457"/>
            <wp:effectExtent l="0" t="0" r="0" b="0"/>
            <wp:docPr id="746434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434574" name=""/>
                    <pic:cNvPicPr/>
                  </pic:nvPicPr>
                  <pic:blipFill>
                    <a:blip r:embed="rId8"/>
                    <a:stretch>
                      <a:fillRect/>
                    </a:stretch>
                  </pic:blipFill>
                  <pic:spPr>
                    <a:xfrm>
                      <a:off x="0" y="0"/>
                      <a:ext cx="5160413" cy="3037806"/>
                    </a:xfrm>
                    <a:prstGeom prst="rect">
                      <a:avLst/>
                    </a:prstGeom>
                  </pic:spPr>
                </pic:pic>
              </a:graphicData>
            </a:graphic>
          </wp:inline>
        </w:drawing>
      </w:r>
    </w:p>
    <w:p w14:paraId="6ABBC5AF" w14:textId="7929E0A9" w:rsidR="00900B65" w:rsidRPr="00900B65" w:rsidRDefault="00023BC6" w:rsidP="00900B65">
      <w:pPr>
        <w:pStyle w:val="ListParagraph"/>
        <w:numPr>
          <w:ilvl w:val="0"/>
          <w:numId w:val="2"/>
        </w:numPr>
        <w:rPr>
          <w:rFonts w:ascii="Times New Roman" w:hAnsi="Times New Roman" w:cs="Times New Roman"/>
        </w:rPr>
      </w:pPr>
      <w:hyperlink r:id="rId9" w:history="1">
        <w:r w:rsidR="00900B65" w:rsidRPr="00023BC6">
          <w:rPr>
            <w:rStyle w:val="Hyperlink"/>
            <w:rFonts w:ascii="Times New Roman" w:hAnsi="Times New Roman" w:cs="Times New Roman"/>
          </w:rPr>
          <w:t>Cereal Yield</w:t>
        </w:r>
      </w:hyperlink>
    </w:p>
    <w:p w14:paraId="67316E14" w14:textId="5056B714" w:rsidR="00900B65" w:rsidRPr="003358EC" w:rsidRDefault="00900B65" w:rsidP="00564192">
      <w:pPr>
        <w:rPr>
          <w:rFonts w:ascii="Times New Roman" w:hAnsi="Times New Roman" w:cs="Times New Roman"/>
        </w:rPr>
      </w:pPr>
      <w:r w:rsidRPr="00900B65">
        <w:rPr>
          <w:rFonts w:ascii="Times New Roman" w:hAnsi="Times New Roman" w:cs="Times New Roman"/>
        </w:rPr>
        <w:drawing>
          <wp:inline distT="0" distB="0" distL="0" distR="0" wp14:anchorId="29BA5D19" wp14:editId="4024C8BE">
            <wp:extent cx="5229225" cy="3058202"/>
            <wp:effectExtent l="0" t="0" r="0" b="8890"/>
            <wp:docPr id="1740178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178237" name=""/>
                    <pic:cNvPicPr/>
                  </pic:nvPicPr>
                  <pic:blipFill>
                    <a:blip r:embed="rId10"/>
                    <a:stretch>
                      <a:fillRect/>
                    </a:stretch>
                  </pic:blipFill>
                  <pic:spPr>
                    <a:xfrm>
                      <a:off x="0" y="0"/>
                      <a:ext cx="5238770" cy="3063784"/>
                    </a:xfrm>
                    <a:prstGeom prst="rect">
                      <a:avLst/>
                    </a:prstGeom>
                  </pic:spPr>
                </pic:pic>
              </a:graphicData>
            </a:graphic>
          </wp:inline>
        </w:drawing>
      </w:r>
    </w:p>
    <w:p w14:paraId="1385BD5F" w14:textId="40AF8962" w:rsidR="001853CF" w:rsidRPr="003358EC" w:rsidRDefault="00A936D9" w:rsidP="006A4A57">
      <w:pPr>
        <w:pStyle w:val="ListParagraph"/>
        <w:numPr>
          <w:ilvl w:val="0"/>
          <w:numId w:val="2"/>
        </w:numPr>
        <w:rPr>
          <w:rFonts w:ascii="Times New Roman" w:hAnsi="Times New Roman" w:cs="Times New Roman"/>
        </w:rPr>
      </w:pPr>
      <w:r w:rsidRPr="00A936D9">
        <w:rPr>
          <w:rFonts w:ascii="Times New Roman" w:hAnsi="Times New Roman" w:cs="Times New Roman"/>
        </w:rPr>
        <w:lastRenderedPageBreak/>
        <w:t>Aggregate cereal yield</w:t>
      </w:r>
      <w:r>
        <w:rPr>
          <w:rFonts w:ascii="Times New Roman" w:hAnsi="Times New Roman" w:cs="Times New Roman"/>
        </w:rPr>
        <w:t>, i</w:t>
      </w:r>
      <w:r w:rsidRPr="00A936D9">
        <w:rPr>
          <w:rFonts w:ascii="Times New Roman" w:hAnsi="Times New Roman" w:cs="Times New Roman"/>
        </w:rPr>
        <w:t>ncluding millet, sorghum, maize, and rice</w:t>
      </w:r>
      <w:r>
        <w:rPr>
          <w:rFonts w:ascii="Times New Roman" w:hAnsi="Times New Roman" w:cs="Times New Roman"/>
        </w:rPr>
        <w:t xml:space="preserve">, </w:t>
      </w:r>
      <w:r w:rsidRPr="00A936D9">
        <w:rPr>
          <w:rFonts w:ascii="Times New Roman" w:hAnsi="Times New Roman" w:cs="Times New Roman"/>
        </w:rPr>
        <w:t>was essentially flat and highly volatile through the 1985–2000 period, oscillating around 795–872 kg/ha</w:t>
      </w:r>
      <w:r w:rsidR="00F621B7" w:rsidRPr="003358EC">
        <w:rPr>
          <w:rFonts w:ascii="Times New Roman" w:hAnsi="Times New Roman" w:cs="Times New Roman"/>
        </w:rPr>
        <w:t xml:space="preserve">.” </w:t>
      </w:r>
      <w:r w:rsidR="00297BB2" w:rsidRPr="00297BB2">
        <w:rPr>
          <w:rFonts w:ascii="Times New Roman" w:hAnsi="Times New Roman" w:cs="Times New Roman"/>
        </w:rPr>
        <w:t>(</w:t>
      </w:r>
      <w:hyperlink r:id="rId11" w:history="1">
        <w:r w:rsidR="00297BB2" w:rsidRPr="0014578A">
          <w:rPr>
            <w:rStyle w:val="Hyperlink"/>
            <w:rFonts w:ascii="Times New Roman" w:hAnsi="Times New Roman" w:cs="Times New Roman"/>
          </w:rPr>
          <w:t>WDI</w:t>
        </w:r>
      </w:hyperlink>
      <w:r w:rsidR="00297BB2" w:rsidRPr="00297BB2">
        <w:rPr>
          <w:rFonts w:ascii="Times New Roman" w:hAnsi="Times New Roman" w:cs="Times New Roman"/>
        </w:rPr>
        <w:t>)</w:t>
      </w:r>
    </w:p>
    <w:p w14:paraId="102AD396" w14:textId="463ACA02" w:rsidR="005E2810" w:rsidRDefault="0085234B" w:rsidP="006A4A57">
      <w:pPr>
        <w:pStyle w:val="ListParagraph"/>
        <w:numPr>
          <w:ilvl w:val="0"/>
          <w:numId w:val="2"/>
        </w:numPr>
        <w:rPr>
          <w:rFonts w:ascii="Times New Roman" w:hAnsi="Times New Roman" w:cs="Times New Roman"/>
        </w:rPr>
      </w:pPr>
      <w:r>
        <w:rPr>
          <w:rFonts w:ascii="Times New Roman" w:hAnsi="Times New Roman" w:cs="Times New Roman"/>
        </w:rPr>
        <w:t>F</w:t>
      </w:r>
      <w:r w:rsidRPr="0085234B">
        <w:rPr>
          <w:rFonts w:ascii="Times New Roman" w:hAnsi="Times New Roman" w:cs="Times New Roman"/>
        </w:rPr>
        <w:t>irst structural shift occurred around 2003–2005, pushing yields into the 1,000–1,200 kg/ha range</w:t>
      </w:r>
      <w:r w:rsidR="0099036B" w:rsidRPr="003358EC">
        <w:rPr>
          <w:rFonts w:ascii="Times New Roman" w:hAnsi="Times New Roman" w:cs="Times New Roman"/>
        </w:rPr>
        <w:t xml:space="preserve"> (</w:t>
      </w:r>
      <w:hyperlink r:id="rId12" w:history="1">
        <w:r w:rsidR="0099036B" w:rsidRPr="003358EC">
          <w:rPr>
            <w:rStyle w:val="Hyperlink"/>
            <w:rFonts w:ascii="Times New Roman" w:hAnsi="Times New Roman" w:cs="Times New Roman"/>
          </w:rPr>
          <w:t>Databank</w:t>
        </w:r>
      </w:hyperlink>
      <w:r w:rsidR="0099036B" w:rsidRPr="003358EC">
        <w:rPr>
          <w:rFonts w:ascii="Times New Roman" w:hAnsi="Times New Roman" w:cs="Times New Roman"/>
        </w:rPr>
        <w:t>)</w:t>
      </w:r>
    </w:p>
    <w:p w14:paraId="59C4AAA3" w14:textId="1BD1F677" w:rsidR="005D2F65" w:rsidRPr="003358EC" w:rsidRDefault="005D2F65" w:rsidP="006A4A57">
      <w:pPr>
        <w:pStyle w:val="ListParagraph"/>
        <w:numPr>
          <w:ilvl w:val="0"/>
          <w:numId w:val="2"/>
        </w:numPr>
        <w:rPr>
          <w:rFonts w:ascii="Times New Roman" w:hAnsi="Times New Roman" w:cs="Times New Roman"/>
        </w:rPr>
      </w:pPr>
      <w:r w:rsidRPr="005D2F65">
        <w:rPr>
          <w:rFonts w:ascii="Times New Roman" w:hAnsi="Times New Roman" w:cs="Times New Roman"/>
        </w:rPr>
        <w:t>2023 figure is roughly 2.75 times the 1990 level</w:t>
      </w:r>
    </w:p>
    <w:p w14:paraId="11A044CD" w14:textId="74B551FE" w:rsidR="00642887" w:rsidRPr="003358EC" w:rsidRDefault="00A21908" w:rsidP="006A4A57">
      <w:pPr>
        <w:pStyle w:val="ListParagraph"/>
        <w:numPr>
          <w:ilvl w:val="0"/>
          <w:numId w:val="2"/>
        </w:numPr>
        <w:rPr>
          <w:rFonts w:ascii="Times New Roman" w:hAnsi="Times New Roman" w:cs="Times New Roman"/>
        </w:rPr>
      </w:pPr>
      <w:r>
        <w:rPr>
          <w:rFonts w:ascii="Times New Roman" w:hAnsi="Times New Roman" w:cs="Times New Roman"/>
        </w:rPr>
        <w:t>“</w:t>
      </w:r>
      <w:r w:rsidR="00642887" w:rsidRPr="003358EC">
        <w:rPr>
          <w:rFonts w:ascii="Times New Roman" w:hAnsi="Times New Roman" w:cs="Times New Roman"/>
        </w:rPr>
        <w:t>In 2024, Togo recorded a record cereal production of 1.5 million tons, against a backdrop of steady growth since 2019</w:t>
      </w:r>
      <w:r>
        <w:rPr>
          <w:rFonts w:ascii="Times New Roman" w:hAnsi="Times New Roman" w:cs="Times New Roman"/>
        </w:rPr>
        <w:t xml:space="preserve">, </w:t>
      </w:r>
      <w:r w:rsidRPr="00A21908">
        <w:rPr>
          <w:rFonts w:ascii="Times New Roman" w:hAnsi="Times New Roman" w:cs="Times New Roman"/>
        </w:rPr>
        <w:t>while poultry numbers topped 38 million, and fish farming rose from just 20 tons in 2011 to 1,300 tons. With UN support, over 15,000 producers and 10,000 vulnerable farming households, more than half led by women, grew their yields through training, digital advisory tools in local languages, and stronger value chains.</w:t>
      </w:r>
      <w:r>
        <w:rPr>
          <w:rFonts w:ascii="Times New Roman" w:hAnsi="Times New Roman" w:cs="Times New Roman"/>
        </w:rPr>
        <w:t>”</w:t>
      </w:r>
      <w:r w:rsidR="003358EC">
        <w:rPr>
          <w:rFonts w:ascii="Times New Roman" w:hAnsi="Times New Roman" w:cs="Times New Roman"/>
        </w:rPr>
        <w:t xml:space="preserve"> (</w:t>
      </w:r>
      <w:hyperlink r:id="rId13" w:history="1">
        <w:r w:rsidR="003358EC" w:rsidRPr="003358EC">
          <w:rPr>
            <w:rStyle w:val="Hyperlink"/>
            <w:rFonts w:ascii="Times New Roman" w:hAnsi="Times New Roman" w:cs="Times New Roman"/>
          </w:rPr>
          <w:t>UN DCO</w:t>
        </w:r>
      </w:hyperlink>
      <w:r w:rsidR="003358EC">
        <w:rPr>
          <w:rFonts w:ascii="Times New Roman" w:hAnsi="Times New Roman" w:cs="Times New Roman"/>
        </w:rPr>
        <w:t>)</w:t>
      </w:r>
    </w:p>
    <w:p w14:paraId="23B94AAB" w14:textId="77777777" w:rsidR="00642887" w:rsidRPr="003358EC" w:rsidRDefault="00642887" w:rsidP="00642887">
      <w:pPr>
        <w:rPr>
          <w:rFonts w:ascii="Times New Roman" w:hAnsi="Times New Roman" w:cs="Times New Roman"/>
        </w:rPr>
      </w:pPr>
    </w:p>
    <w:p w14:paraId="1394B0C9" w14:textId="77777777" w:rsidR="006C0CBC" w:rsidRPr="006C0CBC" w:rsidRDefault="006C0CBC" w:rsidP="006C0CBC">
      <w:pPr>
        <w:rPr>
          <w:rFonts w:ascii="Times New Roman" w:hAnsi="Times New Roman" w:cs="Times New Roman"/>
          <w:b/>
          <w:bCs/>
        </w:rPr>
      </w:pPr>
      <w:r w:rsidRPr="006C0CBC">
        <w:rPr>
          <w:rFonts w:ascii="Times New Roman" w:hAnsi="Times New Roman" w:cs="Times New Roman"/>
          <w:b/>
          <w:bCs/>
        </w:rPr>
        <w:t>Political Stability and Long-Term Policy Continuity</w:t>
      </w:r>
    </w:p>
    <w:p w14:paraId="73B8FBDB" w14:textId="73F28092" w:rsidR="0013537F" w:rsidRDefault="006C0CBC" w:rsidP="006C0CBC">
      <w:pPr>
        <w:pStyle w:val="ListParagraph"/>
        <w:numPr>
          <w:ilvl w:val="0"/>
          <w:numId w:val="2"/>
        </w:numPr>
        <w:rPr>
          <w:rFonts w:ascii="Times New Roman" w:hAnsi="Times New Roman" w:cs="Times New Roman"/>
        </w:rPr>
      </w:pPr>
      <w:r w:rsidRPr="0013537F">
        <w:rPr>
          <w:rFonts w:ascii="Times New Roman" w:hAnsi="Times New Roman" w:cs="Times New Roman"/>
        </w:rPr>
        <w:t>M</w:t>
      </w:r>
      <w:r w:rsidRPr="0013537F">
        <w:rPr>
          <w:rFonts w:ascii="Times New Roman" w:hAnsi="Times New Roman" w:cs="Times New Roman"/>
        </w:rPr>
        <w:t xml:space="preserve">aintained uninterrupted civilian governance and peaceful transitions of power across the entire period of hunger decline. </w:t>
      </w:r>
      <w:r w:rsidR="006915A1">
        <w:rPr>
          <w:rFonts w:ascii="Times New Roman" w:hAnsi="Times New Roman" w:cs="Times New Roman"/>
        </w:rPr>
        <w:t>(</w:t>
      </w:r>
      <w:hyperlink r:id="rId14" w:history="1">
        <w:r w:rsidR="006915A1" w:rsidRPr="006915A1">
          <w:rPr>
            <w:rStyle w:val="Hyperlink"/>
            <w:rFonts w:ascii="Times New Roman" w:hAnsi="Times New Roman" w:cs="Times New Roman"/>
          </w:rPr>
          <w:t>Brookings Institute</w:t>
        </w:r>
      </w:hyperlink>
      <w:r w:rsidR="006915A1">
        <w:rPr>
          <w:rFonts w:ascii="Times New Roman" w:hAnsi="Times New Roman" w:cs="Times New Roman"/>
        </w:rPr>
        <w:t>)</w:t>
      </w:r>
    </w:p>
    <w:p w14:paraId="216C1155" w14:textId="77777777" w:rsidR="0013537F" w:rsidRDefault="0013537F" w:rsidP="0013537F">
      <w:pPr>
        <w:pStyle w:val="ListParagraph"/>
        <w:numPr>
          <w:ilvl w:val="1"/>
          <w:numId w:val="2"/>
        </w:numPr>
        <w:rPr>
          <w:rFonts w:ascii="Times New Roman" w:hAnsi="Times New Roman" w:cs="Times New Roman"/>
        </w:rPr>
      </w:pPr>
      <w:r>
        <w:rPr>
          <w:rFonts w:ascii="Times New Roman" w:hAnsi="Times New Roman" w:cs="Times New Roman"/>
        </w:rPr>
        <w:t>S</w:t>
      </w:r>
      <w:r w:rsidR="006C0CBC" w:rsidRPr="0013537F">
        <w:rPr>
          <w:rFonts w:ascii="Times New Roman" w:hAnsi="Times New Roman" w:cs="Times New Roman"/>
        </w:rPr>
        <w:t xml:space="preserve">tability allowed successive agricultural and food security programmes to compound rather than be interrupted. </w:t>
      </w:r>
    </w:p>
    <w:p w14:paraId="5D5A635E" w14:textId="66E50A8C" w:rsidR="006C0CBC" w:rsidRPr="006915A1" w:rsidRDefault="006C0CBC" w:rsidP="006C0CBC">
      <w:pPr>
        <w:pStyle w:val="ListParagraph"/>
        <w:numPr>
          <w:ilvl w:val="1"/>
          <w:numId w:val="2"/>
        </w:numPr>
        <w:rPr>
          <w:rFonts w:ascii="Times New Roman" w:hAnsi="Times New Roman" w:cs="Times New Roman"/>
        </w:rPr>
      </w:pPr>
      <w:r w:rsidRPr="0013537F">
        <w:rPr>
          <w:rFonts w:ascii="Times New Roman" w:hAnsi="Times New Roman" w:cs="Times New Roman"/>
        </w:rPr>
        <w:t>Policy frameworks were revised and built upon</w:t>
      </w:r>
      <w:r w:rsidR="006915A1">
        <w:rPr>
          <w:rFonts w:ascii="Times New Roman" w:hAnsi="Times New Roman" w:cs="Times New Roman"/>
        </w:rPr>
        <w:t xml:space="preserve">, </w:t>
      </w:r>
      <w:r w:rsidRPr="0013537F">
        <w:rPr>
          <w:rFonts w:ascii="Times New Roman" w:hAnsi="Times New Roman" w:cs="Times New Roman"/>
        </w:rPr>
        <w:t>REVA (2006), GOANA (2008), and then PRACAS (2014) under the broader Plan Sénégal Émergent (PSE</w:t>
      </w:r>
      <w:r w:rsidR="006915A1">
        <w:rPr>
          <w:rFonts w:ascii="Times New Roman" w:hAnsi="Times New Roman" w:cs="Times New Roman"/>
        </w:rPr>
        <w:t>)</w:t>
      </w:r>
    </w:p>
    <w:p w14:paraId="707A909B" w14:textId="248354D6" w:rsidR="00CA00D1" w:rsidRPr="00CA00D1" w:rsidRDefault="00CA00D1" w:rsidP="00CA00D1">
      <w:pPr>
        <w:rPr>
          <w:rFonts w:ascii="Times New Roman" w:hAnsi="Times New Roman" w:cs="Times New Roman"/>
          <w:b/>
          <w:bCs/>
        </w:rPr>
      </w:pPr>
      <w:r w:rsidRPr="00CA00D1">
        <w:rPr>
          <w:rFonts w:ascii="Times New Roman" w:hAnsi="Times New Roman" w:cs="Times New Roman"/>
          <w:b/>
          <w:bCs/>
        </w:rPr>
        <w:t>Agricultural Productivity and Cereal Yield Growth</w:t>
      </w:r>
    </w:p>
    <w:p w14:paraId="531C3C41" w14:textId="6BA6F110" w:rsidR="00F22994" w:rsidRDefault="00CA00D1" w:rsidP="00F22994">
      <w:pPr>
        <w:pStyle w:val="ListParagraph"/>
        <w:numPr>
          <w:ilvl w:val="0"/>
          <w:numId w:val="2"/>
        </w:numPr>
        <w:rPr>
          <w:rFonts w:ascii="Times New Roman" w:hAnsi="Times New Roman" w:cs="Times New Roman"/>
        </w:rPr>
      </w:pPr>
      <w:r w:rsidRPr="00CA00D1">
        <w:rPr>
          <w:rFonts w:ascii="Times New Roman" w:hAnsi="Times New Roman" w:cs="Times New Roman"/>
        </w:rPr>
        <w:t>Aggregate cereal yields rose from ~1,000–1,200 kg/ha (2005–2014) to 2,192 kg/ha in 2023</w:t>
      </w:r>
      <w:r w:rsidR="00893065">
        <w:rPr>
          <w:rFonts w:ascii="Times New Roman" w:hAnsi="Times New Roman" w:cs="Times New Roman"/>
        </w:rPr>
        <w:t>,</w:t>
      </w:r>
      <w:r w:rsidRPr="00CA00D1">
        <w:rPr>
          <w:rFonts w:ascii="Times New Roman" w:hAnsi="Times New Roman" w:cs="Times New Roman"/>
        </w:rPr>
        <w:t xml:space="preserve"> a near-doubling in under ten years </w:t>
      </w:r>
      <w:r w:rsidR="00893065" w:rsidRPr="00297BB2">
        <w:rPr>
          <w:rFonts w:ascii="Times New Roman" w:hAnsi="Times New Roman" w:cs="Times New Roman"/>
        </w:rPr>
        <w:t>(</w:t>
      </w:r>
      <w:hyperlink r:id="rId15" w:history="1">
        <w:r w:rsidR="00893065" w:rsidRPr="0014578A">
          <w:rPr>
            <w:rStyle w:val="Hyperlink"/>
            <w:rFonts w:ascii="Times New Roman" w:hAnsi="Times New Roman" w:cs="Times New Roman"/>
          </w:rPr>
          <w:t>WDI</w:t>
        </w:r>
      </w:hyperlink>
      <w:r w:rsidR="00893065" w:rsidRPr="00297BB2">
        <w:rPr>
          <w:rFonts w:ascii="Times New Roman" w:hAnsi="Times New Roman" w:cs="Times New Roman"/>
        </w:rPr>
        <w:t>)</w:t>
      </w:r>
    </w:p>
    <w:p w14:paraId="4ED1E670" w14:textId="78C9D1AD" w:rsidR="00987B87" w:rsidRPr="006915A1" w:rsidRDefault="00987B87" w:rsidP="00F22994">
      <w:pPr>
        <w:pStyle w:val="ListParagraph"/>
        <w:numPr>
          <w:ilvl w:val="0"/>
          <w:numId w:val="2"/>
        </w:numPr>
        <w:rPr>
          <w:rFonts w:ascii="Times New Roman" w:hAnsi="Times New Roman" w:cs="Times New Roman"/>
        </w:rPr>
      </w:pPr>
      <w:r w:rsidRPr="006915A1">
        <w:rPr>
          <w:rFonts w:ascii="Times New Roman" w:hAnsi="Times New Roman" w:cs="Times New Roman"/>
        </w:rPr>
        <w:t xml:space="preserve">Paddy rice production increased from 551,000 </w:t>
      </w:r>
      <w:r w:rsidR="006915A1" w:rsidRPr="006915A1">
        <w:rPr>
          <w:rFonts w:ascii="Times New Roman" w:hAnsi="Times New Roman" w:cs="Times New Roman"/>
        </w:rPr>
        <w:t>tons</w:t>
      </w:r>
      <w:r w:rsidRPr="006915A1">
        <w:rPr>
          <w:rFonts w:ascii="Times New Roman" w:hAnsi="Times New Roman" w:cs="Times New Roman"/>
        </w:rPr>
        <w:t xml:space="preserve"> in 2014 to over 1.5 million </w:t>
      </w:r>
      <w:r w:rsidR="006915A1" w:rsidRPr="006915A1">
        <w:rPr>
          <w:rFonts w:ascii="Times New Roman" w:hAnsi="Times New Roman" w:cs="Times New Roman"/>
        </w:rPr>
        <w:t>tons</w:t>
      </w:r>
      <w:r w:rsidRPr="006915A1">
        <w:rPr>
          <w:rFonts w:ascii="Times New Roman" w:hAnsi="Times New Roman" w:cs="Times New Roman"/>
        </w:rPr>
        <w:t xml:space="preserve"> in 2023, driven by improved seeds, irrigation rehabilitation, and modernized equipment — though Senegal continues to import around 44% of annual rice demand</w:t>
      </w:r>
    </w:p>
    <w:p w14:paraId="0C3B2DD0" w14:textId="4599C2EE" w:rsidR="00F22994" w:rsidRDefault="00CA00D1" w:rsidP="00FE5F38">
      <w:pPr>
        <w:pStyle w:val="ListParagraph"/>
        <w:numPr>
          <w:ilvl w:val="0"/>
          <w:numId w:val="2"/>
        </w:numPr>
        <w:rPr>
          <w:rFonts w:ascii="Times New Roman" w:hAnsi="Times New Roman" w:cs="Times New Roman"/>
        </w:rPr>
      </w:pPr>
      <w:r w:rsidRPr="00F22994">
        <w:rPr>
          <w:rFonts w:ascii="Times New Roman" w:hAnsi="Times New Roman" w:cs="Times New Roman"/>
        </w:rPr>
        <w:t>Driven primarily by improved seed varieties (millet and rice), the</w:t>
      </w:r>
      <w:r w:rsidR="001B458D">
        <w:rPr>
          <w:rFonts w:ascii="Times New Roman" w:hAnsi="Times New Roman" w:cs="Times New Roman"/>
        </w:rPr>
        <w:t xml:space="preserve"> </w:t>
      </w:r>
      <w:r w:rsidR="001B458D" w:rsidRPr="001B458D">
        <w:rPr>
          <w:rFonts w:ascii="Times New Roman" w:hAnsi="Times New Roman" w:cs="Times New Roman"/>
        </w:rPr>
        <w:t>Program for the Accelerated Pace of Senegalese Agriculture</w:t>
      </w:r>
      <w:r w:rsidRPr="00F22994">
        <w:rPr>
          <w:rFonts w:ascii="Times New Roman" w:hAnsi="Times New Roman" w:cs="Times New Roman"/>
        </w:rPr>
        <w:t xml:space="preserve"> </w:t>
      </w:r>
      <w:r w:rsidR="001B458D">
        <w:rPr>
          <w:rFonts w:ascii="Times New Roman" w:hAnsi="Times New Roman" w:cs="Times New Roman"/>
        </w:rPr>
        <w:t>(PRACAS)</w:t>
      </w:r>
      <w:r w:rsidRPr="00F22994">
        <w:rPr>
          <w:rFonts w:ascii="Times New Roman" w:hAnsi="Times New Roman" w:cs="Times New Roman"/>
        </w:rPr>
        <w:t xml:space="preserve"> (2014), and the World Bank's WAAPP, which reached ~500,000 farmers ([3])</w:t>
      </w:r>
    </w:p>
    <w:p w14:paraId="0F56D10E" w14:textId="3CC1D02E" w:rsidR="00FB39EE" w:rsidRDefault="00D97E92" w:rsidP="00FB39EE">
      <w:pPr>
        <w:pStyle w:val="ListParagraph"/>
        <w:numPr>
          <w:ilvl w:val="0"/>
          <w:numId w:val="2"/>
        </w:numPr>
        <w:rPr>
          <w:rFonts w:ascii="Times New Roman" w:hAnsi="Times New Roman" w:cs="Times New Roman"/>
        </w:rPr>
      </w:pPr>
      <w:r>
        <w:rPr>
          <w:rFonts w:ascii="Times New Roman" w:hAnsi="Times New Roman" w:cs="Times New Roman"/>
        </w:rPr>
        <w:t>PARIIS project aimed to build</w:t>
      </w:r>
      <w:r w:rsidR="00B450A0">
        <w:rPr>
          <w:rFonts w:ascii="Times New Roman" w:hAnsi="Times New Roman" w:cs="Times New Roman"/>
        </w:rPr>
        <w:t xml:space="preserve"> better water and irrigation tools </w:t>
      </w:r>
      <w:r w:rsidR="00DA48DC">
        <w:rPr>
          <w:rFonts w:ascii="Times New Roman" w:hAnsi="Times New Roman" w:cs="Times New Roman"/>
        </w:rPr>
        <w:t>in certain areas was extremely effective</w:t>
      </w:r>
    </w:p>
    <w:p w14:paraId="2B526452" w14:textId="20CE2206" w:rsidR="00F530A6" w:rsidRPr="00F530A6" w:rsidRDefault="00F530A6" w:rsidP="00F530A6">
      <w:pPr>
        <w:rPr>
          <w:rFonts w:ascii="Times New Roman" w:hAnsi="Times New Roman" w:cs="Times New Roman"/>
          <w:b/>
          <w:bCs/>
        </w:rPr>
      </w:pPr>
      <w:r w:rsidRPr="00F530A6">
        <w:rPr>
          <w:rFonts w:ascii="Times New Roman" w:hAnsi="Times New Roman" w:cs="Times New Roman"/>
          <w:b/>
          <w:bCs/>
        </w:rPr>
        <w:t>Nutrition Governance</w:t>
      </w:r>
      <w:r>
        <w:rPr>
          <w:rFonts w:ascii="Times New Roman" w:hAnsi="Times New Roman" w:cs="Times New Roman"/>
          <w:b/>
          <w:bCs/>
        </w:rPr>
        <w:t xml:space="preserve"> - </w:t>
      </w:r>
      <w:r w:rsidRPr="00F530A6">
        <w:rPr>
          <w:rFonts w:ascii="Times New Roman" w:hAnsi="Times New Roman" w:cs="Times New Roman"/>
          <w:b/>
          <w:bCs/>
        </w:rPr>
        <w:t>CLM/CNDN</w:t>
      </w:r>
    </w:p>
    <w:p w14:paraId="12DF64AD" w14:textId="24B2F1AB" w:rsidR="00F530A6" w:rsidRDefault="00F530A6" w:rsidP="00F530A6">
      <w:pPr>
        <w:rPr>
          <w:rFonts w:ascii="Times New Roman" w:hAnsi="Times New Roman" w:cs="Times New Roman"/>
        </w:rPr>
      </w:pPr>
      <w:r w:rsidRPr="00F530A6">
        <w:rPr>
          <w:rFonts w:ascii="Times New Roman" w:hAnsi="Times New Roman" w:cs="Times New Roman"/>
        </w:rPr>
        <w:t>Senegal established the Cellule de Lutte contre la Malnutrition (CLM), housed in the Prime Minister's Office, as a multisectoral coordination body integrating health, education, water, sanitation, and agriculture ministries</w:t>
      </w:r>
      <w:r>
        <w:rPr>
          <w:rFonts w:ascii="Times New Roman" w:hAnsi="Times New Roman" w:cs="Times New Roman"/>
        </w:rPr>
        <w:t>,</w:t>
      </w:r>
      <w:r w:rsidRPr="00F530A6">
        <w:rPr>
          <w:rFonts w:ascii="Times New Roman" w:hAnsi="Times New Roman" w:cs="Times New Roman"/>
        </w:rPr>
        <w:t xml:space="preserve"> a governance structure credited as central to the country's stunting success</w:t>
      </w:r>
    </w:p>
    <w:p w14:paraId="23EF33B3" w14:textId="140C2AFB" w:rsidR="003149B7" w:rsidRPr="003149B7" w:rsidRDefault="003149B7" w:rsidP="003149B7">
      <w:pPr>
        <w:pStyle w:val="ListParagraph"/>
        <w:numPr>
          <w:ilvl w:val="0"/>
          <w:numId w:val="2"/>
        </w:numPr>
        <w:rPr>
          <w:rFonts w:ascii="Times New Roman" w:hAnsi="Times New Roman" w:cs="Times New Roman"/>
        </w:rPr>
      </w:pPr>
      <w:r w:rsidRPr="003149B7">
        <w:rPr>
          <w:rFonts w:ascii="Times New Roman" w:hAnsi="Times New Roman" w:cs="Times New Roman"/>
        </w:rPr>
        <w:lastRenderedPageBreak/>
        <w:t>Two flagship community programs — the </w:t>
      </w:r>
      <w:r w:rsidRPr="003149B7">
        <w:rPr>
          <w:rFonts w:ascii="Times New Roman" w:hAnsi="Times New Roman" w:cs="Times New Roman"/>
          <w:b/>
          <w:bCs/>
        </w:rPr>
        <w:t>Community Nutrition Program</w:t>
      </w:r>
      <w:r w:rsidRPr="003149B7">
        <w:rPr>
          <w:rFonts w:ascii="Times New Roman" w:hAnsi="Times New Roman" w:cs="Times New Roman"/>
        </w:rPr>
        <w:t> and the </w:t>
      </w:r>
      <w:r w:rsidRPr="003149B7">
        <w:rPr>
          <w:rFonts w:ascii="Times New Roman" w:hAnsi="Times New Roman" w:cs="Times New Roman"/>
          <w:b/>
          <w:bCs/>
        </w:rPr>
        <w:t>Nutrition Enhancement Program (PRN)</w:t>
      </w:r>
      <w:r w:rsidRPr="003149B7">
        <w:rPr>
          <w:rFonts w:ascii="Times New Roman" w:hAnsi="Times New Roman" w:cs="Times New Roman"/>
        </w:rPr>
        <w:t> — delivered growth monitoring, supplementary feeding, and caregiver education at community level at scale</w:t>
      </w:r>
    </w:p>
    <w:p w14:paraId="1D6CA231" w14:textId="6895F4D8" w:rsidR="00F530A6" w:rsidRDefault="003149B7" w:rsidP="00F530A6">
      <w:pPr>
        <w:pStyle w:val="ListParagraph"/>
        <w:numPr>
          <w:ilvl w:val="0"/>
          <w:numId w:val="2"/>
        </w:numPr>
        <w:rPr>
          <w:rFonts w:ascii="Times New Roman" w:hAnsi="Times New Roman" w:cs="Times New Roman"/>
        </w:rPr>
      </w:pPr>
      <w:r w:rsidRPr="003149B7">
        <w:rPr>
          <w:rFonts w:ascii="Times New Roman" w:hAnsi="Times New Roman" w:cs="Times New Roman"/>
        </w:rPr>
        <w:t>Between </w:t>
      </w:r>
      <w:r w:rsidRPr="003149B7">
        <w:rPr>
          <w:rFonts w:ascii="Times New Roman" w:hAnsi="Times New Roman" w:cs="Times New Roman"/>
          <w:b/>
          <w:bCs/>
        </w:rPr>
        <w:t>1992 and 2014</w:t>
      </w:r>
      <w:r w:rsidRPr="003149B7">
        <w:rPr>
          <w:rFonts w:ascii="Times New Roman" w:hAnsi="Times New Roman" w:cs="Times New Roman"/>
        </w:rPr>
        <w:t>, Senegal reduced stunting by </w:t>
      </w:r>
      <w:r w:rsidRPr="003149B7">
        <w:rPr>
          <w:rFonts w:ascii="Times New Roman" w:hAnsi="Times New Roman" w:cs="Times New Roman"/>
          <w:b/>
          <w:bCs/>
        </w:rPr>
        <w:t>46%</w:t>
      </w:r>
      <w:r w:rsidRPr="003149B7">
        <w:rPr>
          <w:rFonts w:ascii="Times New Roman" w:hAnsi="Times New Roman" w:cs="Times New Roman"/>
        </w:rPr>
        <w:t> (from 34.4% to 19.4%), positioning it as a model for Francophone Sub-Saharan Africa (</w:t>
      </w:r>
      <w:hyperlink r:id="rId16" w:tgtFrame="_blank" w:history="1">
        <w:r w:rsidRPr="003149B7">
          <w:rPr>
            <w:rStyle w:val="Hyperlink"/>
            <w:rFonts w:ascii="Times New Roman" w:hAnsi="Times New Roman" w:cs="Times New Roman"/>
          </w:rPr>
          <w:t>Exemplars in Glob</w:t>
        </w:r>
        <w:r w:rsidRPr="003149B7">
          <w:rPr>
            <w:rStyle w:val="Hyperlink"/>
            <w:rFonts w:ascii="Times New Roman" w:hAnsi="Times New Roman" w:cs="Times New Roman"/>
          </w:rPr>
          <w:t>a</w:t>
        </w:r>
        <w:r w:rsidRPr="003149B7">
          <w:rPr>
            <w:rStyle w:val="Hyperlink"/>
            <w:rFonts w:ascii="Times New Roman" w:hAnsi="Times New Roman" w:cs="Times New Roman"/>
          </w:rPr>
          <w:t>l Health</w:t>
        </w:r>
      </w:hyperlink>
      <w:r w:rsidRPr="003149B7">
        <w:rPr>
          <w:rFonts w:ascii="Times New Roman" w:hAnsi="Times New Roman" w:cs="Times New Roman"/>
        </w:rPr>
        <w:t>)</w:t>
      </w:r>
    </w:p>
    <w:p w14:paraId="685AECE2" w14:textId="77777777" w:rsidR="00493677" w:rsidRPr="00493677" w:rsidRDefault="00493677" w:rsidP="00493677">
      <w:pPr>
        <w:ind w:left="360"/>
        <w:rPr>
          <w:rFonts w:ascii="Times New Roman" w:hAnsi="Times New Roman" w:cs="Times New Roman"/>
          <w:b/>
          <w:bCs/>
        </w:rPr>
      </w:pPr>
      <w:r w:rsidRPr="00493677">
        <w:rPr>
          <w:rFonts w:ascii="Times New Roman" w:hAnsi="Times New Roman" w:cs="Times New Roman"/>
          <w:b/>
          <w:bCs/>
        </w:rPr>
        <w:t>World Bank Early Childhood — Investing in Early Years Project</w:t>
      </w:r>
    </w:p>
    <w:p w14:paraId="7E593002" w14:textId="77777777" w:rsidR="00493677" w:rsidRDefault="00493677" w:rsidP="00493677">
      <w:pPr>
        <w:pStyle w:val="ListParagraph"/>
        <w:numPr>
          <w:ilvl w:val="0"/>
          <w:numId w:val="2"/>
        </w:numPr>
        <w:rPr>
          <w:rFonts w:ascii="Times New Roman" w:hAnsi="Times New Roman" w:cs="Times New Roman"/>
        </w:rPr>
      </w:pPr>
      <w:r w:rsidRPr="00493677">
        <w:rPr>
          <w:rFonts w:ascii="Times New Roman" w:hAnsi="Times New Roman" w:cs="Times New Roman"/>
        </w:rPr>
        <w:t>The World Bank's Investing in Early Years for Human Development Project (approved 2018) directly targeted high stunting rates, low preschool enrollment, and incomplete birth registration through an integrated nutrition and education approach (</w:t>
      </w:r>
      <w:hyperlink r:id="rId17" w:tgtFrame="_blank" w:history="1">
        <w:r w:rsidRPr="00493677">
          <w:rPr>
            <w:rStyle w:val="Hyperlink"/>
            <w:rFonts w:ascii="Times New Roman" w:hAnsi="Times New Roman" w:cs="Times New Roman"/>
          </w:rPr>
          <w:t>World Bank Results Brief, April 2024</w:t>
        </w:r>
      </w:hyperlink>
      <w:r w:rsidRPr="00493677">
        <w:rPr>
          <w:rFonts w:ascii="Times New Roman" w:hAnsi="Times New Roman" w:cs="Times New Roman"/>
        </w:rPr>
        <w:t>)</w:t>
      </w:r>
    </w:p>
    <w:p w14:paraId="3FE8759A" w14:textId="77777777" w:rsidR="00493677" w:rsidRPr="00493677" w:rsidRDefault="00493677" w:rsidP="00493677">
      <w:pPr>
        <w:pStyle w:val="ListParagraph"/>
        <w:numPr>
          <w:ilvl w:val="0"/>
          <w:numId w:val="2"/>
        </w:numPr>
        <w:rPr>
          <w:rFonts w:ascii="Times New Roman" w:hAnsi="Times New Roman" w:cs="Times New Roman"/>
        </w:rPr>
      </w:pPr>
      <w:r w:rsidRPr="00493677">
        <w:rPr>
          <w:rFonts w:ascii="Times New Roman" w:hAnsi="Times New Roman" w:cs="Times New Roman"/>
        </w:rPr>
        <w:t>14 million mothers and children in Senegal benefited from early childhood interventions including essential nutrition services</w:t>
      </w:r>
    </w:p>
    <w:p w14:paraId="64A4BC35" w14:textId="77777777" w:rsidR="00493677" w:rsidRPr="00493677" w:rsidRDefault="00493677" w:rsidP="00493677">
      <w:pPr>
        <w:pStyle w:val="ListParagraph"/>
        <w:numPr>
          <w:ilvl w:val="0"/>
          <w:numId w:val="2"/>
        </w:numPr>
        <w:rPr>
          <w:rFonts w:ascii="Times New Roman" w:hAnsi="Times New Roman" w:cs="Times New Roman"/>
        </w:rPr>
      </w:pPr>
      <w:r w:rsidRPr="00493677">
        <w:rPr>
          <w:rFonts w:ascii="Times New Roman" w:hAnsi="Times New Roman" w:cs="Times New Roman"/>
        </w:rPr>
        <w:t>Over 10 million children aged 0–23 months in targeted regions received nutrition and early stimulation interventions; early stimulation rate reached 72%, surpassing the target of 65%</w:t>
      </w:r>
    </w:p>
    <w:p w14:paraId="6FBE095A" w14:textId="77777777" w:rsidR="00493677" w:rsidRPr="00493677" w:rsidRDefault="00493677" w:rsidP="00493677">
      <w:pPr>
        <w:pStyle w:val="ListParagraph"/>
        <w:numPr>
          <w:ilvl w:val="0"/>
          <w:numId w:val="2"/>
        </w:numPr>
        <w:rPr>
          <w:rFonts w:ascii="Times New Roman" w:hAnsi="Times New Roman" w:cs="Times New Roman"/>
        </w:rPr>
      </w:pPr>
      <w:r w:rsidRPr="00493677">
        <w:rPr>
          <w:rFonts w:ascii="Times New Roman" w:hAnsi="Times New Roman" w:cs="Times New Roman"/>
        </w:rPr>
        <w:t>Over 1.4 million children aged 6–59 months were screened for acute malnutrition</w:t>
      </w:r>
    </w:p>
    <w:p w14:paraId="073A2F1C" w14:textId="77777777" w:rsidR="00493677" w:rsidRPr="00493677" w:rsidRDefault="00493677" w:rsidP="00493677">
      <w:pPr>
        <w:pStyle w:val="ListParagraph"/>
        <w:numPr>
          <w:ilvl w:val="0"/>
          <w:numId w:val="2"/>
        </w:numPr>
        <w:rPr>
          <w:rFonts w:ascii="Times New Roman" w:hAnsi="Times New Roman" w:cs="Times New Roman"/>
        </w:rPr>
      </w:pPr>
      <w:r w:rsidRPr="00493677">
        <w:rPr>
          <w:rFonts w:ascii="Times New Roman" w:hAnsi="Times New Roman" w:cs="Times New Roman"/>
        </w:rPr>
        <w:t>Over 4,593 Growth Monitoring and Promotion (GMP) sites were operationalized, with 83% delivering the full integrated package</w:t>
      </w:r>
    </w:p>
    <w:p w14:paraId="6DE0E282" w14:textId="77777777" w:rsidR="00493677" w:rsidRPr="00493677" w:rsidRDefault="00493677" w:rsidP="00493677">
      <w:pPr>
        <w:pStyle w:val="ListParagraph"/>
        <w:numPr>
          <w:ilvl w:val="0"/>
          <w:numId w:val="2"/>
        </w:numPr>
        <w:rPr>
          <w:rFonts w:ascii="Times New Roman" w:hAnsi="Times New Roman" w:cs="Times New Roman"/>
        </w:rPr>
      </w:pPr>
      <w:r w:rsidRPr="00493677">
        <w:rPr>
          <w:rFonts w:ascii="Times New Roman" w:hAnsi="Times New Roman" w:cs="Times New Roman"/>
        </w:rPr>
        <w:t>Stunting declined from 21% to 18% between 2015 and 2019 in project-covered areas</w:t>
      </w:r>
    </w:p>
    <w:p w14:paraId="5F4175A2" w14:textId="77777777" w:rsidR="00493677" w:rsidRPr="00493677" w:rsidRDefault="00493677" w:rsidP="00493677">
      <w:pPr>
        <w:pStyle w:val="ListParagraph"/>
        <w:numPr>
          <w:ilvl w:val="0"/>
          <w:numId w:val="2"/>
        </w:numPr>
        <w:rPr>
          <w:rFonts w:ascii="Times New Roman" w:hAnsi="Times New Roman" w:cs="Times New Roman"/>
        </w:rPr>
      </w:pPr>
      <w:r w:rsidRPr="00493677">
        <w:rPr>
          <w:rFonts w:ascii="Times New Roman" w:hAnsi="Times New Roman" w:cs="Times New Roman"/>
        </w:rPr>
        <w:t>Preschool enrollment for children aged 3–5 rose from 9.8% to 18.3%, exceeding the 18% target</w:t>
      </w:r>
    </w:p>
    <w:p w14:paraId="655957EF" w14:textId="77777777" w:rsidR="00493677" w:rsidRPr="00493677" w:rsidRDefault="00493677" w:rsidP="00493677">
      <w:pPr>
        <w:pStyle w:val="ListParagraph"/>
        <w:numPr>
          <w:ilvl w:val="0"/>
          <w:numId w:val="2"/>
        </w:numPr>
        <w:rPr>
          <w:rFonts w:ascii="Times New Roman" w:hAnsi="Times New Roman" w:cs="Times New Roman"/>
        </w:rPr>
      </w:pPr>
      <w:r w:rsidRPr="00493677">
        <w:rPr>
          <w:rFonts w:ascii="Times New Roman" w:hAnsi="Times New Roman" w:cs="Times New Roman"/>
        </w:rPr>
        <w:t>Birth registration increased from 43% to 73% between 2018 and 2023</w:t>
      </w:r>
    </w:p>
    <w:p w14:paraId="6C7B26C8" w14:textId="77777777" w:rsidR="00493677" w:rsidRPr="00493677" w:rsidRDefault="00493677" w:rsidP="00493677">
      <w:pPr>
        <w:pStyle w:val="ListParagraph"/>
        <w:numPr>
          <w:ilvl w:val="0"/>
          <w:numId w:val="2"/>
        </w:numPr>
        <w:rPr>
          <w:rFonts w:ascii="Times New Roman" w:hAnsi="Times New Roman" w:cs="Times New Roman"/>
        </w:rPr>
      </w:pPr>
      <w:r w:rsidRPr="00493677">
        <w:rPr>
          <w:rFonts w:ascii="Times New Roman" w:hAnsi="Times New Roman" w:cs="Times New Roman"/>
        </w:rPr>
        <w:t>3,517 preschool teachers were trained, nearly doubling the target of 1,800</w:t>
      </w:r>
    </w:p>
    <w:p w14:paraId="69EA7370" w14:textId="32792487" w:rsidR="00493677" w:rsidRDefault="00493677" w:rsidP="00493677">
      <w:pPr>
        <w:pStyle w:val="ListParagraph"/>
        <w:numPr>
          <w:ilvl w:val="0"/>
          <w:numId w:val="2"/>
        </w:numPr>
        <w:rPr>
          <w:rFonts w:ascii="Times New Roman" w:hAnsi="Times New Roman" w:cs="Times New Roman"/>
        </w:rPr>
      </w:pPr>
      <w:r w:rsidRPr="00493677">
        <w:rPr>
          <w:rFonts w:ascii="Times New Roman" w:hAnsi="Times New Roman" w:cs="Times New Roman"/>
        </w:rPr>
        <w:t>9,610 community volunteers were trained and deployed; 900 religious leaders helped advocate for parental involvement in early childhood development through the National Nutrition Enhancement Program</w:t>
      </w:r>
    </w:p>
    <w:p w14:paraId="468765E5" w14:textId="77777777" w:rsidR="00435A9F" w:rsidRDefault="00435A9F" w:rsidP="00435A9F">
      <w:pPr>
        <w:rPr>
          <w:rFonts w:ascii="Times New Roman" w:hAnsi="Times New Roman" w:cs="Times New Roman"/>
          <w:b/>
          <w:bCs/>
        </w:rPr>
      </w:pPr>
      <w:r w:rsidRPr="00435A9F">
        <w:rPr>
          <w:rFonts w:ascii="Times New Roman" w:hAnsi="Times New Roman" w:cs="Times New Roman"/>
          <w:b/>
          <w:bCs/>
        </w:rPr>
        <w:t>Health, Water, and Sanitation</w:t>
      </w:r>
    </w:p>
    <w:p w14:paraId="35E36055" w14:textId="77777777" w:rsidR="00435A9F" w:rsidRDefault="00435A9F" w:rsidP="00435A9F">
      <w:pPr>
        <w:pStyle w:val="ListParagraph"/>
        <w:numPr>
          <w:ilvl w:val="0"/>
          <w:numId w:val="2"/>
        </w:numPr>
        <w:rPr>
          <w:rFonts w:ascii="Times New Roman" w:hAnsi="Times New Roman" w:cs="Times New Roman"/>
        </w:rPr>
      </w:pPr>
      <w:r w:rsidRPr="00927A95">
        <w:rPr>
          <w:rFonts w:ascii="Times New Roman" w:hAnsi="Times New Roman" w:cs="Times New Roman"/>
        </w:rPr>
        <w:t xml:space="preserve">2017 SMART survey found 13.9% of children in Senegal underweight; more than 1 in 5 women of childbearing age are </w:t>
      </w:r>
      <w:r w:rsidRPr="00435A9F">
        <w:rPr>
          <w:rFonts w:ascii="Times New Roman" w:hAnsi="Times New Roman" w:cs="Times New Roman"/>
        </w:rPr>
        <w:t>underweight — indicating nutrition deficits extend well beyond childhood (</w:t>
      </w:r>
      <w:hyperlink r:id="rId18" w:tgtFrame="_blank" w:history="1">
        <w:r w:rsidRPr="00435A9F">
          <w:rPr>
            <w:rStyle w:val="Hyperlink"/>
            <w:rFonts w:ascii="Times New Roman" w:hAnsi="Times New Roman" w:cs="Times New Roman"/>
          </w:rPr>
          <w:t>Action Contre la Faim</w:t>
        </w:r>
      </w:hyperlink>
      <w:r>
        <w:rPr>
          <w:rFonts w:ascii="Times New Roman" w:hAnsi="Times New Roman" w:cs="Times New Roman"/>
        </w:rPr>
        <w:t>)</w:t>
      </w:r>
    </w:p>
    <w:p w14:paraId="3FCA2183" w14:textId="227C4200" w:rsidR="00435A9F" w:rsidRDefault="00435A9F" w:rsidP="00435A9F">
      <w:pPr>
        <w:pStyle w:val="ListParagraph"/>
        <w:numPr>
          <w:ilvl w:val="0"/>
          <w:numId w:val="2"/>
        </w:numPr>
        <w:rPr>
          <w:rFonts w:ascii="Times New Roman" w:hAnsi="Times New Roman" w:cs="Times New Roman"/>
        </w:rPr>
      </w:pPr>
      <w:r w:rsidRPr="00435A9F">
        <w:rPr>
          <w:rFonts w:ascii="Times New Roman" w:hAnsi="Times New Roman" w:cs="Times New Roman"/>
        </w:rPr>
        <w:t xml:space="preserve">Repeated </w:t>
      </w:r>
      <w:r w:rsidR="00927A95" w:rsidRPr="00435A9F">
        <w:rPr>
          <w:rFonts w:ascii="Times New Roman" w:hAnsi="Times New Roman" w:cs="Times New Roman"/>
        </w:rPr>
        <w:t>diarrheal</w:t>
      </w:r>
      <w:r w:rsidRPr="00435A9F">
        <w:rPr>
          <w:rFonts w:ascii="Times New Roman" w:hAnsi="Times New Roman" w:cs="Times New Roman"/>
        </w:rPr>
        <w:t xml:space="preserve"> infections impair nutrient absorption even when dietary intake is adequate; the 8.1% of stunting reduction attributed to piped water access likely understates total sanitation impact when open defecation rates and disease burden are included (</w:t>
      </w:r>
      <w:hyperlink r:id="rId19" w:tgtFrame="_blank" w:history="1">
        <w:r w:rsidRPr="00435A9F">
          <w:rPr>
            <w:rStyle w:val="Hyperlink"/>
            <w:rFonts w:ascii="Times New Roman" w:hAnsi="Times New Roman" w:cs="Times New Roman"/>
          </w:rPr>
          <w:t>Headey et al., 2020</w:t>
        </w:r>
      </w:hyperlink>
      <w:r w:rsidRPr="00435A9F">
        <w:rPr>
          <w:rFonts w:ascii="Times New Roman" w:hAnsi="Times New Roman" w:cs="Times New Roman"/>
        </w:rPr>
        <w:t>)</w:t>
      </w:r>
    </w:p>
    <w:p w14:paraId="59DF44A0" w14:textId="5FCE684C" w:rsidR="00435A9F" w:rsidRDefault="00435A9F" w:rsidP="00435A9F">
      <w:pPr>
        <w:pStyle w:val="ListParagraph"/>
        <w:numPr>
          <w:ilvl w:val="0"/>
          <w:numId w:val="2"/>
        </w:numPr>
        <w:rPr>
          <w:rFonts w:ascii="Times New Roman" w:hAnsi="Times New Roman" w:cs="Times New Roman"/>
        </w:rPr>
      </w:pPr>
      <w:r w:rsidRPr="004C0C88">
        <w:rPr>
          <w:rFonts w:ascii="Times New Roman" w:hAnsi="Times New Roman" w:cs="Times New Roman"/>
        </w:rPr>
        <w:t>Helen Keller International, in collaboration with Senegal's Ministry of Health, piloted a community-based model to decentralize screening, treatment, and monitoring of severe acute malnutrition to local health clinics</w:t>
      </w:r>
    </w:p>
    <w:p w14:paraId="400C1CB5" w14:textId="77777777" w:rsidR="004C0C88" w:rsidRPr="004C0C88" w:rsidRDefault="004C0C88" w:rsidP="004C0C88">
      <w:pPr>
        <w:rPr>
          <w:rFonts w:ascii="Times New Roman" w:hAnsi="Times New Roman" w:cs="Times New Roman"/>
          <w:b/>
          <w:bCs/>
        </w:rPr>
      </w:pPr>
      <w:r w:rsidRPr="004C0C88">
        <w:rPr>
          <w:rFonts w:ascii="Times New Roman" w:hAnsi="Times New Roman" w:cs="Times New Roman"/>
          <w:b/>
          <w:bCs/>
        </w:rPr>
        <w:lastRenderedPageBreak/>
        <w:t>WFP School Feeding and Targeted Transfers</w:t>
      </w:r>
    </w:p>
    <w:p w14:paraId="66A96C00" w14:textId="77777777" w:rsidR="004C0C88" w:rsidRDefault="004C0C88" w:rsidP="004C0C88">
      <w:pPr>
        <w:pStyle w:val="ListParagraph"/>
        <w:numPr>
          <w:ilvl w:val="0"/>
          <w:numId w:val="2"/>
        </w:numPr>
        <w:rPr>
          <w:rFonts w:ascii="Times New Roman" w:hAnsi="Times New Roman" w:cs="Times New Roman"/>
        </w:rPr>
      </w:pPr>
      <w:r w:rsidRPr="004C0C88">
        <w:rPr>
          <w:rFonts w:ascii="Times New Roman" w:hAnsi="Times New Roman" w:cs="Times New Roman"/>
        </w:rPr>
        <w:t>WFP operates school feeding programs and provides specialized nutritious food for acutely malnourished children and pregnant or lactating women, functioning as a critical protective floor during lean seasons and climate shocks (</w:t>
      </w:r>
      <w:hyperlink r:id="rId20" w:tgtFrame="_blank" w:history="1">
        <w:r w:rsidRPr="004C0C88">
          <w:rPr>
            <w:rStyle w:val="Hyperlink"/>
            <w:rFonts w:ascii="Times New Roman" w:hAnsi="Times New Roman" w:cs="Times New Roman"/>
          </w:rPr>
          <w:t>WFP Senegal 2024 Annual Country Report</w:t>
        </w:r>
      </w:hyperlink>
      <w:r w:rsidRPr="004C0C88">
        <w:rPr>
          <w:rFonts w:ascii="Times New Roman" w:hAnsi="Times New Roman" w:cs="Times New Roman"/>
        </w:rPr>
        <w:t>)</w:t>
      </w:r>
    </w:p>
    <w:p w14:paraId="77B81A7E" w14:textId="77777777" w:rsidR="004C0C88" w:rsidRDefault="004C0C88" w:rsidP="004C0C88">
      <w:pPr>
        <w:pStyle w:val="ListParagraph"/>
        <w:numPr>
          <w:ilvl w:val="0"/>
          <w:numId w:val="2"/>
        </w:numPr>
        <w:rPr>
          <w:rFonts w:ascii="Times New Roman" w:hAnsi="Times New Roman" w:cs="Times New Roman"/>
        </w:rPr>
      </w:pPr>
      <w:r w:rsidRPr="004C0C88">
        <w:rPr>
          <w:rFonts w:ascii="Times New Roman" w:hAnsi="Times New Roman" w:cs="Times New Roman"/>
        </w:rPr>
        <w:t>These programs do not operate at the scale needed to explain aggregate national trends, but target populations that would otherwise slip into severe acute malnutrition during seasonal peaks</w:t>
      </w:r>
    </w:p>
    <w:p w14:paraId="67E04FFA" w14:textId="6FD5CA20" w:rsidR="004C0C88" w:rsidRDefault="004C0C88" w:rsidP="004C0C88">
      <w:pPr>
        <w:pStyle w:val="ListParagraph"/>
        <w:numPr>
          <w:ilvl w:val="0"/>
          <w:numId w:val="2"/>
        </w:numPr>
        <w:rPr>
          <w:rFonts w:ascii="Times New Roman" w:hAnsi="Times New Roman" w:cs="Times New Roman"/>
        </w:rPr>
      </w:pPr>
      <w:r w:rsidRPr="004C0C88">
        <w:rPr>
          <w:rFonts w:ascii="Times New Roman" w:hAnsi="Times New Roman" w:cs="Times New Roman"/>
        </w:rPr>
        <w:t>The National Agricultural Insurance Company (CNAAS) and rural financial resilience schemes aim to reduce household-level food crisis severity, though penetration remains limited in the most food-insecure zones</w:t>
      </w:r>
    </w:p>
    <w:p w14:paraId="0CF91B8D" w14:textId="77777777" w:rsidR="00022EF3" w:rsidRDefault="00022EF3" w:rsidP="00022EF3">
      <w:pPr>
        <w:rPr>
          <w:rFonts w:ascii="Times New Roman" w:hAnsi="Times New Roman" w:cs="Times New Roman"/>
          <w:b/>
          <w:bCs/>
        </w:rPr>
      </w:pPr>
      <w:r w:rsidRPr="00022EF3">
        <w:rPr>
          <w:rFonts w:ascii="Times New Roman" w:hAnsi="Times New Roman" w:cs="Times New Roman"/>
          <w:b/>
          <w:bCs/>
        </w:rPr>
        <w:t>Factors with Limited Aggregate Impact</w:t>
      </w:r>
    </w:p>
    <w:p w14:paraId="54C8BACF" w14:textId="77777777" w:rsidR="00022EF3" w:rsidRPr="00022EF3" w:rsidRDefault="00022EF3" w:rsidP="00022EF3">
      <w:pPr>
        <w:pStyle w:val="ListParagraph"/>
        <w:numPr>
          <w:ilvl w:val="0"/>
          <w:numId w:val="2"/>
        </w:numPr>
        <w:rPr>
          <w:rFonts w:ascii="Times New Roman" w:hAnsi="Times New Roman" w:cs="Times New Roman"/>
        </w:rPr>
      </w:pPr>
      <w:r w:rsidRPr="00022EF3">
        <w:rPr>
          <w:rFonts w:ascii="Times New Roman" w:hAnsi="Times New Roman" w:cs="Times New Roman"/>
        </w:rPr>
        <w:t>Rainfall and climate variability: Explains year-to-year fluctuations in acute food insecurity (lean season caseload fell from 1.26 million in 2023 to 518,500 in 2024 largely because rains improved) but does not explain the downward trend in undernourishment; improved technology and governance have progressively reduced rainfall shock transmission into sustained hunger</w:t>
      </w:r>
    </w:p>
    <w:p w14:paraId="27506066" w14:textId="77777777" w:rsidR="00022EF3" w:rsidRPr="00022EF3" w:rsidRDefault="00022EF3" w:rsidP="00022EF3">
      <w:pPr>
        <w:pStyle w:val="ListParagraph"/>
        <w:numPr>
          <w:ilvl w:val="0"/>
          <w:numId w:val="2"/>
        </w:numPr>
        <w:rPr>
          <w:rFonts w:ascii="Times New Roman" w:hAnsi="Times New Roman" w:cs="Times New Roman"/>
        </w:rPr>
      </w:pPr>
      <w:r w:rsidRPr="00022EF3">
        <w:rPr>
          <w:rFonts w:ascii="Times New Roman" w:hAnsi="Times New Roman" w:cs="Times New Roman"/>
        </w:rPr>
        <w:t>Irrigation expansion: Covers less than 1% of agricultural land nationally; productive within the Senegal River Valley but too small in aggregate share to drive national trends</w:t>
      </w:r>
    </w:p>
    <w:p w14:paraId="735D7EF7" w14:textId="77777777" w:rsidR="00022EF3" w:rsidRPr="00022EF3" w:rsidRDefault="00022EF3" w:rsidP="00022EF3">
      <w:pPr>
        <w:pStyle w:val="ListParagraph"/>
        <w:numPr>
          <w:ilvl w:val="0"/>
          <w:numId w:val="2"/>
        </w:numPr>
        <w:rPr>
          <w:rFonts w:ascii="Times New Roman" w:hAnsi="Times New Roman" w:cs="Times New Roman"/>
        </w:rPr>
      </w:pPr>
      <w:r w:rsidRPr="00022EF3">
        <w:rPr>
          <w:rFonts w:ascii="Times New Roman" w:hAnsi="Times New Roman" w:cs="Times New Roman"/>
        </w:rPr>
        <w:t>Fisheries and livestock: Contribute to dietary diversity and rural income but are not a primary driver of undernourishment trends; overfishing pressure and feed cost shocks create volatility that partially offsets gains</w:t>
      </w:r>
    </w:p>
    <w:p w14:paraId="03DB9E72" w14:textId="6DF0DB43" w:rsidR="00022EF3" w:rsidRPr="00022EF3" w:rsidRDefault="00022EF3" w:rsidP="00022EF3">
      <w:pPr>
        <w:pStyle w:val="ListParagraph"/>
        <w:numPr>
          <w:ilvl w:val="0"/>
          <w:numId w:val="2"/>
        </w:numPr>
        <w:rPr>
          <w:rFonts w:ascii="Times New Roman" w:hAnsi="Times New Roman" w:cs="Times New Roman"/>
        </w:rPr>
      </w:pPr>
      <w:r w:rsidRPr="00022EF3">
        <w:rPr>
          <w:rFonts w:ascii="Times New Roman" w:hAnsi="Times New Roman" w:cs="Times New Roman"/>
        </w:rPr>
        <w:t>Dietary diversification: Remains deeply unresolved</w:t>
      </w:r>
      <w:r>
        <w:rPr>
          <w:rFonts w:ascii="Times New Roman" w:hAnsi="Times New Roman" w:cs="Times New Roman"/>
        </w:rPr>
        <w:t xml:space="preserve">, </w:t>
      </w:r>
      <w:r w:rsidRPr="00022EF3">
        <w:rPr>
          <w:rFonts w:ascii="Times New Roman" w:hAnsi="Times New Roman" w:cs="Times New Roman"/>
        </w:rPr>
        <w:t>93% of young children do not receive a minimum acceptable diet; 64% of infants are not exclusively breastfed</w:t>
      </w:r>
      <w:r>
        <w:rPr>
          <w:rFonts w:ascii="Times New Roman" w:hAnsi="Times New Roman" w:cs="Times New Roman"/>
        </w:rPr>
        <w:t>,</w:t>
      </w:r>
      <w:r w:rsidRPr="00022EF3">
        <w:rPr>
          <w:rFonts w:ascii="Times New Roman" w:hAnsi="Times New Roman" w:cs="Times New Roman"/>
        </w:rPr>
        <w:t xml:space="preserve"> a dimension of malnutrition the undernourishment headline indicator does not capture (</w:t>
      </w:r>
      <w:hyperlink r:id="rId21" w:tgtFrame="_blank" w:history="1">
        <w:r w:rsidRPr="00022EF3">
          <w:rPr>
            <w:rStyle w:val="Hyperlink"/>
            <w:rFonts w:ascii="Times New Roman" w:hAnsi="Times New Roman" w:cs="Times New Roman"/>
          </w:rPr>
          <w:t>WFP 2024</w:t>
        </w:r>
      </w:hyperlink>
      <w:r w:rsidRPr="00022EF3">
        <w:rPr>
          <w:rFonts w:ascii="Times New Roman" w:hAnsi="Times New Roman" w:cs="Times New Roman"/>
        </w:rPr>
        <w:t>)</w:t>
      </w:r>
    </w:p>
    <w:p w14:paraId="26581AF7" w14:textId="77777777" w:rsidR="00022EF3" w:rsidRPr="00022EF3" w:rsidRDefault="00022EF3" w:rsidP="00022EF3">
      <w:pPr>
        <w:rPr>
          <w:rFonts w:ascii="Times New Roman" w:hAnsi="Times New Roman" w:cs="Times New Roman"/>
        </w:rPr>
      </w:pPr>
    </w:p>
    <w:sectPr w:rsidR="00022EF3" w:rsidRPr="00022EF3">
      <w:footerReference w:type="even" r:id="rId22"/>
      <w:footerReference w:type="default" r:id="rId23"/>
      <w:footerReference w:type="firs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59F3E3" w14:textId="77777777" w:rsidR="00715787" w:rsidRDefault="00715787" w:rsidP="00366CA7">
      <w:pPr>
        <w:spacing w:after="0" w:line="240" w:lineRule="auto"/>
      </w:pPr>
      <w:r>
        <w:separator/>
      </w:r>
    </w:p>
  </w:endnote>
  <w:endnote w:type="continuationSeparator" w:id="0">
    <w:p w14:paraId="637108AD" w14:textId="77777777" w:rsidR="00715787" w:rsidRDefault="00715787" w:rsidP="00366C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CF72C" w14:textId="0BEC18BB" w:rsidR="00366CA7" w:rsidRDefault="00366CA7">
    <w:pPr>
      <w:pStyle w:val="Footer"/>
    </w:pPr>
    <w:r>
      <w:rPr>
        <w:noProof/>
      </w:rPr>
      <mc:AlternateContent>
        <mc:Choice Requires="wps">
          <w:drawing>
            <wp:anchor distT="0" distB="0" distL="0" distR="0" simplePos="0" relativeHeight="251659264" behindDoc="0" locked="0" layoutInCell="1" allowOverlap="1" wp14:anchorId="7B7D724E" wp14:editId="0583C1C7">
              <wp:simplePos x="635" y="635"/>
              <wp:positionH relativeFrom="page">
                <wp:align>right</wp:align>
              </wp:positionH>
              <wp:positionV relativeFrom="page">
                <wp:align>bottom</wp:align>
              </wp:positionV>
              <wp:extent cx="1170305" cy="370205"/>
              <wp:effectExtent l="0" t="0" r="0" b="0"/>
              <wp:wrapNone/>
              <wp:docPr id="2026041710" name="Text Box 2" descr="Official Use Only">
                <a:extLst xmlns:a="http://schemas.openxmlformats.org/drawingml/2006/main">
                  <a:ext uri="{FF2B5EF4-FFF2-40B4-BE49-F238E27FC236}">
                    <a16:creationId xmlns:a16="http://schemas.microsoft.com/office/drawing/2014/main" id="{122A2F5D-E6E7-4CAB-84BF-E592432AFE02}"/>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0305" cy="370205"/>
                      </a:xfrm>
                      <a:prstGeom prst="rect">
                        <a:avLst/>
                      </a:prstGeom>
                      <a:noFill/>
                      <a:ln>
                        <a:noFill/>
                      </a:ln>
                    </wps:spPr>
                    <wps:txbx>
                      <w:txbxContent>
                        <w:p w14:paraId="4D5EFCD3" w14:textId="501610A1" w:rsidR="00366CA7" w:rsidRPr="00366CA7" w:rsidRDefault="00366CA7" w:rsidP="00366CA7">
                          <w:pPr>
                            <w:spacing w:after="0"/>
                            <w:rPr>
                              <w:rFonts w:ascii="Aptos" w:eastAsia="Aptos" w:hAnsi="Aptos" w:cs="Aptos"/>
                              <w:noProof/>
                              <w:color w:val="000000"/>
                              <w:sz w:val="20"/>
                              <w:szCs w:val="20"/>
                            </w:rPr>
                          </w:pPr>
                          <w:r w:rsidRPr="00366CA7">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B7D724E" id="_x0000_t202" coordsize="21600,21600" o:spt="202" path="m,l,21600r21600,l21600,xe">
              <v:stroke joinstyle="miter"/>
              <v:path gradientshapeok="t" o:connecttype="rect"/>
            </v:shapetype>
            <v:shape id="Text Box 2" o:spid="_x0000_s1026" type="#_x0000_t202" alt="Official Use Only" style="position:absolute;margin-left:40.95pt;margin-top:0;width:92.15pt;height:29.1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" filled="f" stroked="f">
              <v:textbox style="mso-fit-shape-to-text:t" inset="0,0,20pt,15pt">
                <w:txbxContent>
                  <w:p w14:paraId="4D5EFCD3" w14:textId="501610A1" w:rsidR="00366CA7" w:rsidRPr="00366CA7" w:rsidRDefault="00366CA7" w:rsidP="00366CA7">
                    <w:pPr>
                      <w:spacing w:after="0"/>
                      <w:rPr>
                        <w:rFonts w:ascii="Aptos" w:eastAsia="Aptos" w:hAnsi="Aptos" w:cs="Aptos"/>
                        <w:noProof/>
                        <w:color w:val="000000"/>
                        <w:sz w:val="20"/>
                        <w:szCs w:val="20"/>
                      </w:rPr>
                    </w:pPr>
                    <w:r w:rsidRPr="00366CA7">
                      <w:rPr>
                        <w:rFonts w:ascii="Aptos" w:eastAsia="Aptos" w:hAnsi="Aptos" w:cs="Aptos"/>
                        <w:noProof/>
                        <w:color w:val="000000"/>
                        <w:sz w:val="20"/>
                        <w:szCs w:val="20"/>
                      </w:rPr>
                      <w:t>Official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73360" w14:textId="64AB95D2" w:rsidR="00366CA7" w:rsidRDefault="00366CA7">
    <w:pPr>
      <w:pStyle w:val="Footer"/>
    </w:pPr>
    <w:r>
      <w:rPr>
        <w:noProof/>
      </w:rPr>
      <mc:AlternateContent>
        <mc:Choice Requires="wps">
          <w:drawing>
            <wp:anchor distT="0" distB="0" distL="0" distR="0" simplePos="0" relativeHeight="251660288" behindDoc="0" locked="0" layoutInCell="1" allowOverlap="1" wp14:anchorId="259F7B5F" wp14:editId="526EE843">
              <wp:simplePos x="914400" y="9415463"/>
              <wp:positionH relativeFrom="page">
                <wp:align>right</wp:align>
              </wp:positionH>
              <wp:positionV relativeFrom="page">
                <wp:align>bottom</wp:align>
              </wp:positionV>
              <wp:extent cx="1170305" cy="370205"/>
              <wp:effectExtent l="0" t="0" r="0" b="0"/>
              <wp:wrapNone/>
              <wp:docPr id="485802876" name="Text Box 3" descr="Official Use Only">
                <a:extLst xmlns:a="http://schemas.openxmlformats.org/drawingml/2006/main">
                  <a:ext uri="{FF2B5EF4-FFF2-40B4-BE49-F238E27FC236}">
                    <a16:creationId xmlns:a16="http://schemas.microsoft.com/office/drawing/2014/main" id="{5ABC2074-D3EC-44EA-8EC8-6BAA37784081}"/>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0305" cy="370205"/>
                      </a:xfrm>
                      <a:prstGeom prst="rect">
                        <a:avLst/>
                      </a:prstGeom>
                      <a:noFill/>
                      <a:ln>
                        <a:noFill/>
                      </a:ln>
                    </wps:spPr>
                    <wps:txbx>
                      <w:txbxContent>
                        <w:p w14:paraId="7F39B99F" w14:textId="6492FE19" w:rsidR="00366CA7" w:rsidRPr="00366CA7" w:rsidRDefault="00366CA7" w:rsidP="00366CA7">
                          <w:pPr>
                            <w:spacing w:after="0"/>
                            <w:rPr>
                              <w:rFonts w:ascii="Aptos" w:eastAsia="Aptos" w:hAnsi="Aptos" w:cs="Aptos"/>
                              <w:noProof/>
                              <w:color w:val="000000"/>
                              <w:sz w:val="20"/>
                              <w:szCs w:val="20"/>
                            </w:rPr>
                          </w:pPr>
                          <w:r w:rsidRPr="00366CA7">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59F7B5F" id="_x0000_t202" coordsize="21600,21600" o:spt="202" path="m,l,21600r21600,l21600,xe">
              <v:stroke joinstyle="miter"/>
              <v:path gradientshapeok="t" o:connecttype="rect"/>
            </v:shapetype>
            <v:shape id="Text Box 3" o:spid="_x0000_s1027" type="#_x0000_t202" alt="Official Use Only" style="position:absolute;margin-left:40.95pt;margin-top:0;width:92.15pt;height:29.1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" filled="f" stroked="f">
              <v:textbox style="mso-fit-shape-to-text:t" inset="0,0,20pt,15pt">
                <w:txbxContent>
                  <w:p w14:paraId="7F39B99F" w14:textId="6492FE19" w:rsidR="00366CA7" w:rsidRPr="00366CA7" w:rsidRDefault="00366CA7" w:rsidP="00366CA7">
                    <w:pPr>
                      <w:spacing w:after="0"/>
                      <w:rPr>
                        <w:rFonts w:ascii="Aptos" w:eastAsia="Aptos" w:hAnsi="Aptos" w:cs="Aptos"/>
                        <w:noProof/>
                        <w:color w:val="000000"/>
                        <w:sz w:val="20"/>
                        <w:szCs w:val="20"/>
                      </w:rPr>
                    </w:pPr>
                    <w:r w:rsidRPr="00366CA7">
                      <w:rPr>
                        <w:rFonts w:ascii="Aptos" w:eastAsia="Aptos" w:hAnsi="Aptos" w:cs="Aptos"/>
                        <w:noProof/>
                        <w:color w:val="000000"/>
                        <w:sz w:val="20"/>
                        <w:szCs w:val="20"/>
                      </w:rPr>
                      <w:t>Official Use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24121" w14:textId="26F6E683" w:rsidR="00366CA7" w:rsidRDefault="00366CA7">
    <w:pPr>
      <w:pStyle w:val="Footer"/>
    </w:pPr>
    <w:r>
      <w:rPr>
        <w:noProof/>
      </w:rPr>
      <mc:AlternateContent>
        <mc:Choice Requires="wps">
          <w:drawing>
            <wp:anchor distT="0" distB="0" distL="0" distR="0" simplePos="0" relativeHeight="251658240" behindDoc="0" locked="0" layoutInCell="1" allowOverlap="1" wp14:anchorId="68F5E862" wp14:editId="285C3F3F">
              <wp:simplePos x="635" y="635"/>
              <wp:positionH relativeFrom="page">
                <wp:align>right</wp:align>
              </wp:positionH>
              <wp:positionV relativeFrom="page">
                <wp:align>bottom</wp:align>
              </wp:positionV>
              <wp:extent cx="1170305" cy="370205"/>
              <wp:effectExtent l="0" t="0" r="0" b="0"/>
              <wp:wrapNone/>
              <wp:docPr id="136290469" name="Text Box 1" descr="Official Use Only">
                <a:extLst xmlns:a="http://schemas.openxmlformats.org/drawingml/2006/main">
                  <a:ext uri="{FF2B5EF4-FFF2-40B4-BE49-F238E27FC236}">
                    <a16:creationId xmlns:a16="http://schemas.microsoft.com/office/drawing/2014/main" id="{E84CFDB7-35F3-4319-8404-014AB28B4326}"/>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0305" cy="370205"/>
                      </a:xfrm>
                      <a:prstGeom prst="rect">
                        <a:avLst/>
                      </a:prstGeom>
                      <a:noFill/>
                      <a:ln>
                        <a:noFill/>
                      </a:ln>
                    </wps:spPr>
                    <wps:txbx>
                      <w:txbxContent>
                        <w:p w14:paraId="598D3154" w14:textId="18AA41C7" w:rsidR="00366CA7" w:rsidRPr="00366CA7" w:rsidRDefault="00366CA7" w:rsidP="00366CA7">
                          <w:pPr>
                            <w:spacing w:after="0"/>
                            <w:rPr>
                              <w:rFonts w:ascii="Aptos" w:eastAsia="Aptos" w:hAnsi="Aptos" w:cs="Aptos"/>
                              <w:noProof/>
                              <w:color w:val="000000"/>
                              <w:sz w:val="20"/>
                              <w:szCs w:val="20"/>
                            </w:rPr>
                          </w:pPr>
                          <w:r w:rsidRPr="00366CA7">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8F5E862" id="_x0000_t202" coordsize="21600,21600" o:spt="202" path="m,l,21600r21600,l21600,xe">
              <v:stroke joinstyle="miter"/>
              <v:path gradientshapeok="t" o:connecttype="rect"/>
            </v:shapetype>
            <v:shape id="Text Box 1" o:spid="_x0000_s1028" type="#_x0000_t202" alt="Official Use Only" style="position:absolute;margin-left:40.95pt;margin-top:0;width:92.15pt;height:29.1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" filled="f" stroked="f">
              <v:textbox style="mso-fit-shape-to-text:t" inset="0,0,20pt,15pt">
                <w:txbxContent>
                  <w:p w14:paraId="598D3154" w14:textId="18AA41C7" w:rsidR="00366CA7" w:rsidRPr="00366CA7" w:rsidRDefault="00366CA7" w:rsidP="00366CA7">
                    <w:pPr>
                      <w:spacing w:after="0"/>
                      <w:rPr>
                        <w:rFonts w:ascii="Aptos" w:eastAsia="Aptos" w:hAnsi="Aptos" w:cs="Aptos"/>
                        <w:noProof/>
                        <w:color w:val="000000"/>
                        <w:sz w:val="20"/>
                        <w:szCs w:val="20"/>
                      </w:rPr>
                    </w:pPr>
                    <w:r w:rsidRPr="00366CA7">
                      <w:rPr>
                        <w:rFonts w:ascii="Aptos" w:eastAsia="Aptos" w:hAnsi="Aptos" w:cs="Aptos"/>
                        <w:noProof/>
                        <w:color w:val="000000"/>
                        <w:sz w:val="20"/>
                        <w:szCs w:val="20"/>
                      </w:rPr>
                      <w:t>Official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450B7" w14:textId="77777777" w:rsidR="00715787" w:rsidRDefault="00715787" w:rsidP="00366CA7">
      <w:pPr>
        <w:spacing w:after="0" w:line="240" w:lineRule="auto"/>
      </w:pPr>
      <w:r>
        <w:separator/>
      </w:r>
    </w:p>
  </w:footnote>
  <w:footnote w:type="continuationSeparator" w:id="0">
    <w:p w14:paraId="5636C855" w14:textId="77777777" w:rsidR="00715787" w:rsidRDefault="00715787" w:rsidP="00366C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2827"/>
    <w:multiLevelType w:val="hybridMultilevel"/>
    <w:tmpl w:val="A0FEAE1E"/>
    <w:lvl w:ilvl="0" w:tplc="ABD6E44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2643D1"/>
    <w:multiLevelType w:val="multilevel"/>
    <w:tmpl w:val="F8846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24DC1"/>
    <w:multiLevelType w:val="hybridMultilevel"/>
    <w:tmpl w:val="A6CA30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AC076D"/>
    <w:multiLevelType w:val="multilevel"/>
    <w:tmpl w:val="43581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DB97899"/>
    <w:multiLevelType w:val="hybridMultilevel"/>
    <w:tmpl w:val="BAB8D8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FE5F76"/>
    <w:multiLevelType w:val="multilevel"/>
    <w:tmpl w:val="E0163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223133"/>
    <w:multiLevelType w:val="hybridMultilevel"/>
    <w:tmpl w:val="56EE43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3224FB"/>
    <w:multiLevelType w:val="multilevel"/>
    <w:tmpl w:val="EFC03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6DA21A0"/>
    <w:multiLevelType w:val="hybridMultilevel"/>
    <w:tmpl w:val="819838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8C2F5E"/>
    <w:multiLevelType w:val="multilevel"/>
    <w:tmpl w:val="E24E5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D242E2"/>
    <w:multiLevelType w:val="multilevel"/>
    <w:tmpl w:val="53C89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E524C4"/>
    <w:multiLevelType w:val="multilevel"/>
    <w:tmpl w:val="7E645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E5847FB"/>
    <w:multiLevelType w:val="hybridMultilevel"/>
    <w:tmpl w:val="7480B0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0D700EE"/>
    <w:multiLevelType w:val="multilevel"/>
    <w:tmpl w:val="C4FE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AE6773E"/>
    <w:multiLevelType w:val="multilevel"/>
    <w:tmpl w:val="C9FA1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EE003C2"/>
    <w:multiLevelType w:val="hybridMultilevel"/>
    <w:tmpl w:val="9CB8AA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FA22231"/>
    <w:multiLevelType w:val="hybridMultilevel"/>
    <w:tmpl w:val="E81888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7BC544E"/>
    <w:multiLevelType w:val="multilevel"/>
    <w:tmpl w:val="D67A9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2B1A90"/>
    <w:multiLevelType w:val="multilevel"/>
    <w:tmpl w:val="7802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2D61AE"/>
    <w:multiLevelType w:val="hybridMultilevel"/>
    <w:tmpl w:val="3530ED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83C6CAD"/>
    <w:multiLevelType w:val="multilevel"/>
    <w:tmpl w:val="CC7A0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3811710">
    <w:abstractNumId w:val="8"/>
  </w:num>
  <w:num w:numId="2" w16cid:durableId="1490243954">
    <w:abstractNumId w:val="0"/>
  </w:num>
  <w:num w:numId="3" w16cid:durableId="1745295935">
    <w:abstractNumId w:val="17"/>
  </w:num>
  <w:num w:numId="4" w16cid:durableId="1754157853">
    <w:abstractNumId w:val="18"/>
  </w:num>
  <w:num w:numId="5" w16cid:durableId="1793286463">
    <w:abstractNumId w:val="2"/>
  </w:num>
  <w:num w:numId="6" w16cid:durableId="1797943656">
    <w:abstractNumId w:val="19"/>
  </w:num>
  <w:num w:numId="7" w16cid:durableId="1875537400">
    <w:abstractNumId w:val="4"/>
  </w:num>
  <w:num w:numId="8" w16cid:durableId="2062244850">
    <w:abstractNumId w:val="6"/>
  </w:num>
  <w:num w:numId="9" w16cid:durableId="268200912">
    <w:abstractNumId w:val="16"/>
  </w:num>
  <w:num w:numId="10" w16cid:durableId="427696205">
    <w:abstractNumId w:val="15"/>
  </w:num>
  <w:num w:numId="11" w16cid:durableId="661127613">
    <w:abstractNumId w:val="12"/>
  </w:num>
  <w:num w:numId="12" w16cid:durableId="694043060">
    <w:abstractNumId w:val="1"/>
  </w:num>
  <w:num w:numId="13" w16cid:durableId="71393866">
    <w:abstractNumId w:val="5"/>
  </w:num>
  <w:num w:numId="14" w16cid:durableId="89352311">
    <w:abstractNumId w:val="10"/>
  </w:num>
  <w:num w:numId="15" w16cid:durableId="2118215257">
    <w:abstractNumId w:val="9"/>
  </w:num>
  <w:num w:numId="16" w16cid:durableId="1165046705">
    <w:abstractNumId w:val="3"/>
  </w:num>
  <w:num w:numId="17" w16cid:durableId="1538195895">
    <w:abstractNumId w:val="7"/>
  </w:num>
  <w:num w:numId="18" w16cid:durableId="233202928">
    <w:abstractNumId w:val="20"/>
  </w:num>
  <w:num w:numId="19" w16cid:durableId="1934775672">
    <w:abstractNumId w:val="13"/>
  </w:num>
  <w:num w:numId="20" w16cid:durableId="1490364228">
    <w:abstractNumId w:val="14"/>
  </w:num>
  <w:num w:numId="21" w16cid:durableId="8376533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F16"/>
    <w:rsid w:val="000015FA"/>
    <w:rsid w:val="00022088"/>
    <w:rsid w:val="00022EF3"/>
    <w:rsid w:val="00023BC6"/>
    <w:rsid w:val="00032805"/>
    <w:rsid w:val="0007341C"/>
    <w:rsid w:val="000A7388"/>
    <w:rsid w:val="000D132A"/>
    <w:rsid w:val="000D5289"/>
    <w:rsid w:val="000F4201"/>
    <w:rsid w:val="001067CF"/>
    <w:rsid w:val="00112410"/>
    <w:rsid w:val="0013537F"/>
    <w:rsid w:val="0014578A"/>
    <w:rsid w:val="001853CF"/>
    <w:rsid w:val="00193E75"/>
    <w:rsid w:val="001B458D"/>
    <w:rsid w:val="001C22E0"/>
    <w:rsid w:val="001D1E8B"/>
    <w:rsid w:val="00200DD0"/>
    <w:rsid w:val="00217EBA"/>
    <w:rsid w:val="00261C9B"/>
    <w:rsid w:val="00297BB2"/>
    <w:rsid w:val="002D39F5"/>
    <w:rsid w:val="002D3AEA"/>
    <w:rsid w:val="002E2B33"/>
    <w:rsid w:val="002F2579"/>
    <w:rsid w:val="002F2BF3"/>
    <w:rsid w:val="002F615C"/>
    <w:rsid w:val="003149B7"/>
    <w:rsid w:val="0032451C"/>
    <w:rsid w:val="003358EC"/>
    <w:rsid w:val="00366CA7"/>
    <w:rsid w:val="00391B51"/>
    <w:rsid w:val="003945A1"/>
    <w:rsid w:val="003A5F41"/>
    <w:rsid w:val="003B1FCB"/>
    <w:rsid w:val="003E0624"/>
    <w:rsid w:val="0043498F"/>
    <w:rsid w:val="00435A9F"/>
    <w:rsid w:val="0048704F"/>
    <w:rsid w:val="00493677"/>
    <w:rsid w:val="004B59F5"/>
    <w:rsid w:val="004C0C88"/>
    <w:rsid w:val="004C44C0"/>
    <w:rsid w:val="004C47AC"/>
    <w:rsid w:val="00564192"/>
    <w:rsid w:val="00580837"/>
    <w:rsid w:val="00584475"/>
    <w:rsid w:val="005A6BEB"/>
    <w:rsid w:val="005B0A06"/>
    <w:rsid w:val="005C0265"/>
    <w:rsid w:val="005C2818"/>
    <w:rsid w:val="005D2F65"/>
    <w:rsid w:val="005E2810"/>
    <w:rsid w:val="005F3383"/>
    <w:rsid w:val="00642887"/>
    <w:rsid w:val="00663A4B"/>
    <w:rsid w:val="006915A1"/>
    <w:rsid w:val="006A4A57"/>
    <w:rsid w:val="006C0CBC"/>
    <w:rsid w:val="006D3C05"/>
    <w:rsid w:val="00715787"/>
    <w:rsid w:val="00722106"/>
    <w:rsid w:val="00774D88"/>
    <w:rsid w:val="00783683"/>
    <w:rsid w:val="007916E0"/>
    <w:rsid w:val="007A7CB9"/>
    <w:rsid w:val="00831D73"/>
    <w:rsid w:val="0085234B"/>
    <w:rsid w:val="00864A81"/>
    <w:rsid w:val="00871471"/>
    <w:rsid w:val="00876426"/>
    <w:rsid w:val="00893065"/>
    <w:rsid w:val="00900B65"/>
    <w:rsid w:val="00927A95"/>
    <w:rsid w:val="00931A97"/>
    <w:rsid w:val="00936A6B"/>
    <w:rsid w:val="009515BA"/>
    <w:rsid w:val="0095367D"/>
    <w:rsid w:val="00960F16"/>
    <w:rsid w:val="009652FA"/>
    <w:rsid w:val="00987B87"/>
    <w:rsid w:val="0099036B"/>
    <w:rsid w:val="00992662"/>
    <w:rsid w:val="009B5775"/>
    <w:rsid w:val="009C4714"/>
    <w:rsid w:val="009D1260"/>
    <w:rsid w:val="00A21908"/>
    <w:rsid w:val="00A43BAD"/>
    <w:rsid w:val="00A53BFD"/>
    <w:rsid w:val="00A67105"/>
    <w:rsid w:val="00A936D9"/>
    <w:rsid w:val="00A955A2"/>
    <w:rsid w:val="00AC0043"/>
    <w:rsid w:val="00AD7154"/>
    <w:rsid w:val="00AE23BB"/>
    <w:rsid w:val="00B07B95"/>
    <w:rsid w:val="00B253C3"/>
    <w:rsid w:val="00B33FA8"/>
    <w:rsid w:val="00B450A0"/>
    <w:rsid w:val="00BD5AA4"/>
    <w:rsid w:val="00BD5E28"/>
    <w:rsid w:val="00BE433D"/>
    <w:rsid w:val="00C94E71"/>
    <w:rsid w:val="00CA00D1"/>
    <w:rsid w:val="00CB0B8B"/>
    <w:rsid w:val="00CB663D"/>
    <w:rsid w:val="00CD5D39"/>
    <w:rsid w:val="00D35A8F"/>
    <w:rsid w:val="00D45757"/>
    <w:rsid w:val="00D545B2"/>
    <w:rsid w:val="00D97E92"/>
    <w:rsid w:val="00DA48DC"/>
    <w:rsid w:val="00DA5E24"/>
    <w:rsid w:val="00DB0C6F"/>
    <w:rsid w:val="00DE374D"/>
    <w:rsid w:val="00DE7620"/>
    <w:rsid w:val="00E2679A"/>
    <w:rsid w:val="00E26A52"/>
    <w:rsid w:val="00E47A10"/>
    <w:rsid w:val="00E8086B"/>
    <w:rsid w:val="00E90F1A"/>
    <w:rsid w:val="00E92DCE"/>
    <w:rsid w:val="00F074EC"/>
    <w:rsid w:val="00F11DFC"/>
    <w:rsid w:val="00F22994"/>
    <w:rsid w:val="00F45528"/>
    <w:rsid w:val="00F530A6"/>
    <w:rsid w:val="00F621B7"/>
    <w:rsid w:val="00F96C91"/>
    <w:rsid w:val="00FA3E10"/>
    <w:rsid w:val="00FB39EE"/>
    <w:rsid w:val="00FE5F3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2CF73"/>
  <w15:chartTrackingRefBased/>
  <w15:docId w15:val="{8E2E66A8-F287-450D-A972-9431838EA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0F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0F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0F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0F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0F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0F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0F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0F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0F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0F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0F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0F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0F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0F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0F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0F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0F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0F16"/>
    <w:rPr>
      <w:rFonts w:eastAsiaTheme="majorEastAsia" w:cstheme="majorBidi"/>
      <w:color w:val="272727" w:themeColor="text1" w:themeTint="D8"/>
    </w:rPr>
  </w:style>
  <w:style w:type="paragraph" w:styleId="Title">
    <w:name w:val="Title"/>
    <w:basedOn w:val="Normal"/>
    <w:next w:val="Normal"/>
    <w:link w:val="TitleChar"/>
    <w:uiPriority w:val="10"/>
    <w:qFormat/>
    <w:rsid w:val="00960F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0F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0F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0F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0F16"/>
    <w:pPr>
      <w:spacing w:before="160"/>
      <w:jc w:val="center"/>
    </w:pPr>
    <w:rPr>
      <w:i/>
      <w:iCs/>
      <w:color w:val="404040" w:themeColor="text1" w:themeTint="BF"/>
    </w:rPr>
  </w:style>
  <w:style w:type="character" w:customStyle="1" w:styleId="QuoteChar">
    <w:name w:val="Quote Char"/>
    <w:basedOn w:val="DefaultParagraphFont"/>
    <w:link w:val="Quote"/>
    <w:uiPriority w:val="29"/>
    <w:rsid w:val="00960F16"/>
    <w:rPr>
      <w:i/>
      <w:iCs/>
      <w:color w:val="404040" w:themeColor="text1" w:themeTint="BF"/>
    </w:rPr>
  </w:style>
  <w:style w:type="paragraph" w:styleId="ListParagraph">
    <w:name w:val="List Paragraph"/>
    <w:basedOn w:val="Normal"/>
    <w:uiPriority w:val="34"/>
    <w:qFormat/>
    <w:rsid w:val="00960F16"/>
    <w:pPr>
      <w:ind w:left="720"/>
      <w:contextualSpacing/>
    </w:pPr>
  </w:style>
  <w:style w:type="character" w:styleId="IntenseEmphasis">
    <w:name w:val="Intense Emphasis"/>
    <w:basedOn w:val="DefaultParagraphFont"/>
    <w:uiPriority w:val="21"/>
    <w:qFormat/>
    <w:rsid w:val="00960F16"/>
    <w:rPr>
      <w:i/>
      <w:iCs/>
      <w:color w:val="0F4761" w:themeColor="accent1" w:themeShade="BF"/>
    </w:rPr>
  </w:style>
  <w:style w:type="paragraph" w:styleId="IntenseQuote">
    <w:name w:val="Intense Quote"/>
    <w:basedOn w:val="Normal"/>
    <w:next w:val="Normal"/>
    <w:link w:val="IntenseQuoteChar"/>
    <w:uiPriority w:val="30"/>
    <w:qFormat/>
    <w:rsid w:val="00960F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0F16"/>
    <w:rPr>
      <w:i/>
      <w:iCs/>
      <w:color w:val="0F4761" w:themeColor="accent1" w:themeShade="BF"/>
    </w:rPr>
  </w:style>
  <w:style w:type="character" w:styleId="IntenseReference">
    <w:name w:val="Intense Reference"/>
    <w:basedOn w:val="DefaultParagraphFont"/>
    <w:uiPriority w:val="32"/>
    <w:qFormat/>
    <w:rsid w:val="00960F16"/>
    <w:rPr>
      <w:b/>
      <w:bCs/>
      <w:smallCaps/>
      <w:color w:val="0F4761" w:themeColor="accent1" w:themeShade="BF"/>
      <w:spacing w:val="5"/>
    </w:rPr>
  </w:style>
  <w:style w:type="character" w:styleId="Hyperlink">
    <w:name w:val="Hyperlink"/>
    <w:basedOn w:val="DefaultParagraphFont"/>
    <w:uiPriority w:val="99"/>
    <w:unhideWhenUsed/>
    <w:rsid w:val="00217EBA"/>
    <w:rPr>
      <w:color w:val="467886" w:themeColor="hyperlink"/>
      <w:u w:val="single"/>
    </w:rPr>
  </w:style>
  <w:style w:type="character" w:styleId="UnresolvedMention">
    <w:name w:val="Unresolved Mention"/>
    <w:basedOn w:val="DefaultParagraphFont"/>
    <w:uiPriority w:val="99"/>
    <w:semiHidden/>
    <w:unhideWhenUsed/>
    <w:rsid w:val="00217EBA"/>
    <w:rPr>
      <w:color w:val="605E5C"/>
      <w:shd w:val="clear" w:color="auto" w:fill="E1DFDD"/>
    </w:rPr>
  </w:style>
  <w:style w:type="character" w:styleId="FollowedHyperlink">
    <w:name w:val="FollowedHyperlink"/>
    <w:basedOn w:val="DefaultParagraphFont"/>
    <w:uiPriority w:val="99"/>
    <w:semiHidden/>
    <w:unhideWhenUsed/>
    <w:rsid w:val="009652FA"/>
    <w:rPr>
      <w:color w:val="96607D" w:themeColor="followedHyperlink"/>
      <w:u w:val="single"/>
    </w:rPr>
  </w:style>
  <w:style w:type="paragraph" w:styleId="Footer">
    <w:name w:val="footer"/>
    <w:basedOn w:val="Normal"/>
    <w:link w:val="FooterChar"/>
    <w:uiPriority w:val="99"/>
    <w:unhideWhenUsed/>
    <w:rsid w:val="00366C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6C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un-dco.org/stories/feeding-progress-putting-people-heart-food-systems-transformation" TargetMode="External"/><Relationship Id="rId18" Type="http://schemas.openxmlformats.org/officeDocument/2006/relationships/hyperlink" Target="https://www.actioncontrelafaim.org/en/our-operations/senegal/"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wfp.org/operations/annual-country-report?operation_id=SN02&amp;year=2024" TargetMode="External"/><Relationship Id="rId7" Type="http://schemas.openxmlformats.org/officeDocument/2006/relationships/hyperlink" Target="https://data.worldbank.org/indicator/SN.ITK.DEFC.ZS?contextual=default&amp;locations=SN-ZF-TG-XN" TargetMode="External"/><Relationship Id="rId12" Type="http://schemas.openxmlformats.org/officeDocument/2006/relationships/hyperlink" Target="https://data.worldbank.org/indicator/SL.AGR.EMPL.ZS?locations=TG" TargetMode="External"/><Relationship Id="rId17" Type="http://schemas.openxmlformats.org/officeDocument/2006/relationships/hyperlink" Target="https://www.worldbank.org/en/results/2024/04/09/combining-childhood-education-and-nutrition-to-cultivate-bright-futures-in-senegal"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exemplars.health/topics/stunting/senegal" TargetMode="External"/><Relationship Id="rId20" Type="http://schemas.openxmlformats.org/officeDocument/2006/relationships/hyperlink" Target="https://www.wfp.org/operations/annual-country-report?operation_id=SN02&amp;year=2024"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ata.worldbank.org/indicator/AG.YLD.CREL.KG?locations=SN-ZF" TargetMode="External"/><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s://data.worldbank.org/indicator/AG.YLD.CREL.KG?locations=SN-ZF" TargetMode="External"/><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hyperlink" Target="https://www.researchgate.net/publication/343610613_Drivers_of_stunting_reduction_in_Senegal_A_country_case_study" TargetMode="External"/><Relationship Id="rId4" Type="http://schemas.openxmlformats.org/officeDocument/2006/relationships/webSettings" Target="webSettings.xml"/><Relationship Id="rId9" Type="http://schemas.openxmlformats.org/officeDocument/2006/relationships/hyperlink" Target="https://data.worldbank.org/indicator/AG.YLD.CREL.KG?locations=SN-ZF" TargetMode="External"/><Relationship Id="rId14" Type="http://schemas.openxmlformats.org/officeDocument/2006/relationships/hyperlink" Target="https://www.brookings.edu/articles/reducing-economic-and-environmental-vulnerability-to-achieve-food-and-nutrition-security-in-senegal/"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1636</TotalTime>
  <Pages>4</Pages>
  <Words>1203</Words>
  <Characters>6861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WBG</Company>
  <LinksUpToDate>false</LinksUpToDate>
  <CharactersWithSpaces>8048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Xin Xin Jin</dc:creator>
  <cp:keywords/>
  <dc:description/>
  <cp:lastModifiedBy>Adrian Xin Xin Jin</cp:lastModifiedBy>
  <cp:revision>67</cp:revision>
  <dcterms:created xsi:type="dcterms:W3CDTF">2026-07-22T14:59:00Z</dcterms:created>
  <dcterms:modified xsi:type="dcterms:W3CDTF">2026-07-29T20:23:00Z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81fa0a5,78c2f16e,1cf4c37c</vt:lpwstr>
  </property>
  <property fmtid="{D5CDD505-2E9C-101B-9397-08002B2CF9AE}" pid="3" name="ClassificationContentMarkingFooterFontProps">
    <vt:lpwstr>#000000,10,Aptos</vt:lpwstr>
  </property>
  <property fmtid="{D5CDD505-2E9C-101B-9397-08002B2CF9AE}" pid="4" name="ClassificationContentMarkingFooterText">
    <vt:lpwstr>Official Use Only</vt:lpwstr>
  </property>
  <property fmtid="{D5CDD505-2E9C-101B-9397-08002B2CF9AE}" pid="5" name="MSIP_Label_f1bf45b6-5649-4236-82a3-f45024cd282e_Enabled">
    <vt:lpwstr>true</vt:lpwstr>
  </property>
  <property fmtid="{D5CDD505-2E9C-101B-9397-08002B2CF9AE}" pid="6" name="MSIP_Label_f1bf45b6-5649-4236-82a3-f45024cd282e_SetDate">
    <vt:lpwstr>2026-06-26T16:21:25Z</vt:lpwstr>
  </property>
  <property fmtid="{D5CDD505-2E9C-101B-9397-08002B2CF9AE}" pid="7" name="MSIP_Label_f1bf45b6-5649-4236-82a3-f45024cd282e_Method">
    <vt:lpwstr>Standard</vt:lpwstr>
  </property>
  <property fmtid="{D5CDD505-2E9C-101B-9397-08002B2CF9AE}" pid="8" name="MSIP_Label_f1bf45b6-5649-4236-82a3-f45024cd282e_Name">
    <vt:lpwstr>Official Use Only</vt:lpwstr>
  </property>
  <property fmtid="{D5CDD505-2E9C-101B-9397-08002B2CF9AE}" pid="9" name="MSIP_Label_f1bf45b6-5649-4236-82a3-f45024cd282e_SiteId">
    <vt:lpwstr>31a2fec0-266b-4c67-b56e-2796d8f59c36</vt:lpwstr>
  </property>
  <property fmtid="{D5CDD505-2E9C-101B-9397-08002B2CF9AE}" pid="10" name="MSIP_Label_f1bf45b6-5649-4236-82a3-f45024cd282e_ActionId">
    <vt:lpwstr>5862cdf8-0be1-4dac-8ed8-b50d93c6963f</vt:lpwstr>
  </property>
  <property fmtid="{D5CDD505-2E9C-101B-9397-08002B2CF9AE}" pid="11" name="MSIP_Label_f1bf45b6-5649-4236-82a3-f45024cd282e_ContentBits">
    <vt:lpwstr>2</vt:lpwstr>
  </property>
  <property fmtid="{D5CDD505-2E9C-101B-9397-08002B2CF9AE}" pid="12" name="MSIP_Label_f1bf45b6-5649-4236-82a3-f45024cd282e_Tag">
    <vt:lpwstr>10, 3, 0, 1</vt:lpwstr>
  </property>
</Properties>
</file>