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d8d85286bb4d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...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Manaus: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Manaus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...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7d58a0bbf8ca4301"/>
      <w:headerReference w:type="first" r:id="R465010b2db304b91"/>
      <w:headerReference w:type="default" r:id="R75d9a5bfc80c42a9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d74a973a7043f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abc8fb197854fb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afd027aa5a40b1" /><Relationship Type="http://schemas.openxmlformats.org/officeDocument/2006/relationships/numbering" Target="/word/numbering.xml" Id="R7c2fabbdea8749ba" /><Relationship Type="http://schemas.openxmlformats.org/officeDocument/2006/relationships/settings" Target="/word/settings.xml" Id="Rddb6361278c64bc6" /><Relationship Type="http://schemas.openxmlformats.org/officeDocument/2006/relationships/header" Target="/word/header1.xml" Id="R7d58a0bbf8ca4301" /><Relationship Type="http://schemas.openxmlformats.org/officeDocument/2006/relationships/header" Target="/word/header2.xml" Id="R465010b2db304b91" /><Relationship Type="http://schemas.openxmlformats.org/officeDocument/2006/relationships/header" Target="/word/header3.xml" Id="R75d9a5bfc80c42a9" /><Relationship Type="http://schemas.openxmlformats.org/officeDocument/2006/relationships/image" Target="/word/media/43db4757-e4f6-4a27-adea-5778eb16bdba.png" Id="Rc3a1c0d97a1c4c5d" /><Relationship Type="http://schemas.openxmlformats.org/officeDocument/2006/relationships/image" Target="/word/media/4328b3dd-b756-4ca0-b25b-f22407d539ca.jpg" Id="R8e828d5367aa4e7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3db4757-e4f6-4a27-adea-5778eb16bdba.png" Id="Rc5d74a973a7043fb" /><Relationship Type="http://schemas.openxmlformats.org/officeDocument/2006/relationships/image" Target="/word/media/4328b3dd-b756-4ca0-b25b-f22407d539ca.jpg" Id="R9abc8fb197854fb8" /></Relationships>
</file>