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6c73cfcbb040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cf2a55a8b4474a2e"/>
      <w:headerReference w:type="first" r:id="R80514c9a662b4c30"/>
      <w:headerReference w:type="default" r:id="R500cff4389874053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c38ee396b774a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3d8195fc8a94ca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45699aa62b41ad" /><Relationship Type="http://schemas.openxmlformats.org/officeDocument/2006/relationships/numbering" Target="/word/numbering.xml" Id="R74c6157156824bff" /><Relationship Type="http://schemas.openxmlformats.org/officeDocument/2006/relationships/settings" Target="/word/settings.xml" Id="R9977a9e53fd04ce0" /><Relationship Type="http://schemas.openxmlformats.org/officeDocument/2006/relationships/header" Target="/word/header1.xml" Id="Rcf2a55a8b4474a2e" /><Relationship Type="http://schemas.openxmlformats.org/officeDocument/2006/relationships/header" Target="/word/header2.xml" Id="R80514c9a662b4c30" /><Relationship Type="http://schemas.openxmlformats.org/officeDocument/2006/relationships/header" Target="/word/header3.xml" Id="R500cff4389874053" /><Relationship Type="http://schemas.openxmlformats.org/officeDocument/2006/relationships/image" Target="/word/media/aa842c2c-13d4-4695-9248-5339843b9422.png" Id="R1927d710b089475b" /><Relationship Type="http://schemas.openxmlformats.org/officeDocument/2006/relationships/image" Target="/word/media/3b0f12a0-a3e0-403c-8e61-988a9aa356bb.jpg" Id="R5924ad108ee048b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a842c2c-13d4-4695-9248-5339843b9422.png" Id="R8c38ee396b774a46" /><Relationship Type="http://schemas.openxmlformats.org/officeDocument/2006/relationships/image" Target="/word/media/3b0f12a0-a3e0-403c-8e61-988a9aa356bb.jpg" Id="R63d8195fc8a94caa" /></Relationships>
</file>