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a0e138c5f943d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8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Órgão</w:t>
            </w:r>
          </w:p>
        </w:tc>
        <w:tc>
          <w:tcPr>
            <w:tcW w:w="7400" w:type="dxa"/>
          </w:tcPr>
          <w:p>
            <w:pPr/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Prefeitura Municipal de Amaturá</w:t>
            </w:r>
          </w:p>
        </w:tc>
      </w:tr>
      <w:tr>
        <w:tc>
          <w:tcPr>
            <w:tcW w:w="8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Responsável</w:t>
            </w:r>
          </w:p>
        </w:tc>
        <w:tc>
          <w:tcPr>
            <w:tcW w:w="7400" w:type="dxa"/>
          </w:tcPr>
          <w:p>
            <w:pPr/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José Augusto Barrozo Eufrasio</w:t>
            </w:r>
          </w:p>
        </w:tc>
      </w:tr>
      <w:tr>
        <w:tc>
          <w:tcPr>
            <w:tcW w:w="8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Assunto</w:t>
            </w:r>
          </w:p>
        </w:tc>
        <w:tc>
          <w:tcPr>
            <w:tcW w:w="7400" w:type="dxa"/>
          </w:tcPr>
          <w:p>
            <w:pPr/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Portal da Transparência</w:t>
            </w:r>
          </w:p>
        </w:tc>
      </w:tr>
    </w:tbl>
    <w:p>
      <w:pPr/>
    </w:p>
    <w:p>
      <w:pPr/>
    </w:p>
    <w:p>
      <w:pPr>
        <w:jc w:val="center"/>
      </w:pPr>
      <w:r>
        <w:rPr>
          <w:lang w:val="pt-BR"/>
          <w:rFonts w:ascii="Times New Roman" w:hAnsi="Times New Roman" w:cs="Times New Roman" w:eastAsia="Times New Roman"/>
          <w:b/>
          <w:sz w:val="32"/>
          <w:szCs w:val="32"/>
        </w:rPr>
        <w:t>Relatório nº 1/2021-DICETI</w:t>
      </w:r>
    </w:p>
    <w:p>
      <w:pPr/>
    </w:p>
    <w:p>
      <w:pPr/>
    </w:p>
    <w:p>
      <w:pPr/>
      <w:r>
        <w:rPr>
          <w:lang w:val="pt-BR"/>
          <w:rFonts w:ascii="Arial Black" w:hAnsi="Arial Black" w:cs="Arial Black" w:eastAsia="Arial Black"/>
          <w:sz w:val="24"/>
          <w:szCs w:val="24"/>
        </w:rPr>
        <w:t>INTRODUÇÃO</w:t>
      </w:r>
    </w:p>
    <w:p>
      <w:pPr/>
    </w:p>
    <w:p>
      <w:pPr>
        <w:jc w:val="both"/>
        <w:ind w:firstLine="800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A exigência de transparência no serviço público brasileiro tem como base o princípio da publicidade elencado no art. 37 da Constituição Federal de 1988 e vem tecendo sua rede normativa desde então. A Lei Complementar 101/2000, que estabelece normas de finanças públicas voltadas para a responsabilidade na gestão fiscal, já estabelece no § 1º. do art. 1º, que a responsabilidade na gestão fiscal pressupõe a ação planejada e transparente. A Lei Complementar 131/2009, determina a disponibilização, em tempo real, de informações pormenorizadas sobre a execução orçamentária e financeira dos entes da federação.</w:t>
      </w:r>
    </w:p>
    <w:p>
      <w:pPr/>
    </w:p>
    <w:p>
      <w:pPr>
        <w:jc w:val="both"/>
        <w:ind w:firstLine="800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Assim sendo, tempo real, pressupõe-se, dentro do atual estado da arte, sítio eletrônico ou portal de transparência. Desta forma, a Lei 12.527/2011 regulamenta o acesso a informações previsto no inciso XXXIII do art. 5º , no inciso II do § 3º do art. 37 e no § 2º do art. 216 da Constituição Federal e por conseguinte, também regula a instituição de Portal da Transparência dos Órgãos Públicos.</w:t>
      </w:r>
    </w:p>
    <w:p>
      <w:pPr/>
    </w:p>
    <w:p>
      <w:pPr>
        <w:jc w:val="both"/>
        <w:ind w:firstLine="800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Entretanto, para assegurar o acesso à informação por parte do cidadão e da sociedade é importante investigar a aderência e adequação desses portais eletrônicos a luz da legislação aplicável.</w:t>
      </w:r>
    </w:p>
    <w:p>
      <w:pPr/>
    </w:p>
    <w:p>
      <w:pPr>
        <w:jc w:val="both"/>
        <w:ind w:firstLine="800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 xml:space="preserve">Desta forma, espera-se que a presente inspeção atinja o objetivo de melhorar os controles, tanto internos como externos, bem como contribuir para a observância do princípio da Transparência nos Portais da Administração Pública Estadual e Municipal. </w:t>
      </w:r>
    </w:p>
    <w:p>
      <w:pPr/>
    </w:p>
    <w:p>
      <w:pPr/>
    </w:p>
    <w:p>
      <w:pPr/>
      <w:r>
        <w:rPr>
          <w:lang w:val="pt-BR"/>
          <w:rFonts w:ascii="Arial Black" w:hAnsi="Arial Black" w:cs="Arial Black" w:eastAsia="Arial Black"/>
          <w:sz w:val="24"/>
          <w:szCs w:val="24"/>
        </w:rPr>
        <w:t>METODOLOGIA</w:t>
      </w:r>
    </w:p>
    <w:p>
      <w:pPr/>
    </w:p>
    <w:p>
      <w:pPr>
        <w:jc w:val="both"/>
        <w:ind w:firstLine="800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O presente é gerado de forma automatizada por sistema informatizado desenvolvido no próprio âmbito da DICETI, baseado na cartilha “Escala Brasil Transparente” da Controladoria Geral da União – CGU, com adaptações.</w:t>
      </w:r>
    </w:p>
    <w:p>
      <w:pPr/>
    </w:p>
    <w:p>
      <w:pPr>
        <w:jc w:val="both"/>
        <w:ind w:firstLine="800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Abordamos nesse relatório os itens abaixo, classificando-os como cumpridos ou não cumpridos, aos quais se atribui uma nota conforme a gravidade:</w:t>
      </w:r>
    </w:p>
    <w:tbl>
      <w:tblPr>
        <w:tblStyle w:val="TableGrid"/>
        <w:tblW w:w="5000" w:type="auto"/>
        <w:tblLook w:val="04A0"/>
        <w:tblBorders>
          <w:top w:val="single" w:sz="2" w:space="0" w:color="FFFFFF"/>
          <w:bottom w:val="single" w:sz="2" w:space="0" w:color="FFFFFF"/>
          <w:left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jc w:val="center"/>
      </w:tblPr>
      <w:tblGrid>
        <w:gridCol w:w="2310"/>
        <w:gridCol w:w="2310"/>
        <w:gridCol w:w="2310"/>
      </w:tblGrid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Estrutura Organizacional</w:t>
            </w:r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Estrutura Organizacional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2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Endereço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3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Telefone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4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Horário de atendimento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Receitas</w:t>
            </w:r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5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Previsão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100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6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Arrecadação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150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7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Classificação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Empenhos</w:t>
            </w:r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8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Número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9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Valor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10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Data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80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11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Favorecido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80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12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Descrição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13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Consulta de Dados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300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14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Gerar Relatório da Consulta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100</w:t>
            </w:r>
          </w:p>
        </w:tc>
      </w:tr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Licitação</w:t>
            </w:r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15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Número/Ano do Edital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16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Modalidade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17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Objeto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18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Situação/Status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19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Consulta por dados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20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Conteúdo Integral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Contratos</w:t>
            </w:r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21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Número/Ano do Contrato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22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Objeto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23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Valor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24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Favorecido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25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Vigência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26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Licitação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27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Consulta por Dados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28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Gerar Relatório da Consulta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29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Conteudo Integral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Obras Públicas</w:t>
            </w:r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30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Objeto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31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Valor Total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32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Contratada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33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Início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34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Término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35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Valor Pago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36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Situação/Status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Pessoal</w:t>
            </w:r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37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Nome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38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Cargo/Função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39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Remuneração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Diárias</w:t>
            </w:r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40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Beneficiário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41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Valor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42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Período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43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Destino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44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Motivo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Estatística</w:t>
            </w:r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45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Pedidos Recebidos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46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Atendidos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47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Percentual de atendimento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Outros</w:t>
            </w:r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48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Disponibilizar Base de Dados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49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Formatos XLS ou XLSX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50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Formato PDF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51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Formato CSV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52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Formato TXT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53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Informação sobre a LAI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54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Sítio Fácil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0</w:t>
            </w:r>
          </w:p>
        </w:tc>
      </w:tr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Total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810</w:t>
            </w:r>
          </w:p>
        </w:tc>
      </w:tr>
      <w:tr>
        <w:tc>
          <w:tcPr>
            <w:tcW w:w="400" w:type="dxa"/>
          </w:tcPr>
          <w:p>
            <w:pPr/>
          </w:p>
        </w:tc>
        <w:tc>
          <w:tcPr>
            <w:tcW w:w="4000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Percentual</w:t>
            </w:r>
          </w:p>
        </w:tc>
        <w:tc>
          <w:tcPr>
            <w:tcW w:w="800" w:type="dxa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lang w:val="pt-BR"/>
                <w:sz w:val="24"/>
                <w:szCs w:val="24"/>
              </w:rPr>
              <w:t>14,65%</w:t>
            </w:r>
          </w:p>
        </w:tc>
      </w:tr>
    </w:tbl>
    <w:p>
      <w:pPr/>
    </w:p>
    <w:p>
      <w:pPr>
        <w:jc w:val="both"/>
        <w:ind w:firstLine="800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Os itens marcados com valor de 300 pontos são essenciais e indispensáveis, de maneira que sua ausência no portal da transparência será considerado grave, não sendo compensado por outros itens de menor pontuação.</w:t>
      </w:r>
    </w:p>
    <w:p>
      <w:pPr/>
    </w:p>
    <w:p>
      <w:pPr/>
    </w:p>
    <w:p>
      <w:pPr/>
      <w:r>
        <w:rPr>
          <w:lang w:val="pt-BR"/>
          <w:rFonts w:ascii="Arial Black" w:hAnsi="Arial Black" w:cs="Arial Black" w:eastAsia="Arial Black"/>
          <w:sz w:val="24"/>
          <w:szCs w:val="24"/>
        </w:rPr>
        <w:t>ANÁLISE</w:t>
      </w:r>
    </w:p>
    <w:p>
      <w:pPr/>
    </w:p>
    <w:p>
      <w:pPr>
        <w:jc w:val="both"/>
        <w:ind w:firstLine="800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 xml:space="preserve">Na análise do portal da Transparência conforme critérios acima, a Prefeitura Municipal de Amaturá, obteve 810 pontos, equivalente a 14,65%. Assim sendo, consideramos que a Prefeitura Municipal de Amaturá não está respeitando a Legislação de Acesso à Informação. </w:t>
      </w:r>
    </w:p>
    <w:p>
      <w:pPr/>
    </w:p>
    <w:p>
      <w:pPr/>
    </w:p>
    <w:p>
      <w:pPr/>
      <w:r>
        <w:rPr>
          <w:lang w:val="pt-BR"/>
          <w:rFonts w:ascii="Arial Black" w:hAnsi="Arial Black" w:cs="Arial Black" w:eastAsia="Arial Black"/>
          <w:sz w:val="24"/>
          <w:szCs w:val="24"/>
        </w:rPr>
        <w:t>CONCLUSÃO</w:t>
      </w:r>
    </w:p>
    <w:p>
      <w:pPr/>
    </w:p>
    <w:p>
      <w:pPr>
        <w:jc w:val="both"/>
        <w:ind w:firstLine="800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Assim sendo, sugerimos ao Nobre Secretário Geral de Controle Externo solicitar abertura de processo de REPRESENTAÇÃO nos termos do art. 208 da Resolução TCE nº 04/2002, contra a Prefeitura Municipal de Amaturá, na pessoa do Sr. José Augusto Barrozo Eufrasio, Prefeito Municipal, para a devida apuração dos fatos e atendimento aos princípios do contraditório e da ampla defesa, com fulcro no receio de lesão ao erário, nos termos do inciso VIII do art. 10 da Lei 8.429/1992.</w:t>
      </w:r>
    </w:p>
    <w:p>
      <w:pPr/>
    </w:p>
    <w:p>
      <w:pPr/>
    </w:p>
    <w:p>
      <w:pPr/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É o Relatório.</w:t>
      </w:r>
    </w:p>
    <w:p>
      <w:pPr/>
    </w:p>
    <w:p>
      <w:pPr/>
    </w:p>
    <w:p>
      <w:pPr>
        <w:jc w:val="both"/>
      </w:pPr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DIRETORIA DE CONTROLE EXTERNO DE TECNOLOGIA DA INFORMAÇÃO DO TRIBUNAL DE CONTAS DO ESTADO DO AMAZONAS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>, em Manaus, 20 de março de 2021.</w:t>
      </w:r>
    </w:p>
    <w:p>
      <w:pPr/>
    </w:p>
    <w:p>
      <w:pPr/>
    </w:p>
    <w:p>
      <w:pPr/>
    </w:p>
    <w:p>
      <w:pPr/>
    </w:p>
    <w:p>
      <w:pPr/>
    </w:p>
    <w:p>
      <w:pPr>
        <w:jc w:val="center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Antônio José Inácio de Souza</w:t>
      </w:r>
    </w:p>
    <w:p>
      <w:pPr>
        <w:jc w:val="center"/>
      </w:pPr>
      <w:r>
        <w:rPr>
          <w:lang w:val="pt-BR"/>
          <w:rFonts w:ascii="Times New Roman" w:hAnsi="Times New Roman" w:cs="Times New Roman" w:eastAsia="Times New Roman"/>
          <w:sz w:val="20"/>
          <w:szCs w:val="20"/>
        </w:rPr>
        <w:t>Auditor Técnico de Controle Externo</w:t>
      </w:r>
    </w:p>
    <w:p>
      <w:pPr/>
    </w:p>
    <w:p>
      <w:pPr/>
    </w:p>
    <w:p>
      <w:pPr/>
    </w:p>
    <w:p>
      <w:pPr/>
    </w:p>
    <w:p>
      <w:pPr>
        <w:jc w:val="center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Stanley Scherrer de Castro Leite</w:t>
      </w:r>
    </w:p>
    <w:p>
      <w:pPr>
        <w:jc w:val="center"/>
      </w:pPr>
      <w:r>
        <w:rPr>
          <w:lang w:val="pt-BR"/>
          <w:rFonts w:ascii="Times New Roman" w:hAnsi="Times New Roman" w:cs="Times New Roman" w:eastAsia="Times New Roman"/>
          <w:sz w:val="20"/>
          <w:szCs w:val="20"/>
        </w:rPr>
        <w:t>Diretor da DICETI</w:t>
      </w:r>
    </w:p>
    <w:sectPr w:rsidR="003E25F4" w:rsidSect="00FC3028">
      <w:pgSz w:w="11906" w:h="16838"/>
      <w:pgMar w:top="0" w:right="1200" w:bottom="1440" w:left="1800" w:header="708" w:footer="708" w:gutter="0"/>
      <w:cols w:space="708"/>
      <w:docGrid w:linePitch="360"/>
      <w:headerReference w:type="even" r:id="R2eb580ccca6a47dc"/>
      <w:headerReference w:type="first" r:id="Rc9afa769fc8f47fd"/>
      <w:headerReference w:type="default" r:id="Rf2797cd884b542d9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TableGrid"/>
      <w:tblW w:w="5000" w:type="auto"/>
      <w:tblLook w:val="04A0"/>
      <w:jc w:val="center"/>
      <w:tblBorders>
        <w:top w:val="single" w:sz="2" w:space="0" w:color="FFFFFF"/>
        <w:bottom w:val="single" w:sz="2" w:space="0" w:color="FFFFFF"/>
        <w:left w:val="single" w:sz="2" w:space="0" w:color="FFFFFF"/>
        <w:right w:val="single" w:sz="2" w:space="0" w:color="FFFFFF"/>
        <w:insideH w:val="single" w:sz="2" w:space="0" w:color="FFFFFF"/>
        <w:insideV w:val="single" w:sz="2" w:space="0" w:color="FFFFFF"/>
      </w:tblBorders>
    </w:tblPr>
    <w:tblGrid>
      <w:gridCol w:w="2310"/>
      <w:gridCol w:w="2310"/>
      <w:gridCol w:w="2310"/>
    </w:tblGrid>
    <w:tr>
      <w:tc>
        <w:tcPr>
          <w:tcW w:w="1200" w:type="dxa"/>
          <w:vMerge w:val="restart"/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33333" cy="514286"/>
                <wp:effectExtent l="0" t="0" r="0" b="0"/>
                <wp:wrapNone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a37faaa75fb14d5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333" cy="514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7800" w:type="dxa"/>
          <w:vAlign w:val="center"/>
        </w:tcPr>
        <w:p>
          <w:pPr>
            <w:jc w:val="center"/>
          </w:pPr>
          <w:r>
            <w:rPr>
              <w:b/>
              <w:rFonts w:ascii="Times New Roman" w:hAnsi="Times New Roman" w:cs="Times New Roman" w:eastAsia="Times New Roman"/>
              <w:lang w:val="pt-BR"/>
              <w:sz w:val="24"/>
              <w:szCs w:val="24"/>
            </w:rPr>
            <w:t xml:space="preserve">TRIBUNAL DE CONTAS DO ESTADO DO AMAZONAS    </w:t>
          </w:r>
        </w:p>
      </w:tc>
      <w:tc>
        <w:tcPr>
          <w:tcW w:w="1200" w:type="dxa"/>
          <w:vMerge w:val="restart"/>
        </w:tcPr>
        <w:p>
          <w:pPr>
            <w:jc w:val="right"/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465513" cy="465513"/>
                <wp:effectExtent l="0" t="0" r="0" b="0"/>
                <wp:wrapNone/>
                <wp:docPr id="2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16d45e57084242dd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5513" cy="4655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  <w:tr>
      <w:tc>
        <w:tcPr>
          <w:tcW w:w="1200" w:type="dxa"/>
          <w:vMerge/>
        </w:tcPr>
        <w:p>
          <w:pPr/>
        </w:p>
      </w:tc>
      <w:tc>
        <w:tcPr>
          <w:tcW w:w="7800" w:type="dxa"/>
          <w:vAlign w:val="center"/>
        </w:tcPr>
        <w:p>
          <w:pPr>
            <w:jc w:val="center"/>
          </w:pPr>
          <w:r>
            <w:rPr>
              <w:b/>
              <w:rFonts w:ascii="Times New Roman" w:hAnsi="Times New Roman" w:cs="Times New Roman" w:eastAsia="Times New Roman"/>
              <w:lang w:val="pt-BR"/>
              <w:sz w:val="24"/>
              <w:szCs w:val="24"/>
            </w:rPr>
            <w:t xml:space="preserve">Secretaria Geral de Controle Externo    </w:t>
          </w:r>
        </w:p>
      </w:tc>
      <w:tc>
        <w:tcPr>
          <w:tcW w:w="1200" w:type="dxa"/>
          <w:vMerge/>
        </w:tcPr>
        <w:p>
          <w:pPr/>
        </w:p>
      </w:tc>
    </w:tr>
    <w:tr>
      <w:tc>
        <w:tcPr>
          <w:tcW w:w="1200" w:type="dxa"/>
          <w:vMerge/>
        </w:tcPr>
        <w:p>
          <w:pPr/>
        </w:p>
      </w:tc>
      <w:tc>
        <w:tcPr>
          <w:tcW w:w="7800" w:type="dxa"/>
          <w:vAlign w:val="center"/>
        </w:tcPr>
        <w:p>
          <w:pPr>
            <w:jc w:val="right"/>
          </w:pPr>
          <w:r>
            <w:rPr>
              <w:b/>
              <w:rFonts w:ascii="Times New Roman" w:hAnsi="Times New Roman" w:cs="Times New Roman" w:eastAsia="Times New Roman"/>
              <w:lang w:val="pt-BR"/>
              <w:sz w:val="24"/>
              <w:szCs w:val="24"/>
            </w:rPr>
            <w:t xml:space="preserve">Diretoria de Controle Externo de Tecnologia da Informação    </w:t>
          </w:r>
        </w:p>
      </w:tc>
      <w:tc>
        <w:tcPr>
          <w:tcW w:w="1200" w:type="dxa"/>
          <w:vMerge/>
        </w:tcPr>
        <w:p>
          <w:pPr/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7fc797aa7864589" /><Relationship Type="http://schemas.openxmlformats.org/officeDocument/2006/relationships/numbering" Target="/word/numbering.xml" Id="R974fd199b81a475e" /><Relationship Type="http://schemas.openxmlformats.org/officeDocument/2006/relationships/settings" Target="/word/settings.xml" Id="Rfd6b6aa8c34a410f" /><Relationship Type="http://schemas.openxmlformats.org/officeDocument/2006/relationships/header" Target="/word/header1.xml" Id="R2eb580ccca6a47dc" /><Relationship Type="http://schemas.openxmlformats.org/officeDocument/2006/relationships/header" Target="/word/header2.xml" Id="Rc9afa769fc8f47fd" /><Relationship Type="http://schemas.openxmlformats.org/officeDocument/2006/relationships/header" Target="/word/header3.xml" Id="Rf2797cd884b542d9" /><Relationship Type="http://schemas.openxmlformats.org/officeDocument/2006/relationships/image" Target="/word/media/c0c1441a-630d-4318-830b-64698b57c7f2.png" Id="R26229121d1664cdd" /><Relationship Type="http://schemas.openxmlformats.org/officeDocument/2006/relationships/image" Target="/word/media/e7d58f0e-6df9-45d4-b199-6f73dc3a16bb.jpg" Id="Rd7f8407fc62a47eb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c0c1441a-630d-4318-830b-64698b57c7f2.png" Id="Ra37faaa75fb14d58" /><Relationship Type="http://schemas.openxmlformats.org/officeDocument/2006/relationships/image" Target="/word/media/e7d58f0e-6df9-45d4-b199-6f73dc3a16bb.jpg" Id="R16d45e57084242dd" /></Relationships>
</file>