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8adeaf0596452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8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Órgão</w:t>
            </w:r>
          </w:p>
        </w:tc>
        <w:tc>
          <w:tcPr>
            <w:tcW w:w="7400" w:type="dxa"/>
          </w:tcPr>
          <w:p>
            <w:pPr/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Prefeitura Municipal de Amaturá</w:t>
            </w:r>
          </w:p>
        </w:tc>
      </w:tr>
      <w:tr>
        <w:tc>
          <w:tcPr>
            <w:tcW w:w="8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Responsável</w:t>
            </w:r>
          </w:p>
        </w:tc>
        <w:tc>
          <w:tcPr>
            <w:tcW w:w="7400" w:type="dxa"/>
          </w:tcPr>
          <w:p>
            <w:pPr/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José Augusto Barrozo Eufrasio</w:t>
            </w:r>
          </w:p>
        </w:tc>
      </w:tr>
      <w:tr>
        <w:tc>
          <w:tcPr>
            <w:tcW w:w="8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Assunto</w:t>
            </w:r>
          </w:p>
        </w:tc>
        <w:tc>
          <w:tcPr>
            <w:tcW w:w="7400" w:type="dxa"/>
          </w:tcPr>
          <w:p>
            <w:pPr/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Portal da Transparência</w:t>
            </w:r>
          </w:p>
        </w:tc>
      </w:tr>
    </w:tbl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b/>
          <w:sz w:val="32"/>
          <w:szCs w:val="32"/>
        </w:rPr>
        <w:t>Relatório nº qqqqqq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INTRODUÇÃO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 exigência de transparência no serviço público brasileiro tem como base o princípio da publicidade elencado no art. 37 da Constituição Federal de 1988 e vem tecendo sua rede normativa desde então. A Lei Complementar 101/2000, que estabelece normas de finanças públicas voltadas para a responsabilidade na gestão fiscal, já estabelece no § 1º. do art. 1º, que a responsabilidade na gestão fiscal pressupõe a ação planejada e transparente. A Lei Complementar 131/2009, determina a disponibilização, em tempo real, de informações pormenorizadas sobre a execução orçamentária e financeira dos entes da federação.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Assim sendo, tempo real, pressupõe-se, dentro do atual estado da arte, sítio eletrônico ou portal de transparência. Desta forma, a Lei 12.527/2011 regulamenta o acesso a informações previsto no inciso XXXIII do art. 5º , no inciso II do § 3º do art. 37 e no § 2º do art. 216 da Constituição Federal e por conseguinte, também regula a instituição de Portal da Transparência dos Órgãos Públicos.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Entretanto, para assegurar o acesso à informação por parte do cidadão e da sociedade é importante investigar a aderência e adequação desses portais eletrônicos a luz da legislação aplicável.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Desta forma, espera-se que a presente inspeção atinja o objetivo de melhorar os controles, tanto internos como externos, bem como contribuir para a observância do princípio da Transparência nos Portais da Administração Pública Estadual e Municipal. 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METODOLOGIA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O presente é gerado de forma automatizada por sistema informatizado desenvolvido no próprio âmbito da DICETI, baseado na cartilha “Escala Brasil Transparente” da Controladoria Geral da União – CGU, com adaptações.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Abordamos nesse relatório os itens abaixo, classificando-os como cumpridos ou não cumpridos, aos quais se atribui uma nota conforme a gravidade:</w:t>
      </w:r>
    </w:p>
    <w:tbl>
      <w:tblPr>
        <w:tblStyle w:val="TableGrid"/>
        <w:tblW w:w="5000" w:type="auto"/>
        <w:tblLook w:val="04A0"/>
        <w:tblBorders>
          <w:top w:val="single" w:sz="2" w:space="0" w:color="FFFFFF"/>
          <w:bottom w:val="single" w:sz="2" w:space="0" w:color="FFFFFF"/>
          <w:left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jc w:val="center"/>
      </w:tblPr>
      <w:tblGrid>
        <w:gridCol w:w="2310"/>
        <w:gridCol w:w="2310"/>
        <w:gridCol w:w="2310"/>
      </w:tblGrid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Estrutura Organizacional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Estrutura Organizacional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Endereço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Telefone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Horário de atendimento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Receitas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Previsão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100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Arrecadação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150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Classificação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Empenhos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Número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Data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Favorecido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Descrição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Consulta de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300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Gerar Relatório da Consulta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100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Licitação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Número/Ano do Edital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Modalidade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Objeto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Situação/Status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Consulta por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Conteúdo Integral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Contratos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Número/Ano do Contrato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Objeto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Favorecido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Vigência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Licitação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Consulta por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Gerar Relatório da Consulta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Conteudo Integral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Obras Públicas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Objeto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 Total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Contratada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Início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Término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 Pago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Situação/Status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Pessoal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Nome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Cargo/Função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Remuneração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Diárias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Beneficiário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Período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Destino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Motivo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Estatística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Pedidos Recebidos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Atendidos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Percentual de atendimento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Outros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Disponibilizar Base de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Formatos XLS ou XLSX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 PDF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 CSV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 TXT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Informação sobre a LAI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Sítio Fácil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Total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810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Percentual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14,65%</w:t>
            </w:r>
          </w:p>
        </w:tc>
      </w:tr>
    </w:tbl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Os itens marcados com valor de 300 pontos são essenciais e indispensáveis, de maneira que sua ausência no portal da transparência será considerado grave, não sendo compensado por outros itens de menor pontuação.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ANÁLISE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Na análise do portal da Transparência conforme critérios acima, a Prefeitura Municipal de Amaturá, obteve 810 pontos, equivalente a 14,65%. Assim sendo, consideramos que a Prefeitura Municipal de Amaturá não está respeitando a Legislação de Acesso à Informação. 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CONCLUSÃO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Assim sendo, sugerimos ao Nobre Secretário Geral de Controle Externo solicitar abertura de processo de REPRESENTAÇÃO nos termos do art. 208 da Resolução TCE nº 04/2002, contra a Prefeitura Municipal de Amaturá, na pessoa do Sr. José Augusto Barrozo Eufrasio, Prefeito Municipal, para a devida apuração dos fatos e atendimento aos princípios do contraditório e da ampla defesa, com fulcro no receio de lesão ao erário, nos termos do inciso VIII do art. 10 da Lei 8.429/1992.</w:t>
      </w:r>
    </w:p>
    <w:p>
      <w:pPr/>
    </w:p>
    <w:p>
      <w:pPr/>
    </w:p>
    <w:p>
      <w:pPr/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É o Relatório.</w:t>
      </w:r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DIRETORIA DE CONTROLE EXTERNO DE TECNOLOGIA DA INFORMAÇÃO DO TRIBUNAL DE CONTAS DO ESTADO DO AMAZONAS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em Manaus, 20 de março de 2021.</w:t>
      </w:r>
    </w:p>
    <w:p>
      <w:pPr/>
    </w:p>
    <w:p>
      <w:pPr/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Antônio José Inácio de Souza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Auditor Técnico de Controle Externo</w:t>
      </w:r>
    </w:p>
    <w:p>
      <w:pPr/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Stanley Scherrer de Castro Leite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Diretor da DICETI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6e77f8c764b64aa5"/>
      <w:headerReference w:type="first" r:id="Rabd55f3e94a34d8b"/>
      <w:headerReference w:type="default" r:id="Rfb685839ecf5488c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f189d6452c440e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a50e2c039344e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right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Diretoria de Controle Externo de Tecnologia da Informação    </w:t>
          </w:r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e6752376d54839" /><Relationship Type="http://schemas.openxmlformats.org/officeDocument/2006/relationships/numbering" Target="/word/numbering.xml" Id="Rc3e03ffaf40b4951" /><Relationship Type="http://schemas.openxmlformats.org/officeDocument/2006/relationships/settings" Target="/word/settings.xml" Id="Rf003b6b6dc5d424b" /><Relationship Type="http://schemas.openxmlformats.org/officeDocument/2006/relationships/header" Target="/word/header1.xml" Id="R6e77f8c764b64aa5" /><Relationship Type="http://schemas.openxmlformats.org/officeDocument/2006/relationships/header" Target="/word/header2.xml" Id="Rabd55f3e94a34d8b" /><Relationship Type="http://schemas.openxmlformats.org/officeDocument/2006/relationships/header" Target="/word/header3.xml" Id="Rfb685839ecf5488c" /><Relationship Type="http://schemas.openxmlformats.org/officeDocument/2006/relationships/image" Target="/word/media/4345540f-dcb6-4b64-a729-184fc5b6bdb5.png" Id="R2eaebae41c064078" /><Relationship Type="http://schemas.openxmlformats.org/officeDocument/2006/relationships/image" Target="/word/media/e1ad96f9-e3eb-44cc-9a83-6196add6b704.jpg" Id="R181fdca2d9af4807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4345540f-dcb6-4b64-a729-184fc5b6bdb5.png" Id="Rff189d6452c440e7" /><Relationship Type="http://schemas.openxmlformats.org/officeDocument/2006/relationships/image" Target="/word/media/e1ad96f9-e3eb-44cc-9a83-6196add6b704.jpg" Id="R2a50e2c039344e04" /></Relationships>
</file>