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ind w:right="-107" w:firstLine="0" w:firstLineChars="0"/>
        <w:jc w:val="left"/>
        <w:rPr>
          <w:rStyle w:val="59"/>
          <w:rFonts w:hint="eastAsia"/>
        </w:rPr>
      </w:pPr>
    </w:p>
    <w:p>
      <w:pPr>
        <w:pStyle w:val="33"/>
        <w:spacing w:before="312" w:after="312"/>
        <w:ind w:firstLine="904"/>
        <w:rPr>
          <w:rStyle w:val="59"/>
        </w:rPr>
      </w:pPr>
      <w:r>
        <w:rPr>
          <w:rStyle w:val="59"/>
          <w:rFonts w:hint="eastAsia"/>
        </w:rPr>
        <w:t>预售款监管系统</w:t>
      </w:r>
    </w:p>
    <w:p>
      <w:pPr>
        <w:pStyle w:val="33"/>
        <w:spacing w:before="312" w:after="312"/>
        <w:ind w:firstLine="904"/>
        <w:rPr>
          <w:rStyle w:val="59"/>
        </w:rPr>
      </w:pPr>
      <w:r>
        <w:rPr>
          <w:rStyle w:val="59"/>
          <w:rFonts w:hint="eastAsia"/>
        </w:rPr>
        <w:t>监管银行接口说明书</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550"/>
        </w:tabs>
        <w:spacing w:before="156" w:after="156"/>
        <w:ind w:right="-107" w:firstLine="0" w:firstLineChars="0"/>
        <w:rPr>
          <w:b/>
          <w:bCs/>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b/>
          <w:bCs/>
        </w:rPr>
        <w:tab/>
      </w:r>
    </w:p>
    <w:p>
      <w:pPr>
        <w:spacing w:before="156" w:after="156"/>
        <w:ind w:right="-107" w:firstLine="0" w:firstLineChars="0"/>
      </w:pPr>
    </w:p>
    <w:p>
      <w:pPr>
        <w:spacing w:before="156" w:after="156"/>
        <w:ind w:right="-107" w:firstLine="0" w:firstLineChars="0"/>
      </w:pPr>
    </w:p>
    <w:p>
      <w:pPr>
        <w:spacing w:before="156" w:after="156"/>
        <w:ind w:right="-107" w:firstLine="0" w:firstLineChars="0"/>
      </w:pPr>
    </w:p>
    <w:p>
      <w:pPr>
        <w:pStyle w:val="33"/>
        <w:spacing w:before="312" w:after="312"/>
      </w:pPr>
      <w:r>
        <w:rPr>
          <w:rFonts w:hint="eastAsia"/>
        </w:rPr>
        <w:t>版本 ：V5.</w:t>
      </w:r>
      <w:r>
        <w:t>1</w:t>
      </w:r>
    </w:p>
    <w:p>
      <w:pPr>
        <w:spacing w:before="156" w:after="156"/>
        <w:ind w:right="-107" w:firstLine="0" w:firstLineChars="0"/>
      </w:pPr>
    </w:p>
    <w:p>
      <w:pPr>
        <w:spacing w:before="156" w:after="156"/>
        <w:ind w:right="-107" w:firstLine="0" w:firstLineChars="0"/>
      </w:pPr>
    </w:p>
    <w:p>
      <w:pPr>
        <w:spacing w:before="156" w:after="156"/>
        <w:ind w:right="-107" w:firstLine="0" w:firstLineChars="0"/>
      </w:pPr>
    </w:p>
    <w:p>
      <w:pPr>
        <w:spacing w:before="156" w:after="156"/>
        <w:ind w:right="-107" w:firstLine="0" w:firstLineChars="0"/>
      </w:pPr>
    </w:p>
    <w:p>
      <w:pPr>
        <w:spacing w:before="156" w:after="156"/>
        <w:ind w:right="-107" w:firstLine="0" w:firstLineChars="0"/>
      </w:pPr>
    </w:p>
    <w:p>
      <w:pPr>
        <w:spacing w:before="156" w:after="156"/>
        <w:ind w:right="-107" w:firstLine="0" w:firstLineChars="0"/>
      </w:pPr>
    </w:p>
    <w:p>
      <w:pPr>
        <w:pStyle w:val="34"/>
      </w:pPr>
    </w:p>
    <w:p>
      <w:pPr>
        <w:pStyle w:val="34"/>
      </w:pPr>
    </w:p>
    <w:p>
      <w:pPr>
        <w:pStyle w:val="34"/>
      </w:pPr>
    </w:p>
    <w:p>
      <w:pPr>
        <w:pStyle w:val="34"/>
      </w:pPr>
    </w:p>
    <w:p>
      <w:pPr>
        <w:pStyle w:val="34"/>
      </w:pPr>
      <w:r>
        <w:br w:type="page"/>
      </w:r>
      <w:r>
        <w:rPr>
          <w:rFonts w:hint="eastAsia"/>
          <w:sz w:val="24"/>
        </w:rPr>
        <w:t>文档属性</w:t>
      </w:r>
    </w:p>
    <w:tbl>
      <w:tblPr>
        <w:tblStyle w:val="27"/>
        <w:tblW w:w="8522" w:type="dxa"/>
        <w:tblInd w:w="0" w:type="dxa"/>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
      <w:tblGrid>
        <w:gridCol w:w="2628"/>
        <w:gridCol w:w="5894"/>
      </w:tblGrid>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tcBorders>
              <w:top w:val="single" w:color="808000" w:sz="12" w:space="0"/>
              <w:bottom w:val="single" w:color="808000" w:sz="6" w:space="0"/>
            </w:tcBorders>
            <w:shd w:val="pct10" w:color="auto" w:fill="auto"/>
            <w:noWrap w:val="0"/>
            <w:vAlign w:val="top"/>
          </w:tcPr>
          <w:p>
            <w:pPr>
              <w:pStyle w:val="47"/>
              <w:rPr>
                <w:color w:val="auto"/>
                <w:sz w:val="21"/>
              </w:rPr>
            </w:pPr>
            <w:r>
              <w:rPr>
                <w:rFonts w:hint="eastAsia"/>
                <w:color w:val="auto"/>
                <w:sz w:val="21"/>
              </w:rPr>
              <w:t>属性</w:t>
            </w:r>
          </w:p>
        </w:tc>
        <w:tc>
          <w:tcPr>
            <w:tcW w:w="5894" w:type="dxa"/>
            <w:tcBorders>
              <w:top w:val="single" w:color="808000" w:sz="12" w:space="0"/>
              <w:bottom w:val="single" w:color="808000" w:sz="6" w:space="0"/>
            </w:tcBorders>
            <w:shd w:val="pct10" w:color="auto" w:fill="auto"/>
            <w:noWrap w:val="0"/>
            <w:vAlign w:val="top"/>
          </w:tcPr>
          <w:p>
            <w:pPr>
              <w:pStyle w:val="47"/>
              <w:rPr>
                <w:color w:val="auto"/>
                <w:sz w:val="21"/>
              </w:rPr>
            </w:pPr>
            <w:r>
              <w:rPr>
                <w:rFonts w:hint="eastAsia"/>
                <w:color w:val="auto"/>
                <w:sz w:val="21"/>
              </w:rPr>
              <w:t>内容</w:t>
            </w: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rPr>
          <w:trHeight w:val="309" w:hRule="atLeast"/>
        </w:trPr>
        <w:tc>
          <w:tcPr>
            <w:tcW w:w="2628" w:type="dxa"/>
            <w:noWrap w:val="0"/>
            <w:vAlign w:val="center"/>
          </w:tcPr>
          <w:p>
            <w:pPr>
              <w:pStyle w:val="38"/>
            </w:pPr>
            <w:r>
              <w:rPr>
                <w:rFonts w:hint="eastAsia"/>
              </w:rPr>
              <w:t>项目名称：</w:t>
            </w:r>
          </w:p>
        </w:tc>
        <w:tc>
          <w:tcPr>
            <w:tcW w:w="5894" w:type="dxa"/>
            <w:noWrap w:val="0"/>
            <w:vAlign w:val="center"/>
          </w:tcPr>
          <w:p>
            <w:pPr>
              <w:pStyle w:val="38"/>
            </w:pPr>
            <w:r>
              <w:rPr>
                <w:rFonts w:hint="eastAsia" w:ascii="宋体" w:hAnsi="宋体"/>
              </w:rPr>
              <w:t>预售商品房资金监管系统</w:t>
            </w: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rPr>
          <w:trHeight w:val="65" w:hRule="atLeast"/>
        </w:trPr>
        <w:tc>
          <w:tcPr>
            <w:tcW w:w="2628" w:type="dxa"/>
            <w:noWrap w:val="0"/>
            <w:vAlign w:val="center"/>
          </w:tcPr>
          <w:p>
            <w:pPr>
              <w:pStyle w:val="38"/>
            </w:pPr>
            <w:r>
              <w:rPr>
                <w:rFonts w:hint="eastAsia"/>
              </w:rPr>
              <w:t>项目编号：</w:t>
            </w:r>
          </w:p>
        </w:tc>
        <w:tc>
          <w:tcPr>
            <w:tcW w:w="5894" w:type="dxa"/>
            <w:noWrap w:val="0"/>
            <w:vAlign w:val="center"/>
          </w:tcPr>
          <w:p>
            <w:pPr>
              <w:pStyle w:val="38"/>
            </w:pP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noWrap w:val="0"/>
            <w:vAlign w:val="center"/>
          </w:tcPr>
          <w:p>
            <w:pPr>
              <w:pStyle w:val="38"/>
            </w:pPr>
            <w:r>
              <w:rPr>
                <w:rFonts w:hint="eastAsia"/>
              </w:rPr>
              <w:t>文档主标题：</w:t>
            </w:r>
          </w:p>
        </w:tc>
        <w:tc>
          <w:tcPr>
            <w:tcW w:w="5894" w:type="dxa"/>
            <w:noWrap w:val="0"/>
            <w:vAlign w:val="center"/>
          </w:tcPr>
          <w:p>
            <w:pPr>
              <w:pStyle w:val="38"/>
            </w:pPr>
            <w:r>
              <w:rPr>
                <w:rFonts w:hint="eastAsia"/>
              </w:rPr>
              <w:t>监管银行接口说明书</w:t>
            </w: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noWrap w:val="0"/>
            <w:vAlign w:val="center"/>
          </w:tcPr>
          <w:p>
            <w:pPr>
              <w:pStyle w:val="38"/>
            </w:pPr>
            <w:r>
              <w:rPr>
                <w:rFonts w:hint="eastAsia"/>
              </w:rPr>
              <w:t>文档版本号：</w:t>
            </w:r>
          </w:p>
        </w:tc>
        <w:tc>
          <w:tcPr>
            <w:tcW w:w="5894" w:type="dxa"/>
            <w:noWrap w:val="0"/>
            <w:vAlign w:val="center"/>
          </w:tcPr>
          <w:p>
            <w:pPr>
              <w:pStyle w:val="38"/>
            </w:pPr>
            <w:r>
              <w:rPr>
                <w:rFonts w:hint="eastAsia"/>
              </w:rPr>
              <w:t>5.</w:t>
            </w:r>
            <w:r>
              <w:t>1</w:t>
            </w: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noWrap w:val="0"/>
            <w:vAlign w:val="center"/>
          </w:tcPr>
          <w:p>
            <w:pPr>
              <w:pStyle w:val="38"/>
            </w:pPr>
            <w:r>
              <w:rPr>
                <w:rFonts w:hint="eastAsia"/>
              </w:rPr>
              <w:t>版本日期：</w:t>
            </w:r>
          </w:p>
        </w:tc>
        <w:tc>
          <w:tcPr>
            <w:tcW w:w="5894" w:type="dxa"/>
            <w:noWrap w:val="0"/>
            <w:vAlign w:val="center"/>
          </w:tcPr>
          <w:p>
            <w:pPr>
              <w:pStyle w:val="38"/>
            </w:pPr>
            <w:r>
              <w:rPr>
                <w:rFonts w:hint="eastAsia"/>
              </w:rPr>
              <w:t>2018年</w:t>
            </w:r>
            <w:r>
              <w:t>3</w:t>
            </w:r>
            <w:r>
              <w:rPr>
                <w:rFonts w:hint="eastAsia"/>
              </w:rPr>
              <w:t>月12日</w:t>
            </w: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noWrap w:val="0"/>
            <w:vAlign w:val="center"/>
          </w:tcPr>
          <w:p>
            <w:pPr>
              <w:pStyle w:val="38"/>
            </w:pPr>
            <w:r>
              <w:rPr>
                <w:rFonts w:hint="eastAsia"/>
              </w:rPr>
              <w:t>文档状态：</w:t>
            </w:r>
          </w:p>
        </w:tc>
        <w:tc>
          <w:tcPr>
            <w:tcW w:w="5894" w:type="dxa"/>
            <w:noWrap w:val="0"/>
            <w:vAlign w:val="center"/>
          </w:tcPr>
          <w:p>
            <w:pPr>
              <w:pStyle w:val="38"/>
            </w:pPr>
          </w:p>
        </w:tc>
      </w:tr>
      <w:tr>
        <w:tblPrEx>
          <w:tblBorders>
            <w:top w:val="single" w:color="808000" w:sz="12" w:space="0"/>
            <w:left w:val="single" w:color="808000" w:sz="12" w:space="0"/>
            <w:bottom w:val="single" w:color="808000" w:sz="12" w:space="0"/>
            <w:right w:val="single" w:color="808000" w:sz="12" w:space="0"/>
            <w:insideH w:val="single" w:color="808000" w:sz="6" w:space="0"/>
            <w:insideV w:val="single" w:color="808000" w:sz="6" w:space="0"/>
          </w:tblBorders>
          <w:tblLayout w:type="fixed"/>
          <w:tblCellMar>
            <w:top w:w="0" w:type="dxa"/>
            <w:left w:w="108" w:type="dxa"/>
            <w:bottom w:w="0" w:type="dxa"/>
            <w:right w:w="108" w:type="dxa"/>
          </w:tblCellMar>
        </w:tblPrEx>
        <w:tc>
          <w:tcPr>
            <w:tcW w:w="2628" w:type="dxa"/>
            <w:noWrap w:val="0"/>
            <w:vAlign w:val="center"/>
          </w:tcPr>
          <w:p>
            <w:pPr>
              <w:pStyle w:val="38"/>
            </w:pPr>
            <w:r>
              <w:rPr>
                <w:rFonts w:hint="eastAsia"/>
              </w:rPr>
              <w:t>作者：</w:t>
            </w:r>
          </w:p>
        </w:tc>
        <w:tc>
          <w:tcPr>
            <w:tcW w:w="5894" w:type="dxa"/>
            <w:noWrap w:val="0"/>
            <w:vAlign w:val="center"/>
          </w:tcPr>
          <w:p>
            <w:pPr>
              <w:pStyle w:val="38"/>
            </w:pPr>
            <w:r>
              <w:rPr>
                <w:rFonts w:hint="eastAsia"/>
              </w:rPr>
              <w:t>项目组</w:t>
            </w:r>
          </w:p>
        </w:tc>
      </w:tr>
    </w:tbl>
    <w:p>
      <w:pPr>
        <w:pStyle w:val="34"/>
        <w:rPr>
          <w:rFonts w:hint="eastAsia"/>
        </w:rPr>
      </w:pPr>
      <w:r>
        <w:br w:type="page"/>
      </w:r>
      <w:r>
        <w:rPr>
          <w:rFonts w:hint="eastAsia"/>
        </w:rPr>
        <w:t>目录</w:t>
      </w:r>
    </w:p>
    <w:p>
      <w:pPr>
        <w:pStyle w:val="43"/>
        <w:ind w:left="420"/>
      </w:pPr>
      <w:r>
        <w:rPr>
          <w:lang w:val="zh-CN"/>
        </w:rPr>
        <w:t>目录</w:t>
      </w:r>
    </w:p>
    <w:p>
      <w:pPr>
        <w:pStyle w:val="20"/>
        <w:tabs>
          <w:tab w:val="left" w:pos="1470"/>
        </w:tabs>
        <w:rPr>
          <w:rFonts w:ascii="Calibri" w:hAnsi="Calibri"/>
          <w:b w:val="0"/>
          <w:bCs w:val="0"/>
          <w:caps w:val="0"/>
          <w:szCs w:val="22"/>
        </w:rPr>
      </w:pPr>
      <w:r>
        <w:fldChar w:fldCharType="begin"/>
      </w:r>
      <w:r>
        <w:instrText xml:space="preserve"> TOC \o "1-3" \h \z \u </w:instrText>
      </w:r>
      <w:r>
        <w:fldChar w:fldCharType="separate"/>
      </w:r>
      <w:r>
        <w:rPr>
          <w:rStyle w:val="31"/>
        </w:rPr>
        <w:fldChar w:fldCharType="begin"/>
      </w:r>
      <w:r>
        <w:rPr>
          <w:rStyle w:val="31"/>
        </w:rPr>
        <w:instrText xml:space="preserve"> </w:instrText>
      </w:r>
      <w:r>
        <w:instrText xml:space="preserve">HYPERLINK \l "_Toc508624074"</w:instrText>
      </w:r>
      <w:r>
        <w:rPr>
          <w:rStyle w:val="31"/>
        </w:rPr>
        <w:instrText xml:space="preserve"> </w:instrText>
      </w:r>
      <w:r>
        <w:rPr>
          <w:rStyle w:val="31"/>
        </w:rPr>
        <w:fldChar w:fldCharType="separate"/>
      </w:r>
      <w:r>
        <w:rPr>
          <w:rStyle w:val="31"/>
          <w:rFonts w:hint="eastAsia"/>
        </w:rPr>
        <w:t>第1章</w:t>
      </w:r>
      <w:r>
        <w:rPr>
          <w:rFonts w:ascii="Calibri" w:hAnsi="Calibri"/>
          <w:b w:val="0"/>
          <w:bCs w:val="0"/>
          <w:caps w:val="0"/>
          <w:szCs w:val="22"/>
        </w:rPr>
        <w:tab/>
      </w:r>
      <w:r>
        <w:rPr>
          <w:rStyle w:val="31"/>
          <w:rFonts w:hint="eastAsia"/>
        </w:rPr>
        <w:t>总体描述</w:t>
      </w:r>
      <w:r>
        <w:tab/>
      </w:r>
      <w:r>
        <w:fldChar w:fldCharType="begin"/>
      </w:r>
      <w:r>
        <w:instrText xml:space="preserve"> PAGEREF _Toc508624074 \h </w:instrText>
      </w:r>
      <w:r>
        <w:fldChar w:fldCharType="separate"/>
      </w:r>
      <w:r>
        <w:t>6</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"_Toc508624075"</w:instrText>
      </w:r>
      <w:r>
        <w:rPr>
          <w:rStyle w:val="31"/>
        </w:rPr>
        <w:instrText xml:space="preserve"> </w:instrText>
      </w:r>
      <w:r>
        <w:rPr>
          <w:rStyle w:val="31"/>
        </w:rPr>
        <w:fldChar w:fldCharType="separate"/>
      </w:r>
      <w:r>
        <w:rPr>
          <w:rStyle w:val="31"/>
        </w:rPr>
        <w:t>1.1</w:t>
      </w:r>
      <w:r>
        <w:rPr>
          <w:rFonts w:ascii="Calibri" w:hAnsi="Calibri"/>
          <w:smallCaps w:val="0"/>
          <w:szCs w:val="22"/>
        </w:rPr>
        <w:tab/>
      </w:r>
      <w:r>
        <w:rPr>
          <w:rStyle w:val="31"/>
          <w:rFonts w:hint="eastAsia"/>
        </w:rPr>
        <w:t>前言</w:t>
      </w:r>
      <w:r>
        <w:tab/>
      </w:r>
      <w:r>
        <w:fldChar w:fldCharType="begin"/>
      </w:r>
      <w:r>
        <w:instrText xml:space="preserve"> PAGEREF _Toc508624075 \h </w:instrText>
      </w:r>
      <w:r>
        <w:fldChar w:fldCharType="separate"/>
      </w:r>
      <w:r>
        <w:t>6</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"_Toc508624076"</w:instrText>
      </w:r>
      <w:r>
        <w:rPr>
          <w:rStyle w:val="31"/>
        </w:rPr>
        <w:instrText xml:space="preserve"> </w:instrText>
      </w:r>
      <w:r>
        <w:rPr>
          <w:rStyle w:val="31"/>
        </w:rPr>
        <w:fldChar w:fldCharType="separate"/>
      </w:r>
      <w:r>
        <w:rPr>
          <w:rStyle w:val="31"/>
        </w:rPr>
        <w:t>1.2</w:t>
      </w:r>
      <w:r>
        <w:rPr>
          <w:rFonts w:ascii="Calibri" w:hAnsi="Calibri"/>
          <w:smallCaps w:val="0"/>
          <w:szCs w:val="22"/>
        </w:rPr>
        <w:tab/>
      </w:r>
      <w:r>
        <w:rPr>
          <w:rStyle w:val="31"/>
          <w:rFonts w:hint="eastAsia"/>
        </w:rPr>
        <w:t>定义</w:t>
      </w:r>
      <w:r>
        <w:tab/>
      </w:r>
      <w:r>
        <w:fldChar w:fldCharType="begin"/>
      </w:r>
      <w:r>
        <w:instrText xml:space="preserve"> PAGEREF _Toc508624076 \h </w:instrText>
      </w:r>
      <w:r>
        <w:fldChar w:fldCharType="separate"/>
      </w:r>
      <w:r>
        <w:t>6</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"_Toc508624077"</w:instrText>
      </w:r>
      <w:r>
        <w:rPr>
          <w:rStyle w:val="31"/>
        </w:rPr>
        <w:instrText xml:space="preserve"> </w:instrText>
      </w:r>
      <w:r>
        <w:rPr>
          <w:rStyle w:val="31"/>
        </w:rPr>
        <w:fldChar w:fldCharType="separate"/>
      </w:r>
      <w:r>
        <w:rPr>
          <w:rStyle w:val="31"/>
        </w:rPr>
        <w:t>1.3</w:t>
      </w:r>
      <w:r>
        <w:rPr>
          <w:rFonts w:ascii="Calibri" w:hAnsi="Calibri"/>
          <w:smallCaps w:val="0"/>
          <w:szCs w:val="22"/>
        </w:rPr>
        <w:tab/>
      </w:r>
      <w:r>
        <w:rPr>
          <w:rStyle w:val="31"/>
          <w:rFonts w:hint="eastAsia"/>
        </w:rPr>
        <w:t>基本约定</w:t>
      </w:r>
      <w:r>
        <w:tab/>
      </w:r>
      <w:r>
        <w:fldChar w:fldCharType="begin"/>
      </w:r>
      <w:r>
        <w:instrText xml:space="preserve"> PAGEREF _Toc508624077 \h </w:instrText>
      </w:r>
      <w:r>
        <w:fldChar w:fldCharType="separate"/>
      </w:r>
      <w:r>
        <w:t>6</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"_Toc508624078"</w:instrText>
      </w:r>
      <w:r>
        <w:rPr>
          <w:rStyle w:val="31"/>
        </w:rPr>
        <w:instrText xml:space="preserve"> </w:instrText>
      </w:r>
      <w:r>
        <w:rPr>
          <w:rStyle w:val="31"/>
        </w:rPr>
        <w:fldChar w:fldCharType="separate"/>
      </w:r>
      <w:r>
        <w:rPr>
          <w:rStyle w:val="31"/>
          <w:rFonts w:hint="eastAsia"/>
        </w:rPr>
        <w:t>第2章</w:t>
      </w:r>
      <w:r>
        <w:rPr>
          <w:rFonts w:ascii="Calibri" w:hAnsi="Calibri"/>
          <w:b w:val="0"/>
          <w:bCs w:val="0"/>
          <w:caps w:val="0"/>
          <w:szCs w:val="22"/>
        </w:rPr>
        <w:tab/>
      </w:r>
      <w:r>
        <w:rPr>
          <w:rStyle w:val="31"/>
          <w:rFonts w:hint="eastAsia"/>
        </w:rPr>
        <w:t>总体功能</w:t>
      </w:r>
      <w:r>
        <w:tab/>
      </w:r>
      <w:r>
        <w:fldChar w:fldCharType="begin"/>
      </w:r>
      <w:r>
        <w:instrText xml:space="preserve"> PAGEREF _Toc508624078 \h </w:instrText>
      </w:r>
      <w:r>
        <w:fldChar w:fldCharType="separate"/>
      </w:r>
      <w:r>
        <w:t>8</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"_Toc508624079"</w:instrText>
      </w:r>
      <w:r>
        <w:rPr>
          <w:rStyle w:val="31"/>
        </w:rPr>
        <w:instrText xml:space="preserve"> </w:instrText>
      </w:r>
      <w:r>
        <w:rPr>
          <w:rStyle w:val="31"/>
        </w:rPr>
        <w:fldChar w:fldCharType="separate"/>
      </w:r>
      <w:r>
        <w:rPr>
          <w:rStyle w:val="31"/>
        </w:rPr>
        <w:t>2.1</w:t>
      </w:r>
      <w:r>
        <w:rPr>
          <w:rFonts w:ascii="Calibri" w:hAnsi="Calibri"/>
          <w:smallCaps w:val="0"/>
          <w:szCs w:val="22"/>
        </w:rPr>
        <w:tab/>
      </w:r>
      <w:r>
        <w:rPr>
          <w:rStyle w:val="31"/>
          <w:rFonts w:hint="eastAsia"/>
        </w:rPr>
        <w:t>项目目标</w:t>
      </w:r>
      <w:r>
        <w:tab/>
      </w:r>
      <w:r>
        <w:fldChar w:fldCharType="begin"/>
      </w:r>
      <w:r>
        <w:instrText xml:space="preserve"> PAGEREF _Toc508624079 \h </w:instrText>
      </w:r>
      <w:r>
        <w:fldChar w:fldCharType="separate"/>
      </w:r>
      <w:r>
        <w:t>8</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"_Toc508624080"</w:instrText>
      </w:r>
      <w:r>
        <w:rPr>
          <w:rStyle w:val="31"/>
        </w:rPr>
        <w:instrText xml:space="preserve"> </w:instrText>
      </w:r>
      <w:r>
        <w:rPr>
          <w:rStyle w:val="31"/>
        </w:rPr>
        <w:fldChar w:fldCharType="separate"/>
      </w:r>
      <w:r>
        <w:rPr>
          <w:rStyle w:val="31"/>
          <w:rFonts w:hint="eastAsia"/>
        </w:rPr>
        <w:t>第3章</w:t>
      </w:r>
      <w:r>
        <w:rPr>
          <w:rFonts w:ascii="Calibri" w:hAnsi="Calibri"/>
          <w:b w:val="0"/>
          <w:bCs w:val="0"/>
          <w:caps w:val="0"/>
          <w:szCs w:val="22"/>
        </w:rPr>
        <w:tab/>
      </w:r>
      <w:r>
        <w:rPr>
          <w:rStyle w:val="31"/>
          <w:rFonts w:hint="eastAsia"/>
        </w:rPr>
        <w:t>商业银行业务流程</w:t>
      </w:r>
      <w:r>
        <w:tab/>
      </w:r>
      <w:r>
        <w:fldChar w:fldCharType="begin"/>
      </w:r>
      <w:r>
        <w:instrText xml:space="preserve"> PAGEREF _Toc508624080 \h </w:instrText>
      </w:r>
      <w:r>
        <w:fldChar w:fldCharType="separate"/>
      </w:r>
      <w:r>
        <w:t>9</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"_Toc508624081"</w:instrText>
      </w:r>
      <w:r>
        <w:rPr>
          <w:rStyle w:val="31"/>
        </w:rPr>
        <w:instrText xml:space="preserve"> </w:instrText>
      </w:r>
      <w:r>
        <w:rPr>
          <w:rStyle w:val="31"/>
        </w:rPr>
        <w:fldChar w:fldCharType="separate"/>
      </w:r>
      <w:r>
        <w:rPr>
          <w:rStyle w:val="31"/>
        </w:rPr>
        <w:t>3.1</w:t>
      </w:r>
      <w:r>
        <w:rPr>
          <w:rFonts w:ascii="Calibri" w:hAnsi="Calibri"/>
          <w:smallCaps w:val="0"/>
          <w:szCs w:val="22"/>
        </w:rPr>
        <w:tab/>
      </w:r>
      <w:r>
        <w:rPr>
          <w:rStyle w:val="31"/>
          <w:rFonts w:hint="eastAsia"/>
        </w:rPr>
        <w:t>交款流程</w:t>
      </w:r>
      <w:r>
        <w:tab/>
      </w:r>
      <w:r>
        <w:fldChar w:fldCharType="begin"/>
      </w:r>
      <w:r>
        <w:instrText xml:space="preserve"> PAGEREF _Toc508624081 \h </w:instrText>
      </w:r>
      <w:r>
        <w:fldChar w:fldCharType="separate"/>
      </w:r>
      <w:r>
        <w:t>9</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"_Toc508624082"</w:instrText>
      </w:r>
      <w:r>
        <w:rPr>
          <w:rStyle w:val="31"/>
        </w:rPr>
        <w:instrText xml:space="preserve"> </w:instrText>
      </w:r>
      <w:r>
        <w:rPr>
          <w:rStyle w:val="31"/>
        </w:rPr>
        <w:fldChar w:fldCharType="separate"/>
      </w:r>
      <w:r>
        <w:rPr>
          <w:rStyle w:val="31"/>
        </w:rPr>
        <w:t>3.2</w:t>
      </w:r>
      <w:r>
        <w:rPr>
          <w:rFonts w:ascii="Calibri" w:hAnsi="Calibri"/>
          <w:smallCaps w:val="0"/>
          <w:szCs w:val="22"/>
        </w:rPr>
        <w:tab/>
      </w:r>
      <w:r>
        <w:rPr>
          <w:rStyle w:val="31"/>
          <w:rFonts w:hint="eastAsia"/>
        </w:rPr>
        <w:t>划拨及退还流程</w:t>
      </w:r>
      <w:r>
        <w:tab/>
      </w:r>
      <w:r>
        <w:fldChar w:fldCharType="begin"/>
      </w:r>
      <w:r>
        <w:instrText xml:space="preserve"> PAGEREF _Toc508624082 \h </w:instrText>
      </w:r>
      <w:r>
        <w:fldChar w:fldCharType="separate"/>
      </w:r>
      <w:r>
        <w:t>11</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"_Toc508624083"</w:instrText>
      </w:r>
      <w:r>
        <w:rPr>
          <w:rStyle w:val="31"/>
        </w:rPr>
        <w:instrText xml:space="preserve"> </w:instrText>
      </w:r>
      <w:r>
        <w:rPr>
          <w:rStyle w:val="31"/>
        </w:rPr>
        <w:fldChar w:fldCharType="separate"/>
      </w:r>
      <w:r>
        <w:rPr>
          <w:rStyle w:val="31"/>
        </w:rPr>
        <w:t>3.3</w:t>
      </w:r>
      <w:r>
        <w:rPr>
          <w:rFonts w:ascii="Calibri" w:hAnsi="Calibri"/>
          <w:smallCaps w:val="0"/>
          <w:szCs w:val="22"/>
        </w:rPr>
        <w:tab/>
      </w:r>
      <w:r>
        <w:rPr>
          <w:rStyle w:val="31"/>
          <w:rFonts w:hint="eastAsia"/>
        </w:rPr>
        <w:t>对账</w:t>
      </w:r>
      <w:r>
        <w:tab/>
      </w:r>
      <w:r>
        <w:fldChar w:fldCharType="begin"/>
      </w:r>
      <w:r>
        <w:instrText xml:space="preserve"> PAGEREF _Toc508624083 \h </w:instrText>
      </w:r>
      <w:r>
        <w:fldChar w:fldCharType="separate"/>
      </w:r>
      <w:r>
        <w:t>12</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"_Toc508624084"</w:instrText>
      </w:r>
      <w:r>
        <w:rPr>
          <w:rStyle w:val="31"/>
        </w:rPr>
        <w:instrText xml:space="preserve"> </w:instrText>
      </w:r>
      <w:r>
        <w:rPr>
          <w:rStyle w:val="31"/>
        </w:rPr>
        <w:fldChar w:fldCharType="separate"/>
      </w:r>
      <w:r>
        <w:rPr>
          <w:rStyle w:val="31"/>
          <w:rFonts w:hint="eastAsia"/>
        </w:rPr>
        <w:t>第4章</w:t>
      </w:r>
      <w:r>
        <w:rPr>
          <w:rFonts w:ascii="Calibri" w:hAnsi="Calibri"/>
          <w:b w:val="0"/>
          <w:bCs w:val="0"/>
          <w:caps w:val="0"/>
          <w:szCs w:val="22"/>
        </w:rPr>
        <w:tab/>
      </w:r>
      <w:r>
        <w:rPr>
          <w:rStyle w:val="31"/>
          <w:rFonts w:hint="eastAsia"/>
        </w:rPr>
        <w:t>银联业务流程</w:t>
      </w:r>
      <w:r>
        <w:tab/>
      </w:r>
      <w:r>
        <w:fldChar w:fldCharType="begin"/>
      </w:r>
      <w:r>
        <w:instrText xml:space="preserve"> PAGEREF _Toc508624084 \h </w:instrText>
      </w:r>
      <w:r>
        <w:fldChar w:fldCharType="separate"/>
      </w:r>
      <w:r>
        <w:t>13</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"_Toc508624085"</w:instrText>
      </w:r>
      <w:r>
        <w:rPr>
          <w:rStyle w:val="31"/>
        </w:rPr>
        <w:instrText xml:space="preserve"> </w:instrText>
      </w:r>
      <w:r>
        <w:rPr>
          <w:rStyle w:val="31"/>
        </w:rPr>
        <w:fldChar w:fldCharType="separate"/>
      </w:r>
      <w:r>
        <w:rPr>
          <w:rStyle w:val="31"/>
        </w:rPr>
        <w:t>4.1</w:t>
      </w:r>
      <w:r>
        <w:rPr>
          <w:rFonts w:ascii="Calibri" w:hAnsi="Calibri"/>
          <w:smallCaps w:val="0"/>
          <w:szCs w:val="22"/>
        </w:rPr>
        <w:tab/>
      </w:r>
      <w:r>
        <w:rPr>
          <w:rStyle w:val="31"/>
          <w:rFonts w:hint="eastAsia"/>
        </w:rPr>
        <w:t>整体流程</w:t>
      </w:r>
      <w:r>
        <w:tab/>
      </w:r>
      <w:r>
        <w:fldChar w:fldCharType="begin"/>
      </w:r>
      <w:r>
        <w:instrText xml:space="preserve"> PAGEREF _Toc508624085 \h </w:instrText>
      </w:r>
      <w:r>
        <w:fldChar w:fldCharType="separate"/>
      </w:r>
      <w:r>
        <w:t>13</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"_Toc508624086"</w:instrText>
      </w:r>
      <w:r>
        <w:rPr>
          <w:rStyle w:val="31"/>
        </w:rPr>
        <w:instrText xml:space="preserve"> </w:instrText>
      </w:r>
      <w:r>
        <w:rPr>
          <w:rStyle w:val="31"/>
        </w:rPr>
        <w:fldChar w:fldCharType="separate"/>
      </w:r>
      <w:r>
        <w:rPr>
          <w:rStyle w:val="31"/>
        </w:rPr>
        <w:t>4.2</w:t>
      </w:r>
      <w:r>
        <w:rPr>
          <w:rFonts w:ascii="Calibri" w:hAnsi="Calibri"/>
          <w:smallCaps w:val="0"/>
          <w:szCs w:val="22"/>
        </w:rPr>
        <w:tab/>
      </w:r>
      <w:r>
        <w:rPr>
          <w:rStyle w:val="31"/>
          <w:rFonts w:hint="eastAsia"/>
        </w:rPr>
        <w:t>查询流程</w:t>
      </w:r>
      <w:r>
        <w:tab/>
      </w:r>
      <w:r>
        <w:fldChar w:fldCharType="begin"/>
      </w:r>
      <w:r>
        <w:instrText xml:space="preserve"> PAGEREF _Toc508624086 \h </w:instrText>
      </w:r>
      <w:r>
        <w:fldChar w:fldCharType="separate"/>
      </w:r>
      <w:r>
        <w:t>13</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"_Toc508624087"</w:instrText>
      </w:r>
      <w:r>
        <w:rPr>
          <w:rStyle w:val="31"/>
        </w:rPr>
        <w:instrText xml:space="preserve"> </w:instrText>
      </w:r>
      <w:r>
        <w:rPr>
          <w:rStyle w:val="31"/>
        </w:rPr>
        <w:fldChar w:fldCharType="separate"/>
      </w:r>
      <w:r>
        <w:rPr>
          <w:rStyle w:val="31"/>
        </w:rPr>
        <w:t>4.3</w:t>
      </w:r>
      <w:r>
        <w:rPr>
          <w:rFonts w:ascii="Calibri" w:hAnsi="Calibri"/>
          <w:smallCaps w:val="0"/>
          <w:szCs w:val="22"/>
        </w:rPr>
        <w:tab/>
      </w:r>
      <w:r>
        <w:rPr>
          <w:rStyle w:val="31"/>
          <w:rFonts w:hint="eastAsia"/>
        </w:rPr>
        <w:t>交费流程</w:t>
      </w:r>
      <w:r>
        <w:tab/>
      </w:r>
      <w:r>
        <w:fldChar w:fldCharType="begin"/>
      </w:r>
      <w:r>
        <w:instrText xml:space="preserve"> PAGEREF _Toc508624087 \h </w:instrText>
      </w:r>
      <w:r>
        <w:fldChar w:fldCharType="separate"/>
      </w:r>
      <w:r>
        <w:t>14</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"_Toc508624088"</w:instrText>
      </w:r>
      <w:r>
        <w:rPr>
          <w:rStyle w:val="31"/>
        </w:rPr>
        <w:instrText xml:space="preserve"> </w:instrText>
      </w:r>
      <w:r>
        <w:rPr>
          <w:rStyle w:val="31"/>
        </w:rPr>
        <w:fldChar w:fldCharType="separate"/>
      </w:r>
      <w:r>
        <w:rPr>
          <w:rStyle w:val="31"/>
        </w:rPr>
        <w:t>4.4</w:t>
      </w:r>
      <w:r>
        <w:rPr>
          <w:rFonts w:ascii="Calibri" w:hAnsi="Calibri"/>
          <w:smallCaps w:val="0"/>
          <w:szCs w:val="22"/>
        </w:rPr>
        <w:tab/>
      </w:r>
      <w:r>
        <w:rPr>
          <w:rStyle w:val="31"/>
          <w:rFonts w:hint="eastAsia"/>
        </w:rPr>
        <w:t>对账流程</w:t>
      </w:r>
      <w:r>
        <w:tab/>
      </w:r>
      <w:r>
        <w:fldChar w:fldCharType="begin"/>
      </w:r>
      <w:r>
        <w:instrText xml:space="preserve"> PAGEREF _Toc508624088 \h </w:instrText>
      </w:r>
      <w:r>
        <w:fldChar w:fldCharType="separate"/>
      </w:r>
      <w:r>
        <w:t>15</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"_Toc508624089"</w:instrText>
      </w:r>
      <w:r>
        <w:rPr>
          <w:rStyle w:val="31"/>
        </w:rPr>
        <w:instrText xml:space="preserve"> </w:instrText>
      </w:r>
      <w:r>
        <w:rPr>
          <w:rStyle w:val="31"/>
        </w:rPr>
        <w:fldChar w:fldCharType="separate"/>
      </w:r>
      <w:r>
        <w:rPr>
          <w:rStyle w:val="31"/>
          <w:rFonts w:hint="eastAsia"/>
        </w:rPr>
        <w:t>第5章</w:t>
      </w:r>
      <w:r>
        <w:rPr>
          <w:rFonts w:ascii="Calibri" w:hAnsi="Calibri"/>
          <w:b w:val="0"/>
          <w:bCs w:val="0"/>
          <w:caps w:val="0"/>
          <w:szCs w:val="22"/>
        </w:rPr>
        <w:tab/>
      </w:r>
      <w:r>
        <w:rPr>
          <w:rStyle w:val="31"/>
          <w:rFonts w:hint="eastAsia"/>
        </w:rPr>
        <w:t>商业银行接口定义</w:t>
      </w:r>
      <w:r>
        <w:tab/>
      </w:r>
      <w:r>
        <w:fldChar w:fldCharType="begin"/>
      </w:r>
      <w:r>
        <w:instrText xml:space="preserve"> PAGEREF _Toc508624089 \h </w:instrText>
      </w:r>
      <w:r>
        <w:fldChar w:fldCharType="separate"/>
      </w:r>
      <w:r>
        <w:t>16</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"_Toc508624090"</w:instrText>
      </w:r>
      <w:r>
        <w:rPr>
          <w:rStyle w:val="31"/>
        </w:rPr>
        <w:instrText xml:space="preserve"> </w:instrText>
      </w:r>
      <w:r>
        <w:rPr>
          <w:rStyle w:val="31"/>
        </w:rPr>
        <w:fldChar w:fldCharType="separate"/>
      </w:r>
      <w:r>
        <w:rPr>
          <w:rStyle w:val="31"/>
        </w:rPr>
        <w:t>5.1</w:t>
      </w:r>
      <w:r>
        <w:rPr>
          <w:rFonts w:ascii="Calibri" w:hAnsi="Calibri"/>
          <w:smallCaps w:val="0"/>
          <w:szCs w:val="22"/>
        </w:rPr>
        <w:tab/>
      </w:r>
      <w:r>
        <w:rPr>
          <w:rStyle w:val="31"/>
          <w:rFonts w:hint="eastAsia"/>
        </w:rPr>
        <w:t>监管协议</w:t>
      </w:r>
      <w:r>
        <w:tab/>
      </w:r>
      <w:r>
        <w:fldChar w:fldCharType="begin"/>
      </w:r>
      <w:r>
        <w:instrText xml:space="preserve"> PAGEREF _Toc508624090 \h </w:instrText>
      </w:r>
      <w:r>
        <w:fldChar w:fldCharType="separate"/>
      </w:r>
      <w:r>
        <w:t>16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"_Toc508624091"</w:instrText>
      </w:r>
      <w:r>
        <w:rPr>
          <w:rStyle w:val="31"/>
        </w:rPr>
        <w:instrText xml:space="preserve"> </w:instrText>
      </w:r>
      <w:r>
        <w:rPr>
          <w:rStyle w:val="31"/>
        </w:rPr>
        <w:fldChar w:fldCharType="separate"/>
      </w:r>
      <w:r>
        <w:rPr>
          <w:rStyle w:val="31"/>
        </w:rPr>
        <w:t>5.1.1</w:t>
      </w:r>
      <w:r>
        <w:rPr>
          <w:rFonts w:ascii="Calibri" w:hAnsi="Calibri"/>
          <w:i w:val="0"/>
          <w:iCs w:val="0"/>
          <w:szCs w:val="22"/>
          <w:lang w:val="en-US" w:eastAsia="zh-CN"/>
        </w:rPr>
        <w:tab/>
      </w:r>
      <w:r>
        <w:rPr>
          <w:rStyle w:val="31"/>
        </w:rPr>
        <w:t>[1003]</w:t>
      </w:r>
      <w:r>
        <w:rPr>
          <w:rStyle w:val="31"/>
          <w:rFonts w:hint="eastAsia"/>
        </w:rPr>
        <w:t>建立监管验证查询</w:t>
      </w:r>
      <w:r>
        <w:tab/>
      </w:r>
      <w:r>
        <w:fldChar w:fldCharType="begin"/>
      </w:r>
      <w:r>
        <w:instrText xml:space="preserve"> PAGEREF _Toc508624091 \h </w:instrText>
      </w:r>
      <w:r>
        <w:fldChar w:fldCharType="separate"/>
      </w:r>
      <w:r>
        <w:t>16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"_Toc508624092"</w:instrText>
      </w:r>
      <w:r>
        <w:rPr>
          <w:rStyle w:val="31"/>
        </w:rPr>
        <w:instrText xml:space="preserve"> </w:instrText>
      </w:r>
      <w:r>
        <w:rPr>
          <w:rStyle w:val="31"/>
        </w:rPr>
        <w:fldChar w:fldCharType="separate"/>
      </w:r>
      <w:r>
        <w:rPr>
          <w:rStyle w:val="31"/>
        </w:rPr>
        <w:t>5.1.2</w:t>
      </w:r>
      <w:r>
        <w:rPr>
          <w:rFonts w:ascii="Calibri" w:hAnsi="Calibri"/>
          <w:i w:val="0"/>
          <w:iCs w:val="0"/>
          <w:szCs w:val="22"/>
          <w:lang w:val="en-US" w:eastAsia="zh-CN"/>
        </w:rPr>
        <w:tab/>
      </w:r>
      <w:r>
        <w:rPr>
          <w:rStyle w:val="31"/>
        </w:rPr>
        <w:t>[1001]</w:t>
      </w:r>
      <w:r>
        <w:rPr>
          <w:rStyle w:val="31"/>
          <w:rFonts w:hint="eastAsia"/>
        </w:rPr>
        <w:t>建立监管</w:t>
      </w:r>
      <w:r>
        <w:tab/>
      </w:r>
      <w:r>
        <w:fldChar w:fldCharType="begin"/>
      </w:r>
      <w:r>
        <w:instrText xml:space="preserve"> PAGEREF _Toc508624092 \h </w:instrText>
      </w:r>
      <w:r>
        <w:fldChar w:fldCharType="separate"/>
      </w:r>
      <w:r>
        <w:t>16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"_Toc508624093"</w:instrText>
      </w:r>
      <w:r>
        <w:rPr>
          <w:rStyle w:val="31"/>
        </w:rPr>
        <w:instrText xml:space="preserve"> </w:instrText>
      </w:r>
      <w:r>
        <w:rPr>
          <w:rStyle w:val="31"/>
        </w:rPr>
        <w:fldChar w:fldCharType="separate"/>
      </w:r>
      <w:r>
        <w:rPr>
          <w:rStyle w:val="31"/>
        </w:rPr>
        <w:t>5.1.3</w:t>
      </w:r>
      <w:r>
        <w:rPr>
          <w:rFonts w:ascii="Calibri" w:hAnsi="Calibri"/>
          <w:i w:val="0"/>
          <w:iCs w:val="0"/>
          <w:szCs w:val="22"/>
          <w:lang w:val="en-US" w:eastAsia="zh-CN"/>
        </w:rPr>
        <w:tab/>
      </w:r>
      <w:r>
        <w:rPr>
          <w:rStyle w:val="31"/>
        </w:rPr>
        <w:t>[1004]</w:t>
      </w:r>
      <w:r>
        <w:rPr>
          <w:rStyle w:val="31"/>
          <w:rFonts w:hint="eastAsia"/>
        </w:rPr>
        <w:t>终止监管验证查询</w:t>
      </w:r>
      <w:r>
        <w:tab/>
      </w:r>
      <w:r>
        <w:fldChar w:fldCharType="begin"/>
      </w:r>
      <w:r>
        <w:instrText xml:space="preserve"> PAGEREF _Toc508624093 \h </w:instrText>
      </w:r>
      <w:r>
        <w:fldChar w:fldCharType="separate"/>
      </w:r>
      <w:r>
        <w:t>17</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"_Toc508624094"</w:instrText>
      </w:r>
      <w:r>
        <w:rPr>
          <w:rStyle w:val="31"/>
        </w:rPr>
        <w:instrText xml:space="preserve"> </w:instrText>
      </w:r>
      <w:r>
        <w:rPr>
          <w:rStyle w:val="31"/>
        </w:rPr>
        <w:fldChar w:fldCharType="separate"/>
      </w:r>
      <w:r>
        <w:rPr>
          <w:rStyle w:val="31"/>
        </w:rPr>
        <w:t>5.1.4</w:t>
      </w:r>
      <w:r>
        <w:rPr>
          <w:rFonts w:ascii="Calibri" w:hAnsi="Calibri"/>
          <w:i w:val="0"/>
          <w:iCs w:val="0"/>
          <w:szCs w:val="22"/>
          <w:lang w:val="en-US" w:eastAsia="zh-CN"/>
        </w:rPr>
        <w:tab/>
      </w:r>
      <w:r>
        <w:rPr>
          <w:rStyle w:val="31"/>
        </w:rPr>
        <w:t>[1002]</w:t>
      </w:r>
      <w:r>
        <w:rPr>
          <w:rStyle w:val="31"/>
          <w:rFonts w:hint="eastAsia"/>
        </w:rPr>
        <w:t>终止监管</w:t>
      </w:r>
      <w:r>
        <w:tab/>
      </w:r>
      <w:r>
        <w:fldChar w:fldCharType="begin"/>
      </w:r>
      <w:r>
        <w:instrText xml:space="preserve"> PAGEREF _Toc508624094 \h </w:instrText>
      </w:r>
      <w:r>
        <w:fldChar w:fldCharType="separate"/>
      </w:r>
      <w:r>
        <w:t>18</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"_Toc508624095"</w:instrText>
      </w:r>
      <w:r>
        <w:rPr>
          <w:rStyle w:val="31"/>
        </w:rPr>
        <w:instrText xml:space="preserve"> </w:instrText>
      </w:r>
      <w:r>
        <w:rPr>
          <w:rStyle w:val="31"/>
        </w:rPr>
        <w:fldChar w:fldCharType="separate"/>
      </w:r>
      <w:r>
        <w:rPr>
          <w:rStyle w:val="31"/>
        </w:rPr>
        <w:t>5.2</w:t>
      </w:r>
      <w:r>
        <w:rPr>
          <w:rFonts w:ascii="Calibri" w:hAnsi="Calibri"/>
          <w:smallCaps w:val="0"/>
          <w:szCs w:val="22"/>
        </w:rPr>
        <w:tab/>
      </w:r>
      <w:r>
        <w:rPr>
          <w:rStyle w:val="31"/>
          <w:rFonts w:hint="eastAsia"/>
        </w:rPr>
        <w:t>预售资金交存</w:t>
      </w:r>
      <w:r>
        <w:tab/>
      </w:r>
      <w:r>
        <w:fldChar w:fldCharType="begin"/>
      </w:r>
      <w:r>
        <w:instrText xml:space="preserve"> PAGEREF _Toc508624095 \h </w:instrText>
      </w:r>
      <w:r>
        <w:fldChar w:fldCharType="separate"/>
      </w:r>
      <w:r>
        <w:t>18</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"_Toc508624096"</w:instrText>
      </w:r>
      <w:r>
        <w:rPr>
          <w:rStyle w:val="31"/>
        </w:rPr>
        <w:instrText xml:space="preserve"> </w:instrText>
      </w:r>
      <w:r>
        <w:rPr>
          <w:rStyle w:val="31"/>
        </w:rPr>
        <w:fldChar w:fldCharType="separate"/>
      </w:r>
      <w:r>
        <w:rPr>
          <w:rStyle w:val="31"/>
        </w:rPr>
        <w:t>5.2.1</w:t>
      </w:r>
      <w:r>
        <w:rPr>
          <w:rFonts w:ascii="Calibri" w:hAnsi="Calibri"/>
          <w:i w:val="0"/>
          <w:iCs w:val="0"/>
          <w:szCs w:val="22"/>
          <w:lang w:val="en-US" w:eastAsia="zh-CN"/>
        </w:rPr>
        <w:tab/>
      </w:r>
      <w:r>
        <w:rPr>
          <w:rStyle w:val="31"/>
        </w:rPr>
        <w:t>[2021]</w:t>
      </w:r>
      <w:r>
        <w:rPr>
          <w:rStyle w:val="31"/>
          <w:rFonts w:hint="eastAsia"/>
        </w:rPr>
        <w:t>交存验证（业务申请编号）</w:t>
      </w:r>
      <w:r>
        <w:tab/>
      </w:r>
      <w:r>
        <w:fldChar w:fldCharType="begin"/>
      </w:r>
      <w:r>
        <w:instrText xml:space="preserve"> PAGEREF _Toc508624096 \h </w:instrText>
      </w:r>
      <w:r>
        <w:fldChar w:fldCharType="separate"/>
      </w:r>
      <w:r>
        <w:t>18</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"_Toc508624097"</w:instrText>
      </w:r>
      <w:r>
        <w:rPr>
          <w:rStyle w:val="31"/>
        </w:rPr>
        <w:instrText xml:space="preserve"> </w:instrText>
      </w:r>
      <w:r>
        <w:rPr>
          <w:rStyle w:val="31"/>
        </w:rPr>
        <w:fldChar w:fldCharType="separate"/>
      </w:r>
      <w:r>
        <w:rPr>
          <w:rStyle w:val="31"/>
        </w:rPr>
        <w:t>5.2.2</w:t>
      </w:r>
      <w:r>
        <w:rPr>
          <w:rFonts w:ascii="Calibri" w:hAnsi="Calibri"/>
          <w:i w:val="0"/>
          <w:iCs w:val="0"/>
          <w:szCs w:val="22"/>
          <w:lang w:val="en-US" w:eastAsia="zh-CN"/>
        </w:rPr>
        <w:tab/>
      </w:r>
      <w:r>
        <w:rPr>
          <w:rStyle w:val="31"/>
        </w:rPr>
        <w:t>[2022]</w:t>
      </w:r>
      <w:r>
        <w:rPr>
          <w:rStyle w:val="31"/>
          <w:rFonts w:hint="eastAsia"/>
        </w:rPr>
        <w:t>交存记账</w:t>
      </w:r>
      <w:r>
        <w:tab/>
      </w:r>
      <w:r>
        <w:fldChar w:fldCharType="begin"/>
      </w:r>
      <w:r>
        <w:instrText xml:space="preserve"> PAGEREF _Toc508624097 \h </w:instrText>
      </w:r>
      <w:r>
        <w:fldChar w:fldCharType="separate"/>
      </w:r>
      <w:r>
        <w:t>19</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"_Toc508624098"</w:instrText>
      </w:r>
      <w:r>
        <w:rPr>
          <w:rStyle w:val="31"/>
        </w:rPr>
        <w:instrText xml:space="preserve"> </w:instrText>
      </w:r>
      <w:r>
        <w:rPr>
          <w:rStyle w:val="31"/>
        </w:rPr>
        <w:fldChar w:fldCharType="separate"/>
      </w:r>
      <w:r>
        <w:rPr>
          <w:rStyle w:val="31"/>
        </w:rPr>
        <w:t>5.2.3</w:t>
      </w:r>
      <w:r>
        <w:rPr>
          <w:rFonts w:ascii="Calibri" w:hAnsi="Calibri"/>
          <w:i w:val="0"/>
          <w:iCs w:val="0"/>
          <w:szCs w:val="22"/>
          <w:lang w:val="en-US" w:eastAsia="zh-CN"/>
        </w:rPr>
        <w:tab/>
      </w:r>
      <w:r>
        <w:rPr>
          <w:rStyle w:val="31"/>
        </w:rPr>
        <w:t>[2023]</w:t>
      </w:r>
      <w:r>
        <w:rPr>
          <w:rStyle w:val="31"/>
          <w:rFonts w:hint="eastAsia"/>
        </w:rPr>
        <w:t>交存冲正</w:t>
      </w:r>
      <w:r>
        <w:tab/>
      </w:r>
      <w:r>
        <w:fldChar w:fldCharType="begin"/>
      </w:r>
      <w:r>
        <w:instrText xml:space="preserve"> PAGEREF _Toc508624098 \h </w:instrText>
      </w:r>
      <w:r>
        <w:fldChar w:fldCharType="separate"/>
      </w:r>
      <w:r>
        <w:t>20</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"_Toc508624099"</w:instrText>
      </w:r>
      <w:r>
        <w:rPr>
          <w:rStyle w:val="31"/>
        </w:rPr>
        <w:instrText xml:space="preserve"> </w:instrText>
      </w:r>
      <w:r>
        <w:rPr>
          <w:rStyle w:val="31"/>
        </w:rPr>
        <w:fldChar w:fldCharType="separate"/>
      </w:r>
      <w:r>
        <w:rPr>
          <w:rStyle w:val="31"/>
        </w:rPr>
        <w:t>5.3</w:t>
      </w:r>
      <w:r>
        <w:rPr>
          <w:rFonts w:ascii="Calibri" w:hAnsi="Calibri"/>
          <w:smallCaps w:val="0"/>
          <w:szCs w:val="22"/>
        </w:rPr>
        <w:tab/>
      </w:r>
      <w:r>
        <w:rPr>
          <w:rStyle w:val="31"/>
          <w:rFonts w:hint="eastAsia"/>
        </w:rPr>
        <w:t>预售资金批量交存</w:t>
      </w:r>
      <w:r>
        <w:tab/>
      </w:r>
      <w:r>
        <w:fldChar w:fldCharType="begin"/>
      </w:r>
      <w:r>
        <w:instrText xml:space="preserve"> PAGEREF _Toc508624099 \h </w:instrText>
      </w:r>
      <w:r>
        <w:fldChar w:fldCharType="separate"/>
      </w:r>
      <w:r>
        <w:t>21</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"_Toc508624100"</w:instrText>
      </w:r>
      <w:r>
        <w:rPr>
          <w:rStyle w:val="31"/>
        </w:rPr>
        <w:instrText xml:space="preserve"> </w:instrText>
      </w:r>
      <w:r>
        <w:rPr>
          <w:rStyle w:val="31"/>
        </w:rPr>
        <w:fldChar w:fldCharType="separate"/>
      </w:r>
      <w:r>
        <w:rPr>
          <w:rStyle w:val="31"/>
        </w:rPr>
        <w:t>5.3.1</w:t>
      </w:r>
      <w:r>
        <w:rPr>
          <w:rFonts w:ascii="Calibri" w:hAnsi="Calibri"/>
          <w:i w:val="0"/>
          <w:iCs w:val="0"/>
          <w:szCs w:val="22"/>
          <w:lang w:val="en-US" w:eastAsia="zh-CN"/>
        </w:rPr>
        <w:tab/>
      </w:r>
      <w:r>
        <w:rPr>
          <w:rStyle w:val="31"/>
        </w:rPr>
        <w:t>[2031]</w:t>
      </w:r>
      <w:r>
        <w:rPr>
          <w:rStyle w:val="31"/>
          <w:rFonts w:hint="eastAsia"/>
        </w:rPr>
        <w:t>批量交存验证（业务申请编号）</w:t>
      </w:r>
      <w:r>
        <w:tab/>
      </w:r>
      <w:r>
        <w:fldChar w:fldCharType="begin"/>
      </w:r>
      <w:r>
        <w:instrText xml:space="preserve"> PAGEREF _Toc508624100 \h </w:instrText>
      </w:r>
      <w:r>
        <w:fldChar w:fldCharType="separate"/>
      </w:r>
      <w:r>
        <w:t>21</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"_Toc508624101"</w:instrText>
      </w:r>
      <w:r>
        <w:rPr>
          <w:rStyle w:val="31"/>
        </w:rPr>
        <w:instrText xml:space="preserve"> </w:instrText>
      </w:r>
      <w:r>
        <w:rPr>
          <w:rStyle w:val="31"/>
        </w:rPr>
        <w:fldChar w:fldCharType="separate"/>
      </w:r>
      <w:r>
        <w:rPr>
          <w:rStyle w:val="31"/>
        </w:rPr>
        <w:t>5.3.2</w:t>
      </w:r>
      <w:r>
        <w:rPr>
          <w:rFonts w:ascii="Calibri" w:hAnsi="Calibri"/>
          <w:i w:val="0"/>
          <w:iCs w:val="0"/>
          <w:szCs w:val="22"/>
          <w:lang w:val="en-US" w:eastAsia="zh-CN"/>
        </w:rPr>
        <w:tab/>
      </w:r>
      <w:r>
        <w:rPr>
          <w:rStyle w:val="31"/>
        </w:rPr>
        <w:t>[2032]</w:t>
      </w:r>
      <w:r>
        <w:rPr>
          <w:rStyle w:val="31"/>
          <w:rFonts w:hint="eastAsia"/>
        </w:rPr>
        <w:t>批量交存记账</w:t>
      </w:r>
      <w:r>
        <w:tab/>
      </w:r>
      <w:r>
        <w:fldChar w:fldCharType="begin"/>
      </w:r>
      <w:r>
        <w:instrText xml:space="preserve"> PAGEREF _Toc508624101 \h </w:instrText>
      </w:r>
      <w:r>
        <w:fldChar w:fldCharType="separate"/>
      </w:r>
      <w:r>
        <w:t>21</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"_Toc508624102"</w:instrText>
      </w:r>
      <w:r>
        <w:rPr>
          <w:rStyle w:val="31"/>
        </w:rPr>
        <w:instrText xml:space="preserve"> </w:instrText>
      </w:r>
      <w:r>
        <w:rPr>
          <w:rStyle w:val="31"/>
        </w:rPr>
        <w:fldChar w:fldCharType="separate"/>
      </w:r>
      <w:r>
        <w:rPr>
          <w:rStyle w:val="31"/>
        </w:rPr>
        <w:t>5.3.3</w:t>
      </w:r>
      <w:r>
        <w:rPr>
          <w:rFonts w:ascii="Calibri" w:hAnsi="Calibri"/>
          <w:i w:val="0"/>
          <w:iCs w:val="0"/>
          <w:szCs w:val="22"/>
          <w:lang w:val="en-US" w:eastAsia="zh-CN"/>
        </w:rPr>
        <w:tab/>
      </w:r>
      <w:r>
        <w:rPr>
          <w:rStyle w:val="31"/>
        </w:rPr>
        <w:t>[2033]</w:t>
      </w:r>
      <w:r>
        <w:rPr>
          <w:rStyle w:val="31"/>
          <w:rFonts w:hint="eastAsia"/>
        </w:rPr>
        <w:t>批量交存冲正</w:t>
      </w:r>
      <w:r>
        <w:tab/>
      </w:r>
      <w:r>
        <w:fldChar w:fldCharType="begin"/>
      </w:r>
      <w:r>
        <w:instrText xml:space="preserve"> PAGEREF _Toc508624102 \h </w:instrText>
      </w:r>
      <w:r>
        <w:fldChar w:fldCharType="separate"/>
      </w:r>
      <w:r>
        <w:t>22</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"_Toc508624103"</w:instrText>
      </w:r>
      <w:r>
        <w:rPr>
          <w:rStyle w:val="31"/>
        </w:rPr>
        <w:instrText xml:space="preserve"> </w:instrText>
      </w:r>
      <w:r>
        <w:rPr>
          <w:rStyle w:val="31"/>
        </w:rPr>
        <w:fldChar w:fldCharType="separate"/>
      </w:r>
      <w:r>
        <w:rPr>
          <w:rStyle w:val="31"/>
        </w:rPr>
        <w:t>5.4</w:t>
      </w:r>
      <w:r>
        <w:rPr>
          <w:rFonts w:ascii="Calibri" w:hAnsi="Calibri"/>
          <w:smallCaps w:val="0"/>
          <w:szCs w:val="22"/>
        </w:rPr>
        <w:tab/>
      </w:r>
      <w:r>
        <w:rPr>
          <w:rStyle w:val="31"/>
          <w:rFonts w:hint="eastAsia"/>
        </w:rPr>
        <w:t>预售资金划拨</w:t>
      </w:r>
      <w:r>
        <w:tab/>
      </w:r>
      <w:r>
        <w:fldChar w:fldCharType="begin"/>
      </w:r>
      <w:r>
        <w:instrText xml:space="preserve"> PAGEREF _Toc508624103 \h </w:instrText>
      </w:r>
      <w:r>
        <w:fldChar w:fldCharType="separate"/>
      </w:r>
      <w:r>
        <w:t>23</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"_Toc508624104"</w:instrText>
      </w:r>
      <w:r>
        <w:rPr>
          <w:rStyle w:val="31"/>
        </w:rPr>
        <w:instrText xml:space="preserve"> </w:instrText>
      </w:r>
      <w:r>
        <w:rPr>
          <w:rStyle w:val="31"/>
        </w:rPr>
        <w:fldChar w:fldCharType="separate"/>
      </w:r>
      <w:r>
        <w:rPr>
          <w:rStyle w:val="31"/>
        </w:rPr>
        <w:t>5.4.1</w:t>
      </w:r>
      <w:r>
        <w:rPr>
          <w:rFonts w:ascii="Calibri" w:hAnsi="Calibri"/>
          <w:i w:val="0"/>
          <w:iCs w:val="0"/>
          <w:szCs w:val="22"/>
          <w:lang w:val="en-US" w:eastAsia="zh-CN"/>
        </w:rPr>
        <w:tab/>
      </w:r>
      <w:r>
        <w:rPr>
          <w:rStyle w:val="31"/>
        </w:rPr>
        <w:t>[2101]</w:t>
      </w:r>
      <w:r>
        <w:rPr>
          <w:rStyle w:val="31"/>
          <w:rFonts w:hint="eastAsia"/>
        </w:rPr>
        <w:t>划拨验证</w:t>
      </w:r>
      <w:r>
        <w:tab/>
      </w:r>
      <w:r>
        <w:fldChar w:fldCharType="begin"/>
      </w:r>
      <w:r>
        <w:instrText xml:space="preserve"> PAGEREF _Toc508624104 \h </w:instrText>
      </w:r>
      <w:r>
        <w:fldChar w:fldCharType="separate"/>
      </w:r>
      <w:r>
        <w:t>23</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"_Toc508624105"</w:instrText>
      </w:r>
      <w:r>
        <w:rPr>
          <w:rStyle w:val="31"/>
        </w:rPr>
        <w:instrText xml:space="preserve"> </w:instrText>
      </w:r>
      <w:r>
        <w:rPr>
          <w:rStyle w:val="31"/>
        </w:rPr>
        <w:fldChar w:fldCharType="separate"/>
      </w:r>
      <w:r>
        <w:rPr>
          <w:rStyle w:val="31"/>
        </w:rPr>
        <w:t>5.4.2</w:t>
      </w:r>
      <w:r>
        <w:rPr>
          <w:rFonts w:ascii="Calibri" w:hAnsi="Calibri"/>
          <w:i w:val="0"/>
          <w:iCs w:val="0"/>
          <w:szCs w:val="22"/>
          <w:lang w:val="en-US" w:eastAsia="zh-CN"/>
        </w:rPr>
        <w:tab/>
      </w:r>
      <w:r>
        <w:rPr>
          <w:rStyle w:val="31"/>
        </w:rPr>
        <w:t>[2102]</w:t>
      </w:r>
      <w:r>
        <w:rPr>
          <w:rStyle w:val="31"/>
          <w:rFonts w:hint="eastAsia"/>
        </w:rPr>
        <w:t>划拨记账</w:t>
      </w:r>
      <w:r>
        <w:tab/>
      </w:r>
      <w:r>
        <w:fldChar w:fldCharType="begin"/>
      </w:r>
      <w:r>
        <w:instrText xml:space="preserve"> PAGEREF _Toc508624105 \h </w:instrText>
      </w:r>
      <w:r>
        <w:fldChar w:fldCharType="separate"/>
      </w:r>
      <w:r>
        <w:t>24</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"_Toc508624106"</w:instrText>
      </w:r>
      <w:r>
        <w:rPr>
          <w:rStyle w:val="31"/>
        </w:rPr>
        <w:instrText xml:space="preserve"> </w:instrText>
      </w:r>
      <w:r>
        <w:rPr>
          <w:rStyle w:val="31"/>
        </w:rPr>
        <w:fldChar w:fldCharType="separate"/>
      </w:r>
      <w:r>
        <w:rPr>
          <w:rStyle w:val="31"/>
        </w:rPr>
        <w:t>5.4.3</w:t>
      </w:r>
      <w:r>
        <w:rPr>
          <w:rFonts w:ascii="Calibri" w:hAnsi="Calibri"/>
          <w:i w:val="0"/>
          <w:iCs w:val="0"/>
          <w:szCs w:val="22"/>
          <w:lang w:val="en-US" w:eastAsia="zh-CN"/>
        </w:rPr>
        <w:tab/>
      </w:r>
      <w:r>
        <w:rPr>
          <w:rStyle w:val="31"/>
        </w:rPr>
        <w:t>[2111]</w:t>
      </w:r>
      <w:r>
        <w:rPr>
          <w:rStyle w:val="31"/>
          <w:rFonts w:hint="eastAsia"/>
        </w:rPr>
        <w:t>划拨冲正</w:t>
      </w:r>
      <w:r>
        <w:tab/>
      </w:r>
      <w:r>
        <w:fldChar w:fldCharType="begin"/>
      </w:r>
      <w:r>
        <w:instrText xml:space="preserve"> PAGEREF _Toc508624106 \h </w:instrText>
      </w:r>
      <w:r>
        <w:fldChar w:fldCharType="separate"/>
      </w:r>
      <w:r>
        <w:t>24</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"_Toc508624107"</w:instrText>
      </w:r>
      <w:r>
        <w:rPr>
          <w:rStyle w:val="31"/>
        </w:rPr>
        <w:instrText xml:space="preserve"> </w:instrText>
      </w:r>
      <w:r>
        <w:rPr>
          <w:rStyle w:val="31"/>
        </w:rPr>
        <w:fldChar w:fldCharType="separate"/>
      </w:r>
      <w:r>
        <w:rPr>
          <w:rStyle w:val="31"/>
        </w:rPr>
        <w:t>5.5</w:t>
      </w:r>
      <w:r>
        <w:rPr>
          <w:rFonts w:ascii="Calibri" w:hAnsi="Calibri"/>
          <w:smallCaps w:val="0"/>
          <w:szCs w:val="22"/>
        </w:rPr>
        <w:tab/>
      </w:r>
      <w:r>
        <w:rPr>
          <w:rStyle w:val="31"/>
          <w:rFonts w:hint="eastAsia"/>
        </w:rPr>
        <w:t>预售资金监管解除</w:t>
      </w:r>
      <w:r>
        <w:tab/>
      </w:r>
      <w:r>
        <w:fldChar w:fldCharType="begin"/>
      </w:r>
      <w:r>
        <w:instrText xml:space="preserve"> PAGEREF _Toc508624107 \h </w:instrText>
      </w:r>
      <w:r>
        <w:fldChar w:fldCharType="separate"/>
      </w:r>
      <w:r>
        <w:t>25</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"_Toc508624108"</w:instrText>
      </w:r>
      <w:r>
        <w:rPr>
          <w:rStyle w:val="31"/>
        </w:rPr>
        <w:instrText xml:space="preserve"> </w:instrText>
      </w:r>
      <w:r>
        <w:rPr>
          <w:rStyle w:val="31"/>
        </w:rPr>
        <w:fldChar w:fldCharType="separate"/>
      </w:r>
      <w:r>
        <w:rPr>
          <w:rStyle w:val="31"/>
        </w:rPr>
        <w:t>5.5.1</w:t>
      </w:r>
      <w:r>
        <w:rPr>
          <w:rFonts w:ascii="Calibri" w:hAnsi="Calibri"/>
          <w:i w:val="0"/>
          <w:iCs w:val="0"/>
          <w:szCs w:val="22"/>
          <w:lang w:val="en-US" w:eastAsia="zh-CN"/>
        </w:rPr>
        <w:tab/>
      </w:r>
      <w:r>
        <w:rPr>
          <w:rStyle w:val="31"/>
        </w:rPr>
        <w:t xml:space="preserve">[2201] </w:t>
      </w:r>
      <w:r>
        <w:rPr>
          <w:rStyle w:val="31"/>
          <w:rFonts w:hint="eastAsia"/>
        </w:rPr>
        <w:t>监管解除验证</w:t>
      </w:r>
      <w:r>
        <w:tab/>
      </w:r>
      <w:r>
        <w:fldChar w:fldCharType="begin"/>
      </w:r>
      <w:r>
        <w:instrText xml:space="preserve"> PAGEREF _Toc508624108 \h </w:instrText>
      </w:r>
      <w:r>
        <w:fldChar w:fldCharType="separate"/>
      </w:r>
      <w:r>
        <w:t>25</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"_Toc508624109"</w:instrText>
      </w:r>
      <w:r>
        <w:rPr>
          <w:rStyle w:val="31"/>
        </w:rPr>
        <w:instrText xml:space="preserve"> </w:instrText>
      </w:r>
      <w:r>
        <w:rPr>
          <w:rStyle w:val="31"/>
        </w:rPr>
        <w:fldChar w:fldCharType="separate"/>
      </w:r>
      <w:r>
        <w:rPr>
          <w:rStyle w:val="31"/>
        </w:rPr>
        <w:t>5.5.2</w:t>
      </w:r>
      <w:r>
        <w:rPr>
          <w:rFonts w:ascii="Calibri" w:hAnsi="Calibri"/>
          <w:i w:val="0"/>
          <w:iCs w:val="0"/>
          <w:szCs w:val="22"/>
          <w:lang w:val="en-US" w:eastAsia="zh-CN"/>
        </w:rPr>
        <w:tab/>
      </w:r>
      <w:r>
        <w:rPr>
          <w:rStyle w:val="31"/>
        </w:rPr>
        <w:t>[2202]</w:t>
      </w:r>
      <w:r>
        <w:rPr>
          <w:rStyle w:val="31"/>
          <w:rFonts w:hint="eastAsia" w:ascii="宋体" w:hAnsi="宋体"/>
        </w:rPr>
        <w:t>监管解除</w:t>
      </w:r>
      <w:r>
        <w:rPr>
          <w:rStyle w:val="31"/>
          <w:rFonts w:hint="eastAsia"/>
        </w:rPr>
        <w:t>记账</w:t>
      </w:r>
      <w:r>
        <w:tab/>
      </w:r>
      <w:r>
        <w:fldChar w:fldCharType="begin"/>
      </w:r>
      <w:r>
        <w:instrText xml:space="preserve"> PAGEREF _Toc508624109 \h </w:instrText>
      </w:r>
      <w:r>
        <w:fldChar w:fldCharType="separate"/>
      </w:r>
      <w:r>
        <w:t>26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"_Toc508624110"</w:instrText>
      </w:r>
      <w:r>
        <w:rPr>
          <w:rStyle w:val="31"/>
        </w:rPr>
        <w:instrText xml:space="preserve"> </w:instrText>
      </w:r>
      <w:r>
        <w:rPr>
          <w:rStyle w:val="31"/>
        </w:rPr>
        <w:fldChar w:fldCharType="separate"/>
      </w:r>
      <w:r>
        <w:rPr>
          <w:rStyle w:val="31"/>
        </w:rPr>
        <w:t>5.5.3</w:t>
      </w:r>
      <w:r>
        <w:rPr>
          <w:rFonts w:ascii="Calibri" w:hAnsi="Calibri"/>
          <w:i w:val="0"/>
          <w:iCs w:val="0"/>
          <w:szCs w:val="22"/>
          <w:lang w:val="en-US" w:eastAsia="zh-CN"/>
        </w:rPr>
        <w:tab/>
      </w:r>
      <w:r>
        <w:rPr>
          <w:rStyle w:val="31"/>
        </w:rPr>
        <w:t>[2211]</w:t>
      </w:r>
      <w:r>
        <w:rPr>
          <w:rStyle w:val="31"/>
          <w:rFonts w:hint="eastAsia" w:ascii="宋体" w:hAnsi="宋体"/>
        </w:rPr>
        <w:t>监管解除</w:t>
      </w:r>
      <w:r>
        <w:rPr>
          <w:rStyle w:val="31"/>
          <w:rFonts w:hint="eastAsia"/>
        </w:rPr>
        <w:t>冲正</w:t>
      </w:r>
      <w:r>
        <w:tab/>
      </w:r>
      <w:r>
        <w:fldChar w:fldCharType="begin"/>
      </w:r>
      <w:r>
        <w:instrText xml:space="preserve"> PAGEREF _Toc508624110 \h </w:instrText>
      </w:r>
      <w:r>
        <w:fldChar w:fldCharType="separate"/>
      </w:r>
      <w:r>
        <w:t>26</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"_Toc508624111"</w:instrText>
      </w:r>
      <w:r>
        <w:rPr>
          <w:rStyle w:val="31"/>
        </w:rPr>
        <w:instrText xml:space="preserve"> </w:instrText>
      </w:r>
      <w:r>
        <w:rPr>
          <w:rStyle w:val="31"/>
        </w:rPr>
        <w:fldChar w:fldCharType="separate"/>
      </w:r>
      <w:r>
        <w:rPr>
          <w:rStyle w:val="31"/>
        </w:rPr>
        <w:t>5.6</w:t>
      </w:r>
      <w:r>
        <w:rPr>
          <w:rFonts w:ascii="Calibri" w:hAnsi="Calibri"/>
          <w:smallCaps w:val="0"/>
          <w:szCs w:val="22"/>
        </w:rPr>
        <w:tab/>
      </w:r>
      <w:r>
        <w:rPr>
          <w:rStyle w:val="31"/>
          <w:rFonts w:hint="eastAsia"/>
        </w:rPr>
        <w:t>错账拨款</w:t>
      </w:r>
      <w:r>
        <w:tab/>
      </w:r>
      <w:r>
        <w:fldChar w:fldCharType="begin"/>
      </w:r>
      <w:r>
        <w:instrText xml:space="preserve"> PAGEREF _Toc508624111 \h </w:instrText>
      </w:r>
      <w:r>
        <w:fldChar w:fldCharType="separate"/>
      </w:r>
      <w:r>
        <w:t>27</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"_Toc508624112"</w:instrText>
      </w:r>
      <w:r>
        <w:rPr>
          <w:rStyle w:val="31"/>
        </w:rPr>
        <w:instrText xml:space="preserve"> </w:instrText>
      </w:r>
      <w:r>
        <w:rPr>
          <w:rStyle w:val="31"/>
        </w:rPr>
        <w:fldChar w:fldCharType="separate"/>
      </w:r>
      <w:r>
        <w:rPr>
          <w:rStyle w:val="31"/>
        </w:rPr>
        <w:t>5.6.1</w:t>
      </w:r>
      <w:r>
        <w:rPr>
          <w:rFonts w:ascii="Calibri" w:hAnsi="Calibri"/>
          <w:i w:val="0"/>
          <w:iCs w:val="0"/>
          <w:szCs w:val="22"/>
          <w:lang w:val="en-US" w:eastAsia="zh-CN"/>
        </w:rPr>
        <w:tab/>
      </w:r>
      <w:r>
        <w:rPr>
          <w:rStyle w:val="31"/>
        </w:rPr>
        <w:t>[5621]</w:t>
      </w:r>
      <w:r>
        <w:rPr>
          <w:rStyle w:val="31"/>
          <w:rFonts w:hint="eastAsia"/>
        </w:rPr>
        <w:t>错账拨款查询</w:t>
      </w:r>
      <w:r>
        <w:tab/>
      </w:r>
      <w:r>
        <w:fldChar w:fldCharType="begin"/>
      </w:r>
      <w:r>
        <w:instrText xml:space="preserve"> PAGEREF _Toc508624112 \h </w:instrText>
      </w:r>
      <w:r>
        <w:fldChar w:fldCharType="separate"/>
      </w:r>
      <w:r>
        <w:t>27</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"_Toc508624113"</w:instrText>
      </w:r>
      <w:r>
        <w:rPr>
          <w:rStyle w:val="31"/>
        </w:rPr>
        <w:instrText xml:space="preserve"> </w:instrText>
      </w:r>
      <w:r>
        <w:rPr>
          <w:rStyle w:val="31"/>
        </w:rPr>
        <w:fldChar w:fldCharType="separate"/>
      </w:r>
      <w:r>
        <w:rPr>
          <w:rStyle w:val="31"/>
        </w:rPr>
        <w:t>5.6.2</w:t>
      </w:r>
      <w:r>
        <w:rPr>
          <w:rFonts w:ascii="Calibri" w:hAnsi="Calibri"/>
          <w:i w:val="0"/>
          <w:iCs w:val="0"/>
          <w:szCs w:val="22"/>
          <w:lang w:val="en-US" w:eastAsia="zh-CN"/>
        </w:rPr>
        <w:tab/>
      </w:r>
      <w:r>
        <w:rPr>
          <w:rStyle w:val="31"/>
        </w:rPr>
        <w:t>[5622]</w:t>
      </w:r>
      <w:r>
        <w:rPr>
          <w:rStyle w:val="31"/>
          <w:rFonts w:hint="eastAsia"/>
        </w:rPr>
        <w:t>错账拨款记账</w:t>
      </w:r>
      <w:r>
        <w:tab/>
      </w:r>
      <w:r>
        <w:fldChar w:fldCharType="begin"/>
      </w:r>
      <w:r>
        <w:instrText xml:space="preserve"> PAGEREF _Toc508624113 \h </w:instrText>
      </w:r>
      <w:r>
        <w:fldChar w:fldCharType="separate"/>
      </w:r>
      <w:r>
        <w:t>28</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"_Toc508624114"</w:instrText>
      </w:r>
      <w:r>
        <w:rPr>
          <w:rStyle w:val="31"/>
        </w:rPr>
        <w:instrText xml:space="preserve"> </w:instrText>
      </w:r>
      <w:r>
        <w:rPr>
          <w:rStyle w:val="31"/>
        </w:rPr>
        <w:fldChar w:fldCharType="separate"/>
      </w:r>
      <w:r>
        <w:rPr>
          <w:rStyle w:val="31"/>
        </w:rPr>
        <w:t>5.6.3</w:t>
      </w:r>
      <w:r>
        <w:rPr>
          <w:rFonts w:ascii="Calibri" w:hAnsi="Calibri"/>
          <w:i w:val="0"/>
          <w:iCs w:val="0"/>
          <w:szCs w:val="22"/>
          <w:lang w:val="en-US" w:eastAsia="zh-CN"/>
        </w:rPr>
        <w:tab/>
      </w:r>
      <w:r>
        <w:rPr>
          <w:rStyle w:val="31"/>
        </w:rPr>
        <w:t>[5623]</w:t>
      </w:r>
      <w:r>
        <w:rPr>
          <w:rStyle w:val="31"/>
          <w:rFonts w:hint="eastAsia"/>
        </w:rPr>
        <w:t>错账拨款记账冲正</w:t>
      </w:r>
      <w:r>
        <w:tab/>
      </w:r>
      <w:r>
        <w:fldChar w:fldCharType="begin"/>
      </w:r>
      <w:r>
        <w:instrText xml:space="preserve"> PAGEREF _Toc508624114 \h </w:instrText>
      </w:r>
      <w:r>
        <w:fldChar w:fldCharType="separate"/>
      </w:r>
      <w:r>
        <w:t>29</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"_Toc508624115"</w:instrText>
      </w:r>
      <w:r>
        <w:rPr>
          <w:rStyle w:val="31"/>
        </w:rPr>
        <w:instrText xml:space="preserve"> </w:instrText>
      </w:r>
      <w:r>
        <w:rPr>
          <w:rStyle w:val="31"/>
        </w:rPr>
        <w:fldChar w:fldCharType="separate"/>
      </w:r>
      <w:r>
        <w:rPr>
          <w:rStyle w:val="31"/>
        </w:rPr>
        <w:t>5.7</w:t>
      </w:r>
      <w:r>
        <w:rPr>
          <w:rFonts w:ascii="Calibri" w:hAnsi="Calibri"/>
          <w:smallCaps w:val="0"/>
          <w:szCs w:val="22"/>
        </w:rPr>
        <w:tab/>
      </w:r>
      <w:r>
        <w:rPr>
          <w:rStyle w:val="31"/>
          <w:rFonts w:hint="eastAsia"/>
        </w:rPr>
        <w:t>查询交易</w:t>
      </w:r>
      <w:r>
        <w:tab/>
      </w:r>
      <w:r>
        <w:fldChar w:fldCharType="begin"/>
      </w:r>
      <w:r>
        <w:instrText xml:space="preserve"> PAGEREF _Toc508624115 \h </w:instrText>
      </w:r>
      <w:r>
        <w:fldChar w:fldCharType="separate"/>
      </w:r>
      <w:r>
        <w:t>29</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"_Toc508624116"</w:instrText>
      </w:r>
      <w:r>
        <w:rPr>
          <w:rStyle w:val="31"/>
        </w:rPr>
        <w:instrText xml:space="preserve"> </w:instrText>
      </w:r>
      <w:r>
        <w:rPr>
          <w:rStyle w:val="31"/>
        </w:rPr>
        <w:fldChar w:fldCharType="separate"/>
      </w:r>
      <w:r>
        <w:rPr>
          <w:rStyle w:val="31"/>
        </w:rPr>
        <w:t>5.7.1</w:t>
      </w:r>
      <w:r>
        <w:rPr>
          <w:rFonts w:ascii="Calibri" w:hAnsi="Calibri"/>
          <w:i w:val="0"/>
          <w:iCs w:val="0"/>
          <w:szCs w:val="22"/>
          <w:lang w:val="en-US" w:eastAsia="zh-CN"/>
        </w:rPr>
        <w:tab/>
      </w:r>
      <w:r>
        <w:rPr>
          <w:rStyle w:val="31"/>
        </w:rPr>
        <w:t>[2501]</w:t>
      </w:r>
      <w:r>
        <w:rPr>
          <w:rStyle w:val="31"/>
          <w:rFonts w:hint="eastAsia"/>
        </w:rPr>
        <w:t>记账结果查询</w:t>
      </w:r>
      <w:r>
        <w:tab/>
      </w:r>
      <w:r>
        <w:fldChar w:fldCharType="begin"/>
      </w:r>
      <w:r>
        <w:instrText xml:space="preserve"> PAGEREF _Toc508624116 \h </w:instrText>
      </w:r>
      <w:r>
        <w:fldChar w:fldCharType="separate"/>
      </w:r>
      <w:r>
        <w:t>29</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"_Toc508624117"</w:instrText>
      </w:r>
      <w:r>
        <w:rPr>
          <w:rStyle w:val="31"/>
        </w:rPr>
        <w:instrText xml:space="preserve"> </w:instrText>
      </w:r>
      <w:r>
        <w:rPr>
          <w:rStyle w:val="31"/>
        </w:rPr>
        <w:fldChar w:fldCharType="separate"/>
      </w:r>
      <w:r>
        <w:rPr>
          <w:rStyle w:val="31"/>
        </w:rPr>
        <w:t>5.8</w:t>
      </w:r>
      <w:r>
        <w:rPr>
          <w:rFonts w:ascii="Calibri" w:hAnsi="Calibri"/>
          <w:smallCaps w:val="0"/>
          <w:szCs w:val="22"/>
        </w:rPr>
        <w:tab/>
      </w:r>
      <w:r>
        <w:rPr>
          <w:rStyle w:val="31"/>
          <w:rFonts w:hint="eastAsia"/>
        </w:rPr>
        <w:t>日终对账</w:t>
      </w:r>
      <w:r>
        <w:tab/>
      </w:r>
      <w:r>
        <w:fldChar w:fldCharType="begin"/>
      </w:r>
      <w:r>
        <w:instrText xml:space="preserve"> PAGEREF _Toc508624117 \h </w:instrText>
      </w:r>
      <w:r>
        <w:fldChar w:fldCharType="separate"/>
      </w:r>
      <w:r>
        <w:t>30</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"_Toc508624118"</w:instrText>
      </w:r>
      <w:r>
        <w:rPr>
          <w:rStyle w:val="31"/>
        </w:rPr>
        <w:instrText xml:space="preserve"> </w:instrText>
      </w:r>
      <w:r>
        <w:rPr>
          <w:rStyle w:val="31"/>
        </w:rPr>
        <w:fldChar w:fldCharType="separate"/>
      </w:r>
      <w:r>
        <w:rPr>
          <w:rStyle w:val="31"/>
        </w:rPr>
        <w:t>5.8.1</w:t>
      </w:r>
      <w:r>
        <w:rPr>
          <w:rFonts w:ascii="Calibri" w:hAnsi="Calibri"/>
          <w:i w:val="0"/>
          <w:iCs w:val="0"/>
          <w:szCs w:val="22"/>
          <w:lang w:val="en-US" w:eastAsia="zh-CN"/>
        </w:rPr>
        <w:tab/>
      </w:r>
      <w:r>
        <w:rPr>
          <w:rStyle w:val="31"/>
          <w:rFonts w:hint="eastAsia"/>
        </w:rPr>
        <w:t>对账明细文件</w:t>
      </w:r>
      <w:r>
        <w:tab/>
      </w:r>
      <w:r>
        <w:fldChar w:fldCharType="begin"/>
      </w:r>
      <w:r>
        <w:instrText xml:space="preserve"> PAGEREF _Toc508624118 \h </w:instrText>
      </w:r>
      <w:r>
        <w:fldChar w:fldCharType="separate"/>
      </w:r>
      <w:r>
        <w:t>30</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"_Toc508624119"</w:instrText>
      </w:r>
      <w:r>
        <w:rPr>
          <w:rStyle w:val="31"/>
        </w:rPr>
        <w:instrText xml:space="preserve"> </w:instrText>
      </w:r>
      <w:r>
        <w:rPr>
          <w:rStyle w:val="31"/>
        </w:rPr>
        <w:fldChar w:fldCharType="separate"/>
      </w:r>
      <w:r>
        <w:rPr>
          <w:rStyle w:val="31"/>
        </w:rPr>
        <w:t>5.8.2</w:t>
      </w:r>
      <w:r>
        <w:rPr>
          <w:rFonts w:ascii="Calibri" w:hAnsi="Calibri"/>
          <w:i w:val="0"/>
          <w:iCs w:val="0"/>
          <w:szCs w:val="22"/>
          <w:lang w:val="en-US" w:eastAsia="zh-CN"/>
        </w:rPr>
        <w:tab/>
      </w:r>
      <w:r>
        <w:rPr>
          <w:rStyle w:val="31"/>
          <w:rFonts w:hint="eastAsia"/>
        </w:rPr>
        <w:t>不明账交易明细文件</w:t>
      </w:r>
      <w:r>
        <w:tab/>
      </w:r>
      <w:r>
        <w:fldChar w:fldCharType="begin"/>
      </w:r>
      <w:r>
        <w:instrText xml:space="preserve"> PAGEREF _Toc508624119 \h </w:instrText>
      </w:r>
      <w:r>
        <w:fldChar w:fldCharType="separate"/>
      </w:r>
      <w:r>
        <w:t>31</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"_Toc508624120"</w:instrText>
      </w:r>
      <w:r>
        <w:rPr>
          <w:rStyle w:val="31"/>
        </w:rPr>
        <w:instrText xml:space="preserve"> </w:instrText>
      </w:r>
      <w:r>
        <w:rPr>
          <w:rStyle w:val="31"/>
        </w:rPr>
        <w:fldChar w:fldCharType="separate"/>
      </w:r>
      <w:r>
        <w:rPr>
          <w:rStyle w:val="31"/>
        </w:rPr>
        <w:t>5.8.3</w:t>
      </w:r>
      <w:r>
        <w:rPr>
          <w:rFonts w:ascii="Calibri" w:hAnsi="Calibri"/>
          <w:i w:val="0"/>
          <w:iCs w:val="0"/>
          <w:szCs w:val="22"/>
          <w:lang w:val="en-US" w:eastAsia="zh-CN"/>
        </w:rPr>
        <w:tab/>
      </w:r>
      <w:r>
        <w:rPr>
          <w:rStyle w:val="31"/>
          <w:rFonts w:hint="eastAsia"/>
        </w:rPr>
        <w:t>监管专户余额文件</w:t>
      </w:r>
      <w:r>
        <w:tab/>
      </w:r>
      <w:r>
        <w:fldChar w:fldCharType="begin"/>
      </w:r>
      <w:r>
        <w:instrText xml:space="preserve"> PAGEREF _Toc508624120 \h </w:instrText>
      </w:r>
      <w:r>
        <w:fldChar w:fldCharType="separate"/>
      </w:r>
      <w:r>
        <w:t>32</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"_Toc508624121"</w:instrText>
      </w:r>
      <w:r>
        <w:rPr>
          <w:rStyle w:val="31"/>
        </w:rPr>
        <w:instrText xml:space="preserve"> </w:instrText>
      </w:r>
      <w:r>
        <w:rPr>
          <w:rStyle w:val="31"/>
        </w:rPr>
        <w:fldChar w:fldCharType="separate"/>
      </w:r>
      <w:r>
        <w:rPr>
          <w:rStyle w:val="31"/>
        </w:rPr>
        <w:t>5.9</w:t>
      </w:r>
      <w:r>
        <w:rPr>
          <w:rFonts w:ascii="Calibri" w:hAnsi="Calibri"/>
          <w:smallCaps w:val="0"/>
          <w:szCs w:val="22"/>
        </w:rPr>
        <w:tab/>
      </w:r>
      <w:r>
        <w:rPr>
          <w:rStyle w:val="31"/>
        </w:rPr>
        <w:t>POS</w:t>
      </w:r>
      <w:r>
        <w:rPr>
          <w:rStyle w:val="31"/>
          <w:rFonts w:hint="eastAsia"/>
        </w:rPr>
        <w:t>日终明细</w:t>
      </w:r>
      <w:r>
        <w:tab/>
      </w:r>
      <w:r>
        <w:fldChar w:fldCharType="begin"/>
      </w:r>
      <w:r>
        <w:instrText xml:space="preserve"> PAGEREF _Toc508624121 \h </w:instrText>
      </w:r>
      <w:r>
        <w:fldChar w:fldCharType="separate"/>
      </w:r>
      <w:r>
        <w:t>33</w:t>
      </w:r>
      <w:r>
        <w:fldChar w:fldCharType="end"/>
      </w:r>
      <w:r>
        <w:rPr>
          <w:rStyle w:val="31"/>
        </w:rPr>
        <w:fldChar w:fldCharType="end"/>
      </w:r>
    </w:p>
    <w:p>
      <w:pPr>
        <w:pStyle w:val="24"/>
        <w:tabs>
          <w:tab w:val="left" w:pos="147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"_Toc508624122"</w:instrText>
      </w:r>
      <w:r>
        <w:rPr>
          <w:rStyle w:val="31"/>
        </w:rPr>
        <w:instrText xml:space="preserve"> </w:instrText>
      </w:r>
      <w:r>
        <w:rPr>
          <w:rStyle w:val="31"/>
        </w:rPr>
        <w:fldChar w:fldCharType="separate"/>
      </w:r>
      <w:r>
        <w:rPr>
          <w:rStyle w:val="31"/>
        </w:rPr>
        <w:t>5.10</w:t>
      </w:r>
      <w:r>
        <w:rPr>
          <w:rFonts w:ascii="Calibri" w:hAnsi="Calibri"/>
          <w:smallCaps w:val="0"/>
          <w:szCs w:val="22"/>
        </w:rPr>
        <w:tab/>
      </w:r>
      <w:r>
        <w:rPr>
          <w:rStyle w:val="31"/>
          <w:rFonts w:hint="eastAsia"/>
        </w:rPr>
        <w:t>系统监管专户余额文件</w:t>
      </w:r>
      <w:r>
        <w:tab/>
      </w:r>
      <w:r>
        <w:fldChar w:fldCharType="begin"/>
      </w:r>
      <w:r>
        <w:instrText xml:space="preserve"> PAGEREF _Toc508624122 \h </w:instrText>
      </w:r>
      <w:r>
        <w:fldChar w:fldCharType="separate"/>
      </w:r>
      <w:r>
        <w:t>33</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"_Toc508624123"</w:instrText>
      </w:r>
      <w:r>
        <w:rPr>
          <w:rStyle w:val="31"/>
        </w:rPr>
        <w:instrText xml:space="preserve"> </w:instrText>
      </w:r>
      <w:r>
        <w:rPr>
          <w:rStyle w:val="31"/>
        </w:rPr>
        <w:fldChar w:fldCharType="separate"/>
      </w:r>
      <w:r>
        <w:rPr>
          <w:rStyle w:val="31"/>
          <w:rFonts w:hint="eastAsia"/>
        </w:rPr>
        <w:t>第6章</w:t>
      </w:r>
      <w:r>
        <w:rPr>
          <w:rFonts w:ascii="Calibri" w:hAnsi="Calibri"/>
          <w:b w:val="0"/>
          <w:bCs w:val="0"/>
          <w:caps w:val="0"/>
          <w:szCs w:val="22"/>
        </w:rPr>
        <w:tab/>
      </w:r>
      <w:r>
        <w:rPr>
          <w:rStyle w:val="31"/>
          <w:rFonts w:hint="eastAsia"/>
        </w:rPr>
        <w:t>银联接口定义</w:t>
      </w:r>
      <w:r>
        <w:tab/>
      </w:r>
      <w:r>
        <w:fldChar w:fldCharType="begin"/>
      </w:r>
      <w:r>
        <w:instrText xml:space="preserve"> PAGEREF _Toc508624123 \h </w:instrText>
      </w:r>
      <w:r>
        <w:fldChar w:fldCharType="separate"/>
      </w:r>
      <w:r>
        <w:t>35</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"_Toc508624124"</w:instrText>
      </w:r>
      <w:r>
        <w:rPr>
          <w:rStyle w:val="31"/>
        </w:rPr>
        <w:instrText xml:space="preserve"> </w:instrText>
      </w:r>
      <w:r>
        <w:rPr>
          <w:rStyle w:val="31"/>
        </w:rPr>
        <w:fldChar w:fldCharType="separate"/>
      </w:r>
      <w:r>
        <w:rPr>
          <w:rStyle w:val="31"/>
        </w:rPr>
        <w:t>6.1</w:t>
      </w:r>
      <w:r>
        <w:rPr>
          <w:rFonts w:ascii="Calibri" w:hAnsi="Calibri"/>
          <w:smallCaps w:val="0"/>
          <w:szCs w:val="22"/>
        </w:rPr>
        <w:tab/>
      </w:r>
      <w:r>
        <w:rPr>
          <w:rStyle w:val="31"/>
          <w:rFonts w:hint="eastAsia"/>
        </w:rPr>
        <w:t>交易码列表</w:t>
      </w:r>
      <w:r>
        <w:tab/>
      </w:r>
      <w:r>
        <w:fldChar w:fldCharType="begin"/>
      </w:r>
      <w:r>
        <w:instrText xml:space="preserve"> PAGEREF _Toc508624124 \h </w:instrText>
      </w:r>
      <w:r>
        <w:fldChar w:fldCharType="separate"/>
      </w:r>
      <w:r>
        <w:t>35</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"_Toc508624125"</w:instrText>
      </w:r>
      <w:r>
        <w:rPr>
          <w:rStyle w:val="31"/>
        </w:rPr>
        <w:instrText xml:space="preserve"> </w:instrText>
      </w:r>
      <w:r>
        <w:rPr>
          <w:rStyle w:val="31"/>
        </w:rPr>
        <w:fldChar w:fldCharType="separate"/>
      </w:r>
      <w:r>
        <w:rPr>
          <w:rStyle w:val="31"/>
        </w:rPr>
        <w:t>6.2</w:t>
      </w:r>
      <w:r>
        <w:rPr>
          <w:rFonts w:ascii="Calibri" w:hAnsi="Calibri"/>
          <w:smallCaps w:val="0"/>
          <w:szCs w:val="22"/>
        </w:rPr>
        <w:tab/>
      </w:r>
      <w:r>
        <w:rPr>
          <w:rStyle w:val="31"/>
          <w:rFonts w:hint="eastAsia"/>
        </w:rPr>
        <w:t>预售资金交存</w:t>
      </w:r>
      <w:r>
        <w:tab/>
      </w:r>
      <w:r>
        <w:fldChar w:fldCharType="begin"/>
      </w:r>
      <w:r>
        <w:instrText xml:space="preserve"> PAGEREF _Toc508624125 \h </w:instrText>
      </w:r>
      <w:r>
        <w:fldChar w:fldCharType="separate"/>
      </w:r>
      <w:r>
        <w:t>35</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"_Toc508624126"</w:instrText>
      </w:r>
      <w:r>
        <w:rPr>
          <w:rStyle w:val="31"/>
        </w:rPr>
        <w:instrText xml:space="preserve"> </w:instrText>
      </w:r>
      <w:r>
        <w:rPr>
          <w:rStyle w:val="31"/>
        </w:rPr>
        <w:fldChar w:fldCharType="separate"/>
      </w:r>
      <w:r>
        <w:rPr>
          <w:rStyle w:val="31"/>
        </w:rPr>
        <w:t>6.2.2</w:t>
      </w:r>
      <w:r>
        <w:rPr>
          <w:rFonts w:ascii="Calibri" w:hAnsi="Calibri"/>
          <w:i w:val="0"/>
          <w:iCs w:val="0"/>
          <w:szCs w:val="22"/>
          <w:lang w:val="en-US" w:eastAsia="zh-CN"/>
        </w:rPr>
        <w:tab/>
      </w:r>
      <w:r>
        <w:rPr>
          <w:rStyle w:val="31"/>
        </w:rPr>
        <w:t>[5655]</w:t>
      </w:r>
      <w:r>
        <w:rPr>
          <w:rStyle w:val="31"/>
          <w:rFonts w:hint="eastAsia"/>
        </w:rPr>
        <w:t>商户解除</w:t>
      </w:r>
      <w:r>
        <w:tab/>
      </w:r>
      <w:r>
        <w:fldChar w:fldCharType="begin"/>
      </w:r>
      <w:r>
        <w:instrText xml:space="preserve"> PAGEREF _Toc508624126 \h </w:instrText>
      </w:r>
      <w:r>
        <w:fldChar w:fldCharType="separate"/>
      </w:r>
      <w:r>
        <w:t>36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"_Toc508624127"</w:instrText>
      </w:r>
      <w:r>
        <w:rPr>
          <w:rStyle w:val="31"/>
        </w:rPr>
        <w:instrText xml:space="preserve"> </w:instrText>
      </w:r>
      <w:r>
        <w:rPr>
          <w:rStyle w:val="31"/>
        </w:rPr>
        <w:fldChar w:fldCharType="separate"/>
      </w:r>
      <w:r>
        <w:rPr>
          <w:rStyle w:val="31"/>
        </w:rPr>
        <w:t>6.2.3</w:t>
      </w:r>
      <w:r>
        <w:rPr>
          <w:rFonts w:ascii="Calibri" w:hAnsi="Calibri"/>
          <w:i w:val="0"/>
          <w:iCs w:val="0"/>
          <w:szCs w:val="22"/>
          <w:lang w:val="en-US" w:eastAsia="zh-CN"/>
        </w:rPr>
        <w:tab/>
      </w:r>
      <w:r>
        <w:rPr>
          <w:rStyle w:val="31"/>
        </w:rPr>
        <w:t>[5651]</w:t>
      </w:r>
      <w:r>
        <w:rPr>
          <w:rStyle w:val="31"/>
          <w:rFonts w:hint="eastAsia"/>
        </w:rPr>
        <w:t>交存验证（业务申请编号）</w:t>
      </w:r>
      <w:r>
        <w:tab/>
      </w:r>
      <w:r>
        <w:fldChar w:fldCharType="begin"/>
      </w:r>
      <w:r>
        <w:instrText xml:space="preserve"> PAGEREF _Toc508624127 \h </w:instrText>
      </w:r>
      <w:r>
        <w:fldChar w:fldCharType="separate"/>
      </w:r>
      <w:r>
        <w:t>36</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"_Toc508624128"</w:instrText>
      </w:r>
      <w:r>
        <w:rPr>
          <w:rStyle w:val="31"/>
        </w:rPr>
        <w:instrText xml:space="preserve"> </w:instrText>
      </w:r>
      <w:r>
        <w:rPr>
          <w:rStyle w:val="31"/>
        </w:rPr>
        <w:fldChar w:fldCharType="separate"/>
      </w:r>
      <w:r>
        <w:rPr>
          <w:rStyle w:val="31"/>
        </w:rPr>
        <w:t>6.2.4</w:t>
      </w:r>
      <w:r>
        <w:rPr>
          <w:rFonts w:ascii="Calibri" w:hAnsi="Calibri"/>
          <w:i w:val="0"/>
          <w:iCs w:val="0"/>
          <w:szCs w:val="22"/>
          <w:lang w:val="en-US" w:eastAsia="zh-CN"/>
        </w:rPr>
        <w:tab/>
      </w:r>
      <w:r>
        <w:rPr>
          <w:rStyle w:val="31"/>
        </w:rPr>
        <w:t>[5652]</w:t>
      </w:r>
      <w:r>
        <w:rPr>
          <w:rStyle w:val="31"/>
          <w:rFonts w:hint="eastAsia"/>
        </w:rPr>
        <w:t>交存记账</w:t>
      </w:r>
      <w:r>
        <w:tab/>
      </w:r>
      <w:r>
        <w:fldChar w:fldCharType="begin"/>
      </w:r>
      <w:r>
        <w:instrText xml:space="preserve"> PAGEREF _Toc508624128 \h </w:instrText>
      </w:r>
      <w:r>
        <w:fldChar w:fldCharType="separate"/>
      </w:r>
      <w:r>
        <w:t>37</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"_Toc508624129"</w:instrText>
      </w:r>
      <w:r>
        <w:rPr>
          <w:rStyle w:val="31"/>
        </w:rPr>
        <w:instrText xml:space="preserve"> </w:instrText>
      </w:r>
      <w:r>
        <w:rPr>
          <w:rStyle w:val="31"/>
        </w:rPr>
        <w:fldChar w:fldCharType="separate"/>
      </w:r>
      <w:r>
        <w:rPr>
          <w:rStyle w:val="31"/>
        </w:rPr>
        <w:t>6.2.5</w:t>
      </w:r>
      <w:r>
        <w:rPr>
          <w:rFonts w:ascii="Calibri" w:hAnsi="Calibri"/>
          <w:i w:val="0"/>
          <w:iCs w:val="0"/>
          <w:szCs w:val="22"/>
          <w:lang w:val="en-US" w:eastAsia="zh-CN"/>
        </w:rPr>
        <w:tab/>
      </w:r>
      <w:r>
        <w:rPr>
          <w:rStyle w:val="31"/>
        </w:rPr>
        <w:t>[5653]</w:t>
      </w:r>
      <w:r>
        <w:rPr>
          <w:rStyle w:val="31"/>
          <w:rFonts w:hint="eastAsia"/>
        </w:rPr>
        <w:t>交存冲正</w:t>
      </w:r>
      <w:r>
        <w:tab/>
      </w:r>
      <w:r>
        <w:fldChar w:fldCharType="begin"/>
      </w:r>
      <w:r>
        <w:instrText xml:space="preserve"> PAGEREF _Toc508624129 \h </w:instrText>
      </w:r>
      <w:r>
        <w:fldChar w:fldCharType="separate"/>
      </w:r>
      <w:r>
        <w:t>38</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"_Toc508624130"</w:instrText>
      </w:r>
      <w:r>
        <w:rPr>
          <w:rStyle w:val="31"/>
        </w:rPr>
        <w:instrText xml:space="preserve"> </w:instrText>
      </w:r>
      <w:r>
        <w:rPr>
          <w:rStyle w:val="31"/>
        </w:rPr>
        <w:fldChar w:fldCharType="separate"/>
      </w:r>
      <w:r>
        <w:rPr>
          <w:rStyle w:val="31"/>
        </w:rPr>
        <w:t>6.3</w:t>
      </w:r>
      <w:r>
        <w:rPr>
          <w:rFonts w:ascii="Calibri" w:hAnsi="Calibri"/>
          <w:smallCaps w:val="0"/>
          <w:szCs w:val="22"/>
        </w:rPr>
        <w:tab/>
      </w:r>
      <w:r>
        <w:rPr>
          <w:rStyle w:val="31"/>
          <w:rFonts w:hint="eastAsia"/>
        </w:rPr>
        <w:t>日终对账</w:t>
      </w:r>
      <w:r>
        <w:tab/>
      </w:r>
      <w:r>
        <w:fldChar w:fldCharType="begin"/>
      </w:r>
      <w:r>
        <w:instrText xml:space="preserve"> PAGEREF _Toc508624130 \h </w:instrText>
      </w:r>
      <w:r>
        <w:fldChar w:fldCharType="separate"/>
      </w:r>
      <w:r>
        <w:t>38</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"_Toc508624131"</w:instrText>
      </w:r>
      <w:r>
        <w:rPr>
          <w:rStyle w:val="31"/>
        </w:rPr>
        <w:instrText xml:space="preserve"> </w:instrText>
      </w:r>
      <w:r>
        <w:rPr>
          <w:rStyle w:val="31"/>
        </w:rPr>
        <w:fldChar w:fldCharType="separate"/>
      </w:r>
      <w:r>
        <w:rPr>
          <w:rStyle w:val="31"/>
        </w:rPr>
        <w:t>6.3.1</w:t>
      </w:r>
      <w:r>
        <w:rPr>
          <w:rFonts w:ascii="Calibri" w:hAnsi="Calibri"/>
          <w:i w:val="0"/>
          <w:iCs w:val="0"/>
          <w:szCs w:val="22"/>
          <w:lang w:val="en-US" w:eastAsia="zh-CN"/>
        </w:rPr>
        <w:tab/>
      </w:r>
      <w:r>
        <w:rPr>
          <w:rStyle w:val="31"/>
        </w:rPr>
        <w:t>POS</w:t>
      </w:r>
      <w:r>
        <w:rPr>
          <w:rStyle w:val="31"/>
          <w:rFonts w:hint="eastAsia"/>
        </w:rPr>
        <w:t>对账明细文件</w:t>
      </w:r>
      <w:r>
        <w:tab/>
      </w:r>
      <w:r>
        <w:fldChar w:fldCharType="begin"/>
      </w:r>
      <w:r>
        <w:instrText xml:space="preserve"> PAGEREF _Toc508624131 \h </w:instrText>
      </w:r>
      <w:r>
        <w:fldChar w:fldCharType="separate"/>
      </w:r>
      <w:r>
        <w:t>39</w:t>
      </w:r>
      <w:r>
        <w:fldChar w:fldCharType="end"/>
      </w:r>
      <w:r>
        <w:rPr>
          <w:rStyle w:val="31"/>
        </w:rPr>
        <w:fldChar w:fldCharType="end"/>
      </w:r>
    </w:p>
    <w:p>
      <w:pPr>
        <w:pStyle w:val="20"/>
        <w:tabs>
          <w:tab w:val="left" w:pos="1470"/>
        </w:tabs>
        <w:rPr>
          <w:rFonts w:ascii="Calibri" w:hAnsi="Calibri"/>
          <w:b w:val="0"/>
          <w:bCs w:val="0"/>
          <w:caps w:val="0"/>
          <w:szCs w:val="22"/>
        </w:rPr>
      </w:pPr>
      <w:r>
        <w:rPr>
          <w:rStyle w:val="31"/>
        </w:rPr>
        <w:fldChar w:fldCharType="begin"/>
      </w:r>
      <w:r>
        <w:rPr>
          <w:rStyle w:val="31"/>
        </w:rPr>
        <w:instrText xml:space="preserve"> </w:instrText>
      </w:r>
      <w:r>
        <w:instrText xml:space="preserve">HYPERLINK \l "_Toc508624132"</w:instrText>
      </w:r>
      <w:r>
        <w:rPr>
          <w:rStyle w:val="31"/>
        </w:rPr>
        <w:instrText xml:space="preserve"> </w:instrText>
      </w:r>
      <w:r>
        <w:rPr>
          <w:rStyle w:val="31"/>
        </w:rPr>
        <w:fldChar w:fldCharType="separate"/>
      </w:r>
      <w:r>
        <w:rPr>
          <w:rStyle w:val="31"/>
          <w:rFonts w:hint="eastAsia"/>
        </w:rPr>
        <w:t>第7章</w:t>
      </w:r>
      <w:r>
        <w:rPr>
          <w:rFonts w:ascii="Calibri" w:hAnsi="Calibri"/>
          <w:b w:val="0"/>
          <w:bCs w:val="0"/>
          <w:caps w:val="0"/>
          <w:szCs w:val="22"/>
        </w:rPr>
        <w:tab/>
      </w:r>
      <w:r>
        <w:rPr>
          <w:rStyle w:val="31"/>
          <w:rFonts w:hint="eastAsia"/>
        </w:rPr>
        <w:t>附录</w:t>
      </w:r>
      <w:r>
        <w:tab/>
      </w:r>
      <w:r>
        <w:fldChar w:fldCharType="begin"/>
      </w:r>
      <w:r>
        <w:instrText xml:space="preserve"> PAGEREF _Toc508624132 \h </w:instrText>
      </w:r>
      <w:r>
        <w:fldChar w:fldCharType="separate"/>
      </w:r>
      <w:r>
        <w:t>40</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"_Toc508624133"</w:instrText>
      </w:r>
      <w:r>
        <w:rPr>
          <w:rStyle w:val="31"/>
        </w:rPr>
        <w:instrText xml:space="preserve"> </w:instrText>
      </w:r>
      <w:r>
        <w:rPr>
          <w:rStyle w:val="31"/>
        </w:rPr>
        <w:fldChar w:fldCharType="separate"/>
      </w:r>
      <w:r>
        <w:rPr>
          <w:rStyle w:val="31"/>
        </w:rPr>
        <w:t>7.1</w:t>
      </w:r>
      <w:r>
        <w:rPr>
          <w:rFonts w:ascii="Calibri" w:hAnsi="Calibri"/>
          <w:smallCaps w:val="0"/>
          <w:szCs w:val="22"/>
        </w:rPr>
        <w:tab/>
      </w:r>
      <w:r>
        <w:rPr>
          <w:rStyle w:val="31"/>
          <w:rFonts w:hint="eastAsia"/>
        </w:rPr>
        <w:t>凭证格式</w:t>
      </w:r>
      <w:r>
        <w:tab/>
      </w:r>
      <w:r>
        <w:fldChar w:fldCharType="begin"/>
      </w:r>
      <w:r>
        <w:instrText xml:space="preserve"> PAGEREF _Toc508624133 \h </w:instrText>
      </w:r>
      <w:r>
        <w:fldChar w:fldCharType="separate"/>
      </w:r>
      <w:r>
        <w:t>40</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"_Toc508624134"</w:instrText>
      </w:r>
      <w:r>
        <w:rPr>
          <w:rStyle w:val="31"/>
        </w:rPr>
        <w:instrText xml:space="preserve"> </w:instrText>
      </w:r>
      <w:r>
        <w:rPr>
          <w:rStyle w:val="31"/>
        </w:rPr>
        <w:fldChar w:fldCharType="separate"/>
      </w:r>
      <w:r>
        <w:rPr>
          <w:rStyle w:val="31"/>
        </w:rPr>
        <w:t>7.1.1</w:t>
      </w:r>
      <w:r>
        <w:rPr>
          <w:rFonts w:ascii="Calibri" w:hAnsi="Calibri"/>
          <w:i w:val="0"/>
          <w:iCs w:val="0"/>
          <w:szCs w:val="22"/>
          <w:lang w:val="en-US" w:eastAsia="zh-CN"/>
        </w:rPr>
        <w:tab/>
      </w:r>
      <w:r>
        <w:rPr>
          <w:rStyle w:val="31"/>
          <w:rFonts w:hint="eastAsia"/>
        </w:rPr>
        <w:t>开户凭证</w:t>
      </w:r>
      <w:r>
        <w:tab/>
      </w:r>
      <w:r>
        <w:fldChar w:fldCharType="begin"/>
      </w:r>
      <w:r>
        <w:instrText xml:space="preserve"> PAGEREF _Toc508624134 \h </w:instrText>
      </w:r>
      <w:r>
        <w:fldChar w:fldCharType="separate"/>
      </w:r>
      <w:r>
        <w:t>40</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"_Toc508624135"</w:instrText>
      </w:r>
      <w:r>
        <w:rPr>
          <w:rStyle w:val="31"/>
        </w:rPr>
        <w:instrText xml:space="preserve"> </w:instrText>
      </w:r>
      <w:r>
        <w:rPr>
          <w:rStyle w:val="31"/>
        </w:rPr>
        <w:fldChar w:fldCharType="separate"/>
      </w:r>
      <w:r>
        <w:rPr>
          <w:rStyle w:val="31"/>
        </w:rPr>
        <w:t>7.1.2</w:t>
      </w:r>
      <w:r>
        <w:rPr>
          <w:rFonts w:ascii="Calibri" w:hAnsi="Calibri"/>
          <w:i w:val="0"/>
          <w:iCs w:val="0"/>
          <w:szCs w:val="22"/>
          <w:lang w:val="en-US" w:eastAsia="zh-CN"/>
        </w:rPr>
        <w:tab/>
      </w:r>
      <w:r>
        <w:rPr>
          <w:rStyle w:val="31"/>
          <w:rFonts w:hint="eastAsia"/>
        </w:rPr>
        <w:t>交存凭证</w:t>
      </w:r>
      <w:r>
        <w:tab/>
      </w:r>
      <w:r>
        <w:fldChar w:fldCharType="begin"/>
      </w:r>
      <w:r>
        <w:instrText xml:space="preserve"> PAGEREF _Toc508624135 \h </w:instrText>
      </w:r>
      <w:r>
        <w:fldChar w:fldCharType="separate"/>
      </w:r>
      <w:r>
        <w:t>41</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"_Toc508624136"</w:instrText>
      </w:r>
      <w:r>
        <w:rPr>
          <w:rStyle w:val="31"/>
        </w:rPr>
        <w:instrText xml:space="preserve"> </w:instrText>
      </w:r>
      <w:r>
        <w:rPr>
          <w:rStyle w:val="31"/>
        </w:rPr>
        <w:fldChar w:fldCharType="separate"/>
      </w:r>
      <w:r>
        <w:rPr>
          <w:rStyle w:val="31"/>
        </w:rPr>
        <w:t>7.1.3</w:t>
      </w:r>
      <w:r>
        <w:rPr>
          <w:rFonts w:ascii="Calibri" w:hAnsi="Calibri"/>
          <w:i w:val="0"/>
          <w:iCs w:val="0"/>
          <w:szCs w:val="22"/>
          <w:lang w:val="en-US" w:eastAsia="zh-CN"/>
        </w:rPr>
        <w:tab/>
      </w:r>
      <w:r>
        <w:rPr>
          <w:rStyle w:val="31"/>
          <w:rFonts w:hint="eastAsia"/>
        </w:rPr>
        <w:t>批量交存凭证</w:t>
      </w:r>
      <w:r>
        <w:tab/>
      </w:r>
      <w:r>
        <w:fldChar w:fldCharType="begin"/>
      </w:r>
      <w:r>
        <w:instrText xml:space="preserve"> PAGEREF _Toc508624136 \h </w:instrText>
      </w:r>
      <w:r>
        <w:fldChar w:fldCharType="separate"/>
      </w:r>
      <w:r>
        <w:t>42</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"_Toc508624137"</w:instrText>
      </w:r>
      <w:r>
        <w:rPr>
          <w:rStyle w:val="31"/>
        </w:rPr>
        <w:instrText xml:space="preserve"> </w:instrText>
      </w:r>
      <w:r>
        <w:rPr>
          <w:rStyle w:val="31"/>
        </w:rPr>
        <w:fldChar w:fldCharType="separate"/>
      </w:r>
      <w:r>
        <w:rPr>
          <w:rStyle w:val="31"/>
        </w:rPr>
        <w:t>7.1.4</w:t>
      </w:r>
      <w:r>
        <w:rPr>
          <w:rFonts w:ascii="Calibri" w:hAnsi="Calibri"/>
          <w:i w:val="0"/>
          <w:iCs w:val="0"/>
          <w:szCs w:val="22"/>
          <w:lang w:val="en-US" w:eastAsia="zh-CN"/>
        </w:rPr>
        <w:tab/>
      </w:r>
      <w:r>
        <w:rPr>
          <w:rStyle w:val="31"/>
          <w:rFonts w:hint="eastAsia"/>
        </w:rPr>
        <w:t>划拨凭证</w:t>
      </w:r>
      <w:r>
        <w:tab/>
      </w:r>
      <w:r>
        <w:fldChar w:fldCharType="begin"/>
      </w:r>
      <w:r>
        <w:instrText xml:space="preserve"> PAGEREF _Toc508624137 \h </w:instrText>
      </w:r>
      <w:r>
        <w:fldChar w:fldCharType="separate"/>
      </w:r>
      <w:r>
        <w:t>43</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"_Toc508624138"</w:instrText>
      </w:r>
      <w:r>
        <w:rPr>
          <w:rStyle w:val="31"/>
        </w:rPr>
        <w:instrText xml:space="preserve"> </w:instrText>
      </w:r>
      <w:r>
        <w:rPr>
          <w:rStyle w:val="31"/>
        </w:rPr>
        <w:fldChar w:fldCharType="separate"/>
      </w:r>
      <w:r>
        <w:rPr>
          <w:rStyle w:val="31"/>
        </w:rPr>
        <w:t>7.1.5</w:t>
      </w:r>
      <w:r>
        <w:rPr>
          <w:rFonts w:ascii="Calibri" w:hAnsi="Calibri"/>
          <w:i w:val="0"/>
          <w:iCs w:val="0"/>
          <w:szCs w:val="22"/>
          <w:lang w:val="en-US" w:eastAsia="zh-CN"/>
        </w:rPr>
        <w:tab/>
      </w:r>
      <w:r>
        <w:rPr>
          <w:rStyle w:val="31"/>
          <w:rFonts w:hint="eastAsia"/>
        </w:rPr>
        <w:t>错账拨款凭证</w:t>
      </w:r>
      <w:r>
        <w:tab/>
      </w:r>
      <w:r>
        <w:fldChar w:fldCharType="begin"/>
      </w:r>
      <w:r>
        <w:instrText xml:space="preserve"> PAGEREF _Toc508624138 \h </w:instrText>
      </w:r>
      <w:r>
        <w:fldChar w:fldCharType="separate"/>
      </w:r>
      <w:r>
        <w:t>43</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"_Toc508624139"</w:instrText>
      </w:r>
      <w:r>
        <w:rPr>
          <w:rStyle w:val="31"/>
        </w:rPr>
        <w:instrText xml:space="preserve"> </w:instrText>
      </w:r>
      <w:r>
        <w:rPr>
          <w:rStyle w:val="31"/>
        </w:rPr>
        <w:fldChar w:fldCharType="separate"/>
      </w:r>
      <w:r>
        <w:rPr>
          <w:rStyle w:val="31"/>
        </w:rPr>
        <w:t>7.1.6</w:t>
      </w:r>
      <w:r>
        <w:rPr>
          <w:rFonts w:ascii="Calibri" w:hAnsi="Calibri"/>
          <w:i w:val="0"/>
          <w:iCs w:val="0"/>
          <w:szCs w:val="22"/>
          <w:lang w:val="en-US" w:eastAsia="zh-CN"/>
        </w:rPr>
        <w:tab/>
      </w:r>
      <w:r>
        <w:rPr>
          <w:rStyle w:val="31"/>
          <w:rFonts w:hint="eastAsia"/>
        </w:rPr>
        <w:t>监管解除凭证</w:t>
      </w:r>
      <w:r>
        <w:tab/>
      </w:r>
      <w:r>
        <w:fldChar w:fldCharType="begin"/>
      </w:r>
      <w:r>
        <w:instrText xml:space="preserve"> PAGEREF _Toc508624139 \h </w:instrText>
      </w:r>
      <w:r>
        <w:fldChar w:fldCharType="separate"/>
      </w:r>
      <w:r>
        <w:t>44</w:t>
      </w:r>
      <w:r>
        <w:fldChar w:fldCharType="end"/>
      </w:r>
      <w:r>
        <w:rPr>
          <w:rStyle w:val="31"/>
        </w:rPr>
        <w:fldChar w:fldCharType="end"/>
      </w:r>
    </w:p>
    <w:p>
      <w:pPr>
        <w:pStyle w:val="13"/>
        <w:tabs>
          <w:tab w:val="left" w:pos="1680"/>
          <w:tab w:val="right" w:leader="dot" w:pos="8302"/>
        </w:tabs>
        <w:rPr>
          <w:rFonts w:ascii="Calibri" w:hAnsi="Calibri"/>
          <w:i w:val="0"/>
          <w:iCs w:val="0"/>
          <w:szCs w:val="22"/>
          <w:lang w:val="en-US" w:eastAsia="zh-CN"/>
        </w:rPr>
      </w:pPr>
      <w:r>
        <w:rPr>
          <w:rStyle w:val="31"/>
        </w:rPr>
        <w:fldChar w:fldCharType="begin"/>
      </w:r>
      <w:r>
        <w:rPr>
          <w:rStyle w:val="31"/>
        </w:rPr>
        <w:instrText xml:space="preserve"> </w:instrText>
      </w:r>
      <w:r>
        <w:instrText xml:space="preserve">HYPERLINK \l "_Toc508624140"</w:instrText>
      </w:r>
      <w:r>
        <w:rPr>
          <w:rStyle w:val="31"/>
        </w:rPr>
        <w:instrText xml:space="preserve"> </w:instrText>
      </w:r>
      <w:r>
        <w:rPr>
          <w:rStyle w:val="31"/>
        </w:rPr>
        <w:fldChar w:fldCharType="separate"/>
      </w:r>
      <w:r>
        <w:rPr>
          <w:rStyle w:val="31"/>
        </w:rPr>
        <w:t>7.1.7</w:t>
      </w:r>
      <w:r>
        <w:rPr>
          <w:rFonts w:ascii="Calibri" w:hAnsi="Calibri"/>
          <w:i w:val="0"/>
          <w:iCs w:val="0"/>
          <w:szCs w:val="22"/>
          <w:lang w:val="en-US" w:eastAsia="zh-CN"/>
        </w:rPr>
        <w:tab/>
      </w:r>
      <w:r>
        <w:rPr>
          <w:rStyle w:val="31"/>
          <w:rFonts w:hint="eastAsia"/>
        </w:rPr>
        <w:t>监管终止凭证</w:t>
      </w:r>
      <w:r>
        <w:tab/>
      </w:r>
      <w:r>
        <w:fldChar w:fldCharType="begin"/>
      </w:r>
      <w:r>
        <w:instrText xml:space="preserve"> PAGEREF _Toc508624140 \h </w:instrText>
      </w:r>
      <w:r>
        <w:fldChar w:fldCharType="separate"/>
      </w:r>
      <w:r>
        <w:t>45</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"_Toc508624141"</w:instrText>
      </w:r>
      <w:r>
        <w:rPr>
          <w:rStyle w:val="31"/>
        </w:rPr>
        <w:instrText xml:space="preserve"> </w:instrText>
      </w:r>
      <w:r>
        <w:rPr>
          <w:rStyle w:val="31"/>
        </w:rPr>
        <w:fldChar w:fldCharType="separate"/>
      </w:r>
      <w:r>
        <w:rPr>
          <w:rStyle w:val="31"/>
        </w:rPr>
        <w:t>7.2</w:t>
      </w:r>
      <w:r>
        <w:rPr>
          <w:rFonts w:ascii="Calibri" w:hAnsi="Calibri"/>
          <w:smallCaps w:val="0"/>
          <w:szCs w:val="22"/>
        </w:rPr>
        <w:tab/>
      </w:r>
      <w:r>
        <w:rPr>
          <w:rStyle w:val="31"/>
          <w:rFonts w:hint="eastAsia"/>
        </w:rPr>
        <w:t>字典代码</w:t>
      </w:r>
      <w:r>
        <w:tab/>
      </w:r>
      <w:r>
        <w:fldChar w:fldCharType="begin"/>
      </w:r>
      <w:r>
        <w:instrText xml:space="preserve"> PAGEREF _Toc508624141 \h </w:instrText>
      </w:r>
      <w:r>
        <w:fldChar w:fldCharType="separate"/>
      </w:r>
      <w:r>
        <w:t>45</w:t>
      </w:r>
      <w:r>
        <w:fldChar w:fldCharType="end"/>
      </w:r>
      <w:r>
        <w:rPr>
          <w:rStyle w:val="31"/>
        </w:rPr>
        <w:fldChar w:fldCharType="end"/>
      </w:r>
    </w:p>
    <w:p>
      <w:pPr>
        <w:pStyle w:val="24"/>
        <w:tabs>
          <w:tab w:val="left" w:pos="1260"/>
          <w:tab w:val="right" w:leader="dot" w:pos="8302"/>
        </w:tabs>
        <w:spacing w:before="156" w:after="156"/>
        <w:ind w:firstLine="420"/>
        <w:rPr>
          <w:rFonts w:ascii="Calibri" w:hAnsi="Calibri"/>
          <w:smallCaps w:val="0"/>
          <w:szCs w:val="22"/>
        </w:rPr>
      </w:pPr>
      <w:r>
        <w:rPr>
          <w:rStyle w:val="31"/>
        </w:rPr>
        <w:fldChar w:fldCharType="begin"/>
      </w:r>
      <w:r>
        <w:rPr>
          <w:rStyle w:val="31"/>
        </w:rPr>
        <w:instrText xml:space="preserve"> </w:instrText>
      </w:r>
      <w:r>
        <w:instrText xml:space="preserve">HYPERLINK \l "_Toc508624142"</w:instrText>
      </w:r>
      <w:r>
        <w:rPr>
          <w:rStyle w:val="31"/>
        </w:rPr>
        <w:instrText xml:space="preserve"> </w:instrText>
      </w:r>
      <w:r>
        <w:rPr>
          <w:rStyle w:val="31"/>
        </w:rPr>
        <w:fldChar w:fldCharType="separate"/>
      </w:r>
      <w:r>
        <w:rPr>
          <w:rStyle w:val="31"/>
        </w:rPr>
        <w:t>7.3</w:t>
      </w:r>
      <w:r>
        <w:rPr>
          <w:rFonts w:ascii="Calibri" w:hAnsi="Calibri"/>
          <w:smallCaps w:val="0"/>
          <w:szCs w:val="22"/>
        </w:rPr>
        <w:tab/>
      </w:r>
      <w:r>
        <w:rPr>
          <w:rStyle w:val="31"/>
          <w:rFonts w:hint="eastAsia"/>
        </w:rPr>
        <w:t>错误码定义</w:t>
      </w:r>
      <w:r>
        <w:tab/>
      </w:r>
      <w:r>
        <w:fldChar w:fldCharType="begin"/>
      </w:r>
      <w:r>
        <w:instrText xml:space="preserve"> PAGEREF _Toc508624142 \h </w:instrText>
      </w:r>
      <w:r>
        <w:fldChar w:fldCharType="separate"/>
      </w:r>
      <w:r>
        <w:t>46</w:t>
      </w:r>
      <w:r>
        <w:fldChar w:fldCharType="end"/>
      </w:r>
      <w:r>
        <w:rPr>
          <w:rStyle w:val="31"/>
        </w:rPr>
        <w:fldChar w:fldCharType="end"/>
      </w:r>
    </w:p>
    <w:p>
      <w:pPr>
        <w:spacing w:before="156" w:after="156"/>
        <w:ind w:firstLine="420"/>
      </w:pPr>
      <w:r>
        <w:fldChar w:fldCharType="end"/>
      </w:r>
    </w:p>
    <w:p>
      <w:pPr>
        <w:pStyle w:val="34"/>
        <w:rPr>
          <w:rFonts w:hint="eastAsia"/>
        </w:rPr>
      </w:pPr>
    </w:p>
    <w:p>
      <w:pPr>
        <w:pStyle w:val="2"/>
      </w:pPr>
      <w:bookmarkStart w:id="0" w:name="_Toc269931788"/>
      <w:bookmarkStart w:id="1" w:name="_Toc269917469"/>
      <w:bookmarkStart w:id="2" w:name="_Toc508624074"/>
      <w:r>
        <w:rPr>
          <w:rFonts w:hint="eastAsia"/>
        </w:rPr>
        <w:t>总体描述</w:t>
      </w:r>
      <w:bookmarkEnd w:id="0"/>
      <w:bookmarkEnd w:id="1"/>
      <w:bookmarkEnd w:id="2"/>
    </w:p>
    <w:p>
      <w:pPr>
        <w:pStyle w:val="3"/>
      </w:pPr>
      <w:bookmarkStart w:id="3" w:name="_Toc269931789"/>
      <w:bookmarkStart w:id="4" w:name="_Toc269917470"/>
      <w:bookmarkStart w:id="5" w:name="_Toc508624075"/>
      <w:r>
        <w:rPr>
          <w:rFonts w:hint="eastAsia"/>
        </w:rPr>
        <w:t>前言</w:t>
      </w:r>
      <w:bookmarkEnd w:id="3"/>
      <w:bookmarkEnd w:id="4"/>
      <w:bookmarkEnd w:id="5"/>
    </w:p>
    <w:p>
      <w:pPr>
        <w:spacing w:before="156" w:after="156"/>
        <w:ind w:firstLine="420"/>
      </w:pPr>
      <w:r>
        <w:rPr>
          <w:rFonts w:hint="eastAsia"/>
        </w:rPr>
        <w:t>本文档定义了预售资金监管平台与监管银行的交易处理接口，接口定义了监管银行中间业务系统与预售资金监管平台每步交易的数据项和具体信息规格。本接口供监管银行进行设计开发，以与预售资金监管平台共同完成预售资金的缴存、划拨、错账出账、监管解除、对账等业务。</w:t>
      </w:r>
    </w:p>
    <w:p>
      <w:pPr>
        <w:spacing w:before="156" w:after="156"/>
        <w:ind w:firstLine="420"/>
        <w:rPr>
          <w:rFonts w:hint="eastAsia"/>
        </w:rPr>
      </w:pPr>
      <w:r>
        <w:rPr>
          <w:rFonts w:hint="eastAsia"/>
        </w:rPr>
        <w:t>预售资金监管平台提供通讯服务，具体的IP地址和端口另行定义。</w:t>
      </w:r>
    </w:p>
    <w:p>
      <w:pPr>
        <w:spacing w:before="156" w:after="156"/>
        <w:ind w:firstLine="420"/>
      </w:pPr>
      <w:r>
        <w:rPr>
          <w:rFonts w:hint="eastAsia"/>
        </w:rPr>
        <w:t>各监管银行中间业务平台提供通讯服务，具体的IP地址和端口另行定义。</w:t>
      </w:r>
    </w:p>
    <w:p>
      <w:pPr>
        <w:pStyle w:val="3"/>
      </w:pPr>
      <w:bookmarkStart w:id="6" w:name="_Toc269931790"/>
      <w:bookmarkStart w:id="7" w:name="_Toc508624076"/>
      <w:bookmarkStart w:id="8" w:name="_Toc269917471"/>
      <w:r>
        <w:rPr>
          <w:rFonts w:hint="eastAsia"/>
        </w:rPr>
        <w:t>定义</w:t>
      </w:r>
      <w:bookmarkEnd w:id="6"/>
      <w:bookmarkEnd w:id="7"/>
      <w:bookmarkEnd w:id="8"/>
    </w:p>
    <w:p>
      <w:pPr>
        <w:spacing w:before="156" w:after="156"/>
        <w:ind w:firstLine="422"/>
      </w:pPr>
      <w:r>
        <w:rPr>
          <w:rStyle w:val="52"/>
          <w:rFonts w:hint="eastAsia"/>
        </w:rPr>
        <w:t>预售资金监管平台：</w:t>
      </w:r>
      <w:r>
        <w:rPr>
          <w:rFonts w:hint="eastAsia"/>
        </w:rPr>
        <w:t>预售商品房资金监管系统。</w:t>
      </w:r>
    </w:p>
    <w:p>
      <w:pPr>
        <w:spacing w:before="156" w:after="156"/>
        <w:ind w:firstLine="422"/>
      </w:pPr>
      <w:r>
        <w:rPr>
          <w:rStyle w:val="52"/>
          <w:rFonts w:hint="eastAsia"/>
        </w:rPr>
        <w:t>监管银行</w:t>
      </w:r>
      <w:r>
        <w:rPr>
          <w:rFonts w:hint="eastAsia"/>
        </w:rPr>
        <w:t>：对监管账户进行管理的商业银行。</w:t>
      </w:r>
    </w:p>
    <w:p>
      <w:pPr>
        <w:spacing w:before="156" w:after="156"/>
        <w:ind w:firstLine="422"/>
        <w:rPr>
          <w:rFonts w:hint="eastAsia"/>
        </w:rPr>
      </w:pPr>
      <w:r>
        <w:rPr>
          <w:rFonts w:hint="eastAsia"/>
          <w:b/>
        </w:rPr>
        <w:t>预售人：</w:t>
      </w:r>
      <w:r>
        <w:rPr>
          <w:rFonts w:hint="eastAsia"/>
        </w:rPr>
        <w:t>预售商品房的房地产开发经营企业。</w:t>
      </w:r>
    </w:p>
    <w:p>
      <w:pPr>
        <w:spacing w:before="156" w:after="156"/>
        <w:ind w:firstLine="422"/>
        <w:rPr>
          <w:rFonts w:hint="eastAsia"/>
        </w:rPr>
      </w:pPr>
      <w:r>
        <w:rPr>
          <w:rFonts w:hint="eastAsia"/>
          <w:b/>
        </w:rPr>
        <w:t>预购人：</w:t>
      </w:r>
      <w:r>
        <w:rPr>
          <w:rFonts w:hint="eastAsia"/>
        </w:rPr>
        <w:t>购买预售商品房的单位和个人。</w:t>
      </w:r>
    </w:p>
    <w:p>
      <w:pPr>
        <w:spacing w:before="156" w:after="156"/>
        <w:ind w:firstLine="422"/>
        <w:rPr>
          <w:rFonts w:hint="eastAsia"/>
        </w:rPr>
      </w:pPr>
      <w:r>
        <w:rPr>
          <w:rFonts w:hint="eastAsia"/>
          <w:b/>
        </w:rPr>
        <w:t>预售款：</w:t>
      </w:r>
      <w:r>
        <w:rPr>
          <w:rFonts w:hint="eastAsia"/>
        </w:rPr>
        <w:t>预售人依法将其开发的商品房在竣工验收前出售，由预购人按合同约定支付的房价款（包括预售商品房按揭贷款和分期、一次性付款）等各种款项。</w:t>
      </w:r>
    </w:p>
    <w:p>
      <w:pPr>
        <w:spacing w:before="156" w:after="156"/>
        <w:ind w:firstLine="422"/>
        <w:rPr>
          <w:rFonts w:hint="eastAsia"/>
        </w:rPr>
      </w:pPr>
      <w:r>
        <w:rPr>
          <w:rFonts w:hint="eastAsia"/>
          <w:b/>
        </w:rPr>
        <w:t>资金监管专户：</w:t>
      </w:r>
      <w:r>
        <w:rPr>
          <w:rFonts w:hint="eastAsia"/>
        </w:rPr>
        <w:t>预售人在申请商品房预售许可证前，应委托一家商业银行作为预售款监管银行，设立商品房预收款监管专用账户，用于预售款管理，该专户要求去掉电子银行功能。</w:t>
      </w:r>
    </w:p>
    <w:p>
      <w:pPr>
        <w:spacing w:before="156" w:after="156"/>
        <w:ind w:firstLine="422"/>
        <w:rPr>
          <w:rFonts w:hint="eastAsia"/>
        </w:rPr>
      </w:pPr>
      <w:r>
        <w:rPr>
          <w:rStyle w:val="52"/>
          <w:rFonts w:hint="eastAsia"/>
        </w:rPr>
        <w:t>业务编码：</w:t>
      </w:r>
      <w:r>
        <w:rPr>
          <w:rFonts w:hint="eastAsia"/>
        </w:rPr>
        <w:t>为预售资金监管平台生成的业务编码，唯一确定一笔预售资金监管业务。包括预售资金开户通知书编号、预售资金交存通知书编号、预售资金批量交存编号，预售资金划拨业务编号、预售资金错账拨款编号、预售资金监管解除编号、预售资金终止监管编号。</w:t>
      </w:r>
    </w:p>
    <w:p>
      <w:pPr>
        <w:pStyle w:val="3"/>
      </w:pPr>
      <w:bookmarkStart w:id="9" w:name="_Toc508624077"/>
      <w:bookmarkStart w:id="10" w:name="_Toc269931791"/>
      <w:bookmarkStart w:id="11" w:name="_Toc269917472"/>
      <w:r>
        <w:rPr>
          <w:rFonts w:hint="eastAsia"/>
        </w:rPr>
        <w:t>基本约定</w:t>
      </w:r>
      <w:bookmarkEnd w:id="9"/>
      <w:bookmarkEnd w:id="10"/>
      <w:bookmarkEnd w:id="11"/>
    </w:p>
    <w:p>
      <w:pPr>
        <w:numPr>
          <w:ilvl w:val="0"/>
          <w:numId w:val="3"/>
        </w:numPr>
        <w:spacing w:before="156" w:after="156"/>
        <w:ind w:right="-107" w:firstLineChars="0"/>
      </w:pPr>
      <w:r>
        <w:rPr>
          <w:rFonts w:hint="eastAsia"/>
        </w:rPr>
        <w:t>预售资金监管平台与各监管银行的接口基于TCP协议，socket通讯，短连接。</w:t>
      </w:r>
    </w:p>
    <w:p>
      <w:pPr>
        <w:numPr>
          <w:ilvl w:val="0"/>
          <w:numId w:val="3"/>
        </w:numPr>
        <w:spacing w:before="156" w:after="156"/>
        <w:ind w:firstLineChars="0"/>
      </w:pPr>
      <w:r>
        <w:rPr>
          <w:rFonts w:hint="eastAsia"/>
        </w:rPr>
        <w:t>在接口关系中，约定预售资金监管平台为上位机，监管银行中间业务系统为下位机；由监管银行中间业务系统发起，到预售资金监管平台的通讯为上行通讯，反之为下行通讯。</w:t>
      </w:r>
    </w:p>
    <w:p>
      <w:pPr>
        <w:numPr>
          <w:ilvl w:val="0"/>
          <w:numId w:val="3"/>
        </w:numPr>
        <w:spacing w:before="156" w:after="156"/>
        <w:ind w:firstLineChars="0"/>
      </w:pPr>
      <w:r>
        <w:rPr>
          <w:rFonts w:hint="eastAsia"/>
        </w:rPr>
        <w:t>总体报文格式：数据报头为六位数据包内容长度，后面为数据包内容。数据包内容报文按约定顺序，数据项之间采用</w:t>
      </w:r>
      <w:r>
        <w:t>’</w:t>
      </w:r>
      <w:r>
        <w:rPr>
          <w:rFonts w:hint="eastAsia"/>
        </w:rPr>
        <w:t>|</w:t>
      </w:r>
      <w:r>
        <w:t>’</w:t>
      </w:r>
      <w:r>
        <w:rPr>
          <w:rFonts w:hint="eastAsia"/>
        </w:rPr>
        <w:t xml:space="preserve"> 符间隔方式。</w:t>
      </w:r>
    </w:p>
    <w:p>
      <w:pPr>
        <w:numPr>
          <w:ilvl w:val="0"/>
          <w:numId w:val="3"/>
        </w:numPr>
        <w:spacing w:before="156" w:after="156"/>
        <w:ind w:firstLineChars="0"/>
        <w:rPr>
          <w:rFonts w:hint="eastAsia"/>
        </w:rPr>
      </w:pPr>
      <w:r>
        <w:rPr>
          <w:rFonts w:hint="eastAsia"/>
        </w:rPr>
        <w:t>如数据包：</w:t>
      </w:r>
      <w:r>
        <w:rPr>
          <w:rFonts w:hint="eastAsia"/>
          <w:u w:val="single"/>
        </w:rPr>
        <w:t>000028</w:t>
      </w:r>
      <w:r>
        <w:rPr>
          <w:rFonts w:hint="eastAsia"/>
        </w:rPr>
        <w:t>2120|12342347890|2003-01-02|，带下划线部分为数据报头，后面为数据报内容，长度不足，应右补空格左对齐。</w:t>
      </w:r>
    </w:p>
    <w:p>
      <w:pPr>
        <w:numPr>
          <w:ilvl w:val="0"/>
          <w:numId w:val="3"/>
        </w:numPr>
        <w:spacing w:before="156" w:after="156"/>
        <w:ind w:firstLineChars="0"/>
        <w:rPr>
          <w:rFonts w:hint="eastAsia"/>
        </w:rPr>
      </w:pPr>
      <w:r>
        <w:rPr>
          <w:rFonts w:hint="eastAsia"/>
        </w:rPr>
        <w:t>由银行发送的流水号必须保证全系统唯一，除冲正交易送原交易流水号外，其他交易流水号不能重复，隔日不能重复。建议银行采用8位日期+顺序号的方式。</w:t>
      </w:r>
    </w:p>
    <w:p>
      <w:pPr>
        <w:numPr>
          <w:ilvl w:val="0"/>
          <w:numId w:val="3"/>
        </w:numPr>
        <w:spacing w:before="156" w:after="156"/>
        <w:ind w:firstLineChars="0"/>
        <w:rPr>
          <w:rFonts w:hint="eastAsia"/>
        </w:rPr>
      </w:pPr>
      <w:r>
        <w:rPr>
          <w:rFonts w:hint="eastAsia"/>
        </w:rPr>
        <w:t>金额除特殊约定外，均以分为单位。</w:t>
      </w:r>
    </w:p>
    <w:p>
      <w:pPr>
        <w:numPr>
          <w:ilvl w:val="0"/>
          <w:numId w:val="3"/>
        </w:numPr>
        <w:spacing w:before="156" w:after="156"/>
        <w:ind w:firstLineChars="0"/>
      </w:pPr>
      <w:r>
        <w:rPr>
          <w:rFonts w:hint="eastAsia"/>
        </w:rPr>
        <w:t>系统投产当日，银行就应该按照要求发送对账文件及余额文件，具体要求参见相关章节。</w:t>
      </w:r>
    </w:p>
    <w:p>
      <w:pPr>
        <w:numPr>
          <w:ilvl w:val="0"/>
          <w:numId w:val="3"/>
        </w:numPr>
        <w:spacing w:before="156" w:after="156"/>
        <w:ind w:firstLineChars="0"/>
        <w:rPr>
          <w:rFonts w:hint="eastAsia"/>
        </w:rPr>
      </w:pPr>
      <w:r>
        <w:t>汉字按</w:t>
      </w:r>
      <w:r>
        <w:rPr>
          <w:rFonts w:hint="eastAsia"/>
        </w:rPr>
        <w:t>G</w:t>
      </w:r>
      <w:r>
        <w:t>BK编码</w:t>
      </w:r>
      <w:r>
        <w:rPr>
          <w:rFonts w:hint="eastAsia"/>
        </w:rPr>
        <w:t>，一个汉字两个字节。</w:t>
      </w:r>
    </w:p>
    <w:p>
      <w:pPr>
        <w:spacing w:before="156" w:after="156"/>
        <w:ind w:left="840" w:firstLine="0" w:firstLineChars="0"/>
        <w:rPr>
          <w:rFonts w:hint="eastAsia"/>
        </w:rPr>
      </w:pPr>
    </w:p>
    <w:p>
      <w:pPr>
        <w:pStyle w:val="2"/>
        <w:rPr>
          <w:rFonts w:hint="eastAsia"/>
        </w:rPr>
      </w:pPr>
      <w:bookmarkStart w:id="12" w:name="_Toc508624078"/>
      <w:bookmarkStart w:id="13" w:name="_Toc269917474"/>
      <w:bookmarkStart w:id="14" w:name="_Toc269931792"/>
      <w:r>
        <w:rPr>
          <w:rFonts w:hint="eastAsia"/>
        </w:rPr>
        <w:t>总体功能</w:t>
      </w:r>
      <w:bookmarkEnd w:id="12"/>
      <w:bookmarkEnd w:id="13"/>
      <w:bookmarkEnd w:id="14"/>
    </w:p>
    <w:p>
      <w:pPr>
        <w:pStyle w:val="3"/>
      </w:pPr>
      <w:bookmarkStart w:id="15" w:name="_Toc269917473"/>
      <w:bookmarkStart w:id="16" w:name="_Toc508624079"/>
      <w:bookmarkStart w:id="17" w:name="_Toc269931793"/>
      <w:r>
        <w:rPr>
          <w:rFonts w:hint="eastAsia"/>
        </w:rPr>
        <w:t>项目目标</w:t>
      </w:r>
      <w:bookmarkEnd w:id="15"/>
      <w:bookmarkEnd w:id="16"/>
      <w:bookmarkEnd w:id="17"/>
    </w:p>
    <w:p>
      <w:pPr>
        <w:spacing w:before="156" w:after="156"/>
        <w:ind w:firstLine="420"/>
        <w:rPr>
          <w:rFonts w:hint="eastAsia"/>
        </w:rPr>
      </w:pPr>
      <w:r>
        <w:rPr>
          <w:rFonts w:hint="eastAsia"/>
        </w:rPr>
        <w:t>对商品房预售款进行监控有利于防范金融风险，保障预购人的合法权益，确保预售款在项目竣工之前，做到专款专用。通过预售资金监管平台，将切实实现如下目标：</w:t>
      </w:r>
    </w:p>
    <w:p>
      <w:pPr>
        <w:numPr>
          <w:ilvl w:val="0"/>
          <w:numId w:val="4"/>
        </w:numPr>
        <w:spacing w:before="156" w:after="156"/>
        <w:ind w:firstLineChars="0"/>
        <w:rPr>
          <w:rFonts w:hint="eastAsia"/>
        </w:rPr>
      </w:pPr>
      <w:r>
        <w:rPr>
          <w:rFonts w:hint="eastAsia"/>
        </w:rPr>
        <w:t>预售资金监管平台与监管银行中间业务平台联网，实现监管专户资金实时监控；</w:t>
      </w:r>
    </w:p>
    <w:p>
      <w:pPr>
        <w:numPr>
          <w:ilvl w:val="0"/>
          <w:numId w:val="4"/>
        </w:numPr>
        <w:spacing w:before="156" w:after="156"/>
        <w:ind w:firstLineChars="0"/>
        <w:rPr>
          <w:rFonts w:hint="eastAsia"/>
        </w:rPr>
      </w:pPr>
      <w:r>
        <w:rPr>
          <w:rFonts w:hint="eastAsia"/>
        </w:rPr>
        <w:t>所有资金进账、出账均源于预售资金监管业务，将所有预售款均纳入监管专户；</w:t>
      </w:r>
    </w:p>
    <w:p>
      <w:pPr>
        <w:numPr>
          <w:ilvl w:val="0"/>
          <w:numId w:val="4"/>
        </w:numPr>
        <w:spacing w:before="156" w:after="156"/>
        <w:ind w:firstLineChars="0"/>
        <w:rPr>
          <w:rFonts w:hint="eastAsia"/>
        </w:rPr>
      </w:pPr>
      <w:r>
        <w:rPr>
          <w:rFonts w:hint="eastAsia"/>
        </w:rPr>
        <w:t>资金划拨均通过业务审核，确保预售资金专款专用。</w:t>
      </w:r>
    </w:p>
    <w:p>
      <w:pPr>
        <w:spacing w:before="156" w:after="156"/>
        <w:ind w:firstLine="420"/>
      </w:pPr>
      <w:r>
        <w:rPr>
          <w:rFonts w:hint="eastAsia"/>
        </w:rPr>
        <w:t>如下图所示，为商品房预售资金监管系统软件体系架构：</w:t>
      </w:r>
    </w:p>
    <w:p>
      <w:pPr>
        <w:spacing w:before="156" w:after="156"/>
        <w:ind w:firstLine="0" w:firstLineChars="0"/>
        <w:rPr>
          <w:rFonts w:hint="eastAsia"/>
        </w:rPr>
      </w:pPr>
      <w:r>
        <w:object>
          <v:shape id="_x0000_i1025" o:spt="75" type="#_x0000_t75" style="height:331.95pt;width:470.05pt;" o:ole="t" filled="f"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spacing w:before="156" w:after="156"/>
        <w:ind w:firstLine="420"/>
        <w:rPr>
          <w:rFonts w:hint="eastAsia"/>
        </w:rPr>
      </w:pPr>
      <w:r>
        <w:rPr>
          <w:rFonts w:hint="eastAsia"/>
        </w:rPr>
        <w:t>如上所示，预售资金监管系统是通过与监管银行联网的方式，监管银行方实现建立监管、预售款交存、预收款划拨使用、错账拨款、监管解除、日终对账、往来账查询等功能。</w:t>
      </w:r>
    </w:p>
    <w:p>
      <w:pPr>
        <w:spacing w:before="156" w:after="156"/>
        <w:ind w:firstLine="420"/>
        <w:rPr>
          <w:rFonts w:hint="eastAsia"/>
        </w:rPr>
      </w:pPr>
    </w:p>
    <w:p>
      <w:pPr>
        <w:spacing w:before="156" w:after="156"/>
        <w:ind w:firstLine="420"/>
      </w:pPr>
      <w:r>
        <w:rPr>
          <w:rFonts w:hint="eastAsia"/>
        </w:rPr>
        <w:t>如下为各个功能的的业务处理流程，没有在此列出的交易请参照接口定义。</w:t>
      </w:r>
    </w:p>
    <w:p>
      <w:pPr>
        <w:pStyle w:val="2"/>
        <w:rPr>
          <w:rFonts w:hint="eastAsia"/>
        </w:rPr>
      </w:pPr>
      <w:bookmarkStart w:id="18" w:name="_Toc508624080"/>
      <w:r>
        <w:rPr>
          <w:rFonts w:hint="eastAsia"/>
        </w:rPr>
        <w:t>商业银行业务流程</w:t>
      </w:r>
      <w:bookmarkEnd w:id="18"/>
    </w:p>
    <w:p>
      <w:pPr>
        <w:pStyle w:val="3"/>
        <w:rPr>
          <w:rFonts w:hint="eastAsia"/>
        </w:rPr>
      </w:pPr>
      <w:bookmarkStart w:id="19" w:name="_Toc269917475"/>
      <w:bookmarkStart w:id="20" w:name="_Toc269931794"/>
      <w:bookmarkStart w:id="21" w:name="_Toc508624081"/>
      <w:r>
        <w:rPr>
          <w:rFonts w:hint="eastAsia"/>
        </w:rPr>
        <w:t>交款</w:t>
      </w:r>
      <w:bookmarkEnd w:id="19"/>
      <w:r>
        <w:rPr>
          <w:rFonts w:hint="eastAsia"/>
        </w:rPr>
        <w:t>流程</w:t>
      </w:r>
      <w:bookmarkEnd w:id="20"/>
      <w:bookmarkEnd w:id="21"/>
    </w:p>
    <w:p>
      <w:pPr>
        <w:spacing w:before="156" w:after="156"/>
        <w:ind w:firstLine="420"/>
      </w:pPr>
      <w:r>
        <w:rPr>
          <w:rFonts w:hint="eastAsia"/>
        </w:rPr>
        <w:t>预售款交存主要包括：预购人按合同约定支付的房价款（包括预售商品房按揭贷款和分期、一次性付款）等各种款项。</w:t>
      </w:r>
    </w:p>
    <w:p>
      <w:pPr>
        <w:spacing w:before="156" w:after="156"/>
        <w:ind w:firstLine="0" w:firstLineChars="0"/>
        <w:rPr>
          <w:rFonts w:hint="eastAsia"/>
        </w:rPr>
      </w:pPr>
      <w:r>
        <w:object>
          <v:shape id="_x0000_i1026" o:spt="75" type="#_x0000_t75" style="height:486pt;width:448.8pt;" o:ole="t" filled="f" o:preferrelative="t" stroked="f" coordsize="21600,21600">
            <v:path/>
            <v:fill on="f" alignshape="1" focussize="0,0"/>
            <v:stroke on="f"/>
            <v:imagedata r:id="rId13" o:title=""/>
            <o:lock v:ext="edit" aspectratio="t"/>
            <w10:wrap type="none"/>
            <w10:anchorlock/>
          </v:shape>
          <o:OLEObject Type="Embed" ProgID="Visio.Drawing.11" ShapeID="_x0000_i1026" DrawAspect="Content" ObjectID="_1468075726" r:id="rId12">
            <o:LockedField>false</o:LockedField>
          </o:OLEObject>
        </w:object>
      </w:r>
    </w:p>
    <w:p>
      <w:pPr>
        <w:spacing w:before="156" w:after="156"/>
        <w:ind w:firstLine="420"/>
        <w:rPr>
          <w:rFonts w:hint="eastAsia"/>
        </w:rPr>
      </w:pPr>
      <w:r>
        <w:rPr>
          <w:rFonts w:hint="eastAsia"/>
        </w:rPr>
        <w:t>缴存：缴存通知书、支票（现金）。验证支票金额（现金金额）是否与缴存通知书完全一致。</w:t>
      </w:r>
    </w:p>
    <w:p>
      <w:pPr>
        <w:spacing w:before="156" w:after="156"/>
        <w:ind w:firstLine="420"/>
      </w:pPr>
    </w:p>
    <w:p>
      <w:pPr>
        <w:spacing w:before="156" w:after="156"/>
        <w:ind w:firstLine="422"/>
        <w:rPr>
          <w:b/>
        </w:rPr>
      </w:pPr>
      <w:r>
        <w:rPr>
          <w:rFonts w:hint="eastAsia"/>
          <w:b/>
        </w:rPr>
        <w:t>注意：</w:t>
      </w:r>
    </w:p>
    <w:p>
      <w:pPr>
        <w:spacing w:before="156" w:after="156"/>
        <w:ind w:firstLine="199" w:firstLineChars="95"/>
      </w:pPr>
      <w:r>
        <w:rPr>
          <w:rFonts w:hint="eastAsia"/>
        </w:rPr>
        <w:t>1、交存记账前必须先进行交存验证交易，只有验证通过后才能进行交存记账处理。</w:t>
      </w:r>
    </w:p>
    <w:p>
      <w:pPr>
        <w:spacing w:before="156" w:after="156"/>
        <w:ind w:firstLine="199" w:firstLineChars="95"/>
      </w:pPr>
      <w:r>
        <w:rPr>
          <w:rFonts w:hint="eastAsia"/>
        </w:rPr>
        <w:t>2、交存验证可多次执行，第一次验证时验证交存通知书有效期，以后不再验证交存通知书有效期（主要为满足支票可能当天无法进账的需求）。</w:t>
      </w:r>
    </w:p>
    <w:p>
      <w:pPr>
        <w:spacing w:before="156" w:after="156"/>
        <w:ind w:firstLine="199" w:firstLineChars="95"/>
      </w:pPr>
      <w:r>
        <w:rPr>
          <w:rFonts w:hint="eastAsia"/>
        </w:rPr>
        <w:t>3、预售资金监管平台返回结果为失败时，监管银行需进行内部冲正或更新发送信息后重新进行记账处理。</w:t>
      </w:r>
    </w:p>
    <w:p>
      <w:pPr>
        <w:spacing w:before="156" w:after="156"/>
        <w:ind w:firstLine="199" w:firstLineChars="95"/>
      </w:pPr>
      <w:r>
        <w:rPr>
          <w:rFonts w:hint="eastAsia"/>
        </w:rPr>
        <w:t>4、一张支票只能对应一笔缴存通知书，一笔缴存通知书只开具一张支票。</w:t>
      </w:r>
    </w:p>
    <w:p>
      <w:pPr>
        <w:spacing w:before="156" w:after="156"/>
        <w:ind w:firstLine="199" w:firstLineChars="95"/>
      </w:pPr>
      <w:r>
        <w:rPr>
          <w:rFonts w:hint="eastAsia"/>
        </w:rPr>
        <w:t>5、客户拿支票到监管银行交存时，监管银行要发起交存验证，避免支票到账时缴存通知书超过有效期。</w:t>
      </w:r>
    </w:p>
    <w:p>
      <w:pPr>
        <w:spacing w:before="156" w:after="156"/>
        <w:ind w:firstLine="199" w:firstLineChars="95"/>
      </w:pPr>
      <w:r>
        <w:rPr>
          <w:rFonts w:hint="eastAsia"/>
        </w:rPr>
        <w:t>6、当日到账的支票：支票到账后，监管银行发起交存记账，同时该笔记账交易体现在当日对账文件中。</w:t>
      </w:r>
    </w:p>
    <w:p>
      <w:pPr>
        <w:spacing w:before="156" w:after="156"/>
        <w:ind w:firstLine="199" w:firstLineChars="95"/>
        <w:rPr>
          <w:rFonts w:hint="eastAsia"/>
        </w:rPr>
      </w:pPr>
      <w:r>
        <w:rPr>
          <w:rFonts w:hint="eastAsia"/>
        </w:rPr>
        <w:t>7、当日不能到账的支票：支票到账后，监管银行要再次发起交存验证，通过后再发起缴存记账。交存记账交易必须在支票到账当日发起，同时该笔记账交易体现在当日对账文件中。</w:t>
      </w:r>
    </w:p>
    <w:p>
      <w:pPr>
        <w:spacing w:before="156" w:after="156"/>
        <w:ind w:firstLine="199" w:firstLineChars="95"/>
        <w:rPr>
          <w:rFonts w:hint="eastAsia"/>
        </w:rPr>
      </w:pPr>
      <w:bookmarkStart w:id="22" w:name="_Toc269917476"/>
      <w:bookmarkStart w:id="23" w:name="_Toc269931795"/>
    </w:p>
    <w:p>
      <w:pPr>
        <w:pStyle w:val="3"/>
      </w:pPr>
      <w:bookmarkStart w:id="24" w:name="_Toc508624082"/>
      <w:r>
        <w:rPr>
          <w:rFonts w:hint="eastAsia"/>
        </w:rPr>
        <w:t>划拨</w:t>
      </w:r>
      <w:bookmarkEnd w:id="22"/>
      <w:r>
        <w:rPr>
          <w:rFonts w:hint="eastAsia"/>
        </w:rPr>
        <w:t>及退还流程</w:t>
      </w:r>
      <w:bookmarkEnd w:id="23"/>
      <w:bookmarkEnd w:id="24"/>
    </w:p>
    <w:p>
      <w:pPr>
        <w:spacing w:before="156" w:after="156"/>
        <w:ind w:firstLine="0" w:firstLineChars="0"/>
      </w:pPr>
      <w:r>
        <w:object>
          <v:shape id="_x0000_i1027" o:spt="75" type="#_x0000_t75" style="height:497.5pt;width:467.4pt;" o:ole="t" filled="f"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spacing w:before="156" w:after="156"/>
        <w:ind w:firstLine="422"/>
        <w:rPr>
          <w:b/>
        </w:rPr>
      </w:pPr>
      <w:r>
        <w:rPr>
          <w:rFonts w:hint="eastAsia"/>
          <w:b/>
        </w:rPr>
        <w:t>注意：</w:t>
      </w:r>
    </w:p>
    <w:p>
      <w:pPr>
        <w:spacing w:before="156" w:after="156"/>
        <w:ind w:firstLine="199" w:firstLineChars="95"/>
      </w:pPr>
      <w:r>
        <w:rPr>
          <w:rFonts w:hint="eastAsia"/>
        </w:rPr>
        <w:t>1、划拨记账前必须先进行划拨验证交易，只有验证通过后才能进行划拨记账处理。</w:t>
      </w:r>
    </w:p>
    <w:p>
      <w:pPr>
        <w:spacing w:before="156" w:after="156"/>
        <w:ind w:firstLine="199" w:firstLineChars="95"/>
      </w:pPr>
      <w:r>
        <w:rPr>
          <w:rFonts w:hint="eastAsia"/>
        </w:rPr>
        <w:t>2、划拨记账金额必须同划拨凭证一致，否则预售资金监管平台将返回错误，不允许记账。</w:t>
      </w:r>
    </w:p>
    <w:p>
      <w:pPr>
        <w:spacing w:before="156" w:after="156"/>
        <w:ind w:firstLine="199" w:firstLineChars="95"/>
      </w:pPr>
      <w:r>
        <w:rPr>
          <w:rFonts w:hint="eastAsia"/>
        </w:rPr>
        <w:t>3、划拨验证可多次执行，第一次验证时校验有效期，以后不再验证。</w:t>
      </w:r>
    </w:p>
    <w:p>
      <w:pPr>
        <w:spacing w:before="156" w:after="156"/>
        <w:ind w:firstLine="199" w:firstLineChars="95"/>
      </w:pPr>
      <w:r>
        <w:rPr>
          <w:rFonts w:hint="eastAsia"/>
        </w:rPr>
        <w:t>4、预售资金监管平台返回结果为失败时，监管银行需进行内部冲正或更新发送信息后重新进行记账处理。</w:t>
      </w:r>
    </w:p>
    <w:p>
      <w:pPr>
        <w:spacing w:before="156" w:after="156"/>
        <w:ind w:firstLine="0" w:firstLineChars="0"/>
      </w:pPr>
    </w:p>
    <w:p>
      <w:pPr>
        <w:pStyle w:val="3"/>
      </w:pPr>
      <w:bookmarkStart w:id="25" w:name="_Toc269917479"/>
      <w:bookmarkStart w:id="26" w:name="_Toc508624083"/>
      <w:bookmarkStart w:id="27" w:name="_Toc269931797"/>
      <w:r>
        <w:rPr>
          <w:rFonts w:hint="eastAsia"/>
        </w:rPr>
        <w:t>对账</w:t>
      </w:r>
      <w:bookmarkEnd w:id="25"/>
      <w:bookmarkEnd w:id="26"/>
      <w:bookmarkEnd w:id="27"/>
    </w:p>
    <w:p>
      <w:pPr>
        <w:spacing w:before="156" w:after="156"/>
        <w:ind w:firstLine="0" w:firstLineChars="0"/>
        <w:rPr>
          <w:b/>
          <w:sz w:val="22"/>
        </w:rPr>
      </w:pPr>
      <w:r>
        <w:rPr>
          <w:rFonts w:hint="eastAsia"/>
          <w:b/>
          <w:sz w:val="22"/>
        </w:rPr>
        <w:t>注意事项：</w:t>
      </w:r>
    </w:p>
    <w:p>
      <w:pPr>
        <w:spacing w:before="156" w:after="156"/>
        <w:ind w:firstLine="0" w:firstLineChars="0"/>
      </w:pPr>
      <w:r>
        <w:rPr>
          <w:rFonts w:hint="eastAsia"/>
        </w:rPr>
        <w:t>1、发送对账文件前，监管银行必须保证内部已经完成对账。</w:t>
      </w:r>
    </w:p>
    <w:p>
      <w:pPr>
        <w:spacing w:before="156" w:after="156"/>
        <w:ind w:firstLine="0" w:firstLineChars="0"/>
      </w:pPr>
      <w:r>
        <w:rPr>
          <w:rFonts w:hint="eastAsia"/>
        </w:rPr>
        <w:t>2、对账文件体现的应该是当日成功记账的交易。</w:t>
      </w:r>
    </w:p>
    <w:p>
      <w:pPr>
        <w:spacing w:before="156" w:after="156"/>
        <w:ind w:firstLine="0" w:firstLineChars="0"/>
      </w:pPr>
      <w:r>
        <w:rPr>
          <w:rFonts w:hint="eastAsia"/>
        </w:rPr>
        <w:t>3、监管银行必须每日生成并发送对账文件。当日没有交易需生成空的对账文件。</w:t>
      </w:r>
    </w:p>
    <w:p>
      <w:pPr>
        <w:spacing w:before="156" w:after="156"/>
        <w:ind w:firstLine="0" w:firstLineChars="0"/>
      </w:pPr>
      <w:r>
        <w:rPr>
          <w:rFonts w:hint="eastAsia"/>
        </w:rPr>
        <w:t>4、记账失败的交易，监管银行应负责进行内部冲正，不应体现在对账文件中。</w:t>
      </w:r>
    </w:p>
    <w:p>
      <w:pPr>
        <w:spacing w:before="156" w:after="156"/>
        <w:ind w:firstLine="0" w:firstLineChars="0"/>
      </w:pPr>
    </w:p>
    <w:p>
      <w:pPr>
        <w:pStyle w:val="2"/>
        <w:rPr>
          <w:rFonts w:hint="eastAsia"/>
        </w:rPr>
      </w:pPr>
      <w:bookmarkStart w:id="28" w:name="_Toc508624084"/>
      <w:r>
        <w:rPr>
          <w:rFonts w:hint="eastAsia"/>
        </w:rPr>
        <w:t>银联业务流程</w:t>
      </w:r>
      <w:bookmarkEnd w:id="28"/>
    </w:p>
    <w:p>
      <w:pPr>
        <w:pStyle w:val="3"/>
        <w:rPr>
          <w:rFonts w:hint="eastAsia"/>
        </w:rPr>
      </w:pPr>
      <w:bookmarkStart w:id="29" w:name="_Toc508624085"/>
      <w:r>
        <w:rPr>
          <w:rFonts w:hint="eastAsia"/>
        </w:rPr>
        <w:t>整体流程</w:t>
      </w:r>
      <w:bookmarkEnd w:id="29"/>
    </w:p>
    <w:p>
      <w:pPr>
        <w:pStyle w:val="40"/>
        <w:numPr>
          <w:ilvl w:val="0"/>
          <w:numId w:val="5"/>
        </w:numPr>
        <w:spacing w:before="156" w:beforeLines="0" w:after="156" w:afterLines="0" w:line="360" w:lineRule="auto"/>
        <w:ind w:left="408" w:hanging="408" w:hangingChars="170"/>
        <w:rPr>
          <w:sz w:val="24"/>
        </w:rPr>
      </w:pPr>
      <w:r>
        <w:rPr>
          <w:rFonts w:hint="eastAsia"/>
          <w:sz w:val="24"/>
        </w:rPr>
        <w:t>开发企业到房管局申请办理预售许可证，首先需到资金监管处签订资金协议，确定监管银行及开立监管账户。确定商品房预售资金监管后，房管局发放预售许可证。</w:t>
      </w:r>
    </w:p>
    <w:p>
      <w:pPr>
        <w:pStyle w:val="40"/>
        <w:numPr>
          <w:ilvl w:val="0"/>
          <w:numId w:val="5"/>
        </w:numPr>
        <w:spacing w:before="156" w:beforeLines="0" w:after="156" w:afterLines="0" w:line="360" w:lineRule="auto"/>
        <w:ind w:left="408" w:hanging="408" w:hangingChars="170"/>
        <w:rPr>
          <w:sz w:val="24"/>
        </w:rPr>
      </w:pPr>
      <w:r>
        <w:rPr>
          <w:sz w:val="24"/>
        </w:rPr>
        <w:t>开发企业凭资金协议到</w:t>
      </w:r>
      <w:r>
        <w:rPr>
          <w:rFonts w:hint="eastAsia"/>
          <w:sz w:val="24"/>
        </w:rPr>
        <w:t>银联</w:t>
      </w:r>
      <w:r>
        <w:rPr>
          <w:sz w:val="24"/>
        </w:rPr>
        <w:t>领取预售资金监管专用</w:t>
      </w:r>
      <w:r>
        <w:rPr>
          <w:rFonts w:hint="eastAsia"/>
          <w:sz w:val="24"/>
        </w:rPr>
        <w:t>POS，专用POS以项目监管账户作为结算账户。资金协议上有项目的监管账户、监管银行，银联需将专用POS的商户与监管协议上的监管账户、监管银行绑定，保证款项直接进入监管账户。</w:t>
      </w:r>
    </w:p>
    <w:p>
      <w:pPr>
        <w:pStyle w:val="40"/>
        <w:numPr>
          <w:ilvl w:val="0"/>
          <w:numId w:val="5"/>
        </w:numPr>
        <w:spacing w:before="156" w:beforeLines="0" w:after="156" w:afterLines="0" w:line="360" w:lineRule="auto"/>
        <w:ind w:left="408" w:hanging="408" w:hangingChars="170"/>
        <w:rPr>
          <w:sz w:val="24"/>
        </w:rPr>
      </w:pPr>
      <w:r>
        <w:rPr>
          <w:sz w:val="24"/>
        </w:rPr>
        <w:t>开发企业进行房屋销售</w:t>
      </w:r>
      <w:r>
        <w:rPr>
          <w:rFonts w:hint="eastAsia"/>
          <w:sz w:val="24"/>
        </w:rPr>
        <w:t>，</w:t>
      </w:r>
      <w:r>
        <w:rPr>
          <w:sz w:val="24"/>
        </w:rPr>
        <w:t>售房款通过专用</w:t>
      </w:r>
      <w:r>
        <w:rPr>
          <w:rFonts w:hint="eastAsia"/>
          <w:sz w:val="24"/>
        </w:rPr>
        <w:t>POS机直接进入监管账户。开发企业在预售资金监管系统中打印交款通知书，交款通知书上有交款通知书编号和缴款金额。一张交款通知书可对应多笔POS交款，采用交款通知书+银联流水号确定唯一性。</w:t>
      </w:r>
    </w:p>
    <w:p>
      <w:pPr>
        <w:pStyle w:val="40"/>
        <w:numPr>
          <w:ilvl w:val="0"/>
          <w:numId w:val="5"/>
        </w:numPr>
        <w:spacing w:before="156" w:beforeLines="0" w:after="156" w:afterLines="0" w:line="360" w:lineRule="auto"/>
        <w:ind w:left="408" w:hanging="408" w:hangingChars="170"/>
        <w:rPr>
          <w:sz w:val="24"/>
        </w:rPr>
      </w:pPr>
      <w:r>
        <w:rPr>
          <w:sz w:val="24"/>
        </w:rPr>
        <w:t>预售项目完工后</w:t>
      </w:r>
      <w:r>
        <w:rPr>
          <w:rFonts w:hint="eastAsia"/>
          <w:sz w:val="24"/>
        </w:rPr>
        <w:t>，</w:t>
      </w:r>
      <w:r>
        <w:rPr>
          <w:sz w:val="24"/>
        </w:rPr>
        <w:t>开发企业到房管局资金监管处申请终止监管</w:t>
      </w:r>
      <w:r>
        <w:rPr>
          <w:rFonts w:hint="eastAsia"/>
          <w:sz w:val="24"/>
        </w:rPr>
        <w:t>，房管局打印项目终止监管证明，开发企业凭项目终止监管证明，到银联归还预售资金监管专用POS。</w:t>
      </w:r>
    </w:p>
    <w:p>
      <w:pPr>
        <w:spacing w:before="156" w:after="156"/>
        <w:ind w:firstLine="420"/>
        <w:rPr>
          <w:rFonts w:hint="eastAsia"/>
        </w:rPr>
      </w:pPr>
    </w:p>
    <w:p>
      <w:pPr>
        <w:pStyle w:val="3"/>
        <w:rPr>
          <w:rFonts w:hint="eastAsia"/>
        </w:rPr>
      </w:pPr>
      <w:bookmarkStart w:id="30" w:name="_Toc508624086"/>
      <w:r>
        <w:rPr>
          <w:rFonts w:hint="eastAsia"/>
        </w:rPr>
        <w:t>查询流程</w:t>
      </w:r>
      <w:bookmarkEnd w:id="30"/>
    </w:p>
    <w:p>
      <w:pPr>
        <w:spacing w:before="156" w:after="156"/>
        <w:ind w:firstLine="482"/>
        <w:rPr>
          <w:b/>
          <w:sz w:val="24"/>
        </w:rPr>
      </w:pPr>
      <w:r>
        <w:rPr>
          <w:b/>
          <w:sz w:val="24"/>
        </w:rPr>
        <w:t>查询流程图</w:t>
      </w:r>
      <w:r>
        <w:rPr>
          <w:rFonts w:hint="eastAsia"/>
          <w:b/>
          <w:sz w:val="24"/>
        </w:rPr>
        <w:t>：</w:t>
      </w:r>
    </w:p>
    <w:p>
      <w:pPr>
        <w:spacing w:before="156" w:after="156"/>
        <w:ind w:firstLine="482"/>
        <w:rPr>
          <w:b/>
          <w:sz w:val="24"/>
        </w:rPr>
      </w:pPr>
    </w:p>
    <w:p>
      <w:pPr>
        <w:spacing w:before="156" w:after="156"/>
        <w:ind w:firstLine="420"/>
      </w:pPr>
      <w:r>
        <w:object>
          <v:shape id="_x0000_i1028" o:spt="75" type="#_x0000_t75" style="height:98.8pt;width:415.15pt;" o:ole="t" filled="f" o:preferrelative="t" stroked="f" coordsize="21600,21600">
            <v:path/>
            <v:fill on="f" focussize="0,0"/>
            <v:stroke on="f"/>
            <v:imagedata r:id="rId17" o:title=""/>
            <o:lock v:ext="edit" aspectratio="t"/>
            <w10:wrap type="none"/>
            <w10:anchorlock/>
          </v:shape>
          <o:OLEObject Type="Embed" ProgID="Visio.Drawing.15" ShapeID="_x0000_i1028" DrawAspect="Content" ObjectID="_1468075728" r:id="rId16">
            <o:LockedField>false</o:LockedField>
          </o:OLEObject>
        </w:object>
      </w:r>
    </w:p>
    <w:p>
      <w:pPr>
        <w:spacing w:before="156" w:after="156"/>
        <w:ind w:firstLine="482"/>
        <w:rPr>
          <w:b/>
          <w:sz w:val="24"/>
        </w:rPr>
      </w:pPr>
      <w:r>
        <w:rPr>
          <w:b/>
          <w:sz w:val="24"/>
        </w:rPr>
        <w:t>详细流程</w:t>
      </w:r>
      <w:r>
        <w:rPr>
          <w:rFonts w:hint="eastAsia"/>
          <w:b/>
          <w:sz w:val="24"/>
        </w:rPr>
        <w:t>：</w:t>
      </w:r>
    </w:p>
    <w:p>
      <w:pPr>
        <w:pStyle w:val="40"/>
        <w:numPr>
          <w:ilvl w:val="0"/>
          <w:numId w:val="6"/>
        </w:numPr>
        <w:spacing w:before="156" w:beforeLines="0" w:after="156" w:afterLines="0"/>
        <w:ind w:firstLineChars="0"/>
        <w:rPr>
          <w:sz w:val="24"/>
        </w:rPr>
      </w:pPr>
      <w:r>
        <w:rPr>
          <w:sz w:val="24"/>
        </w:rPr>
        <w:t>开发企业在</w:t>
      </w:r>
      <w:r>
        <w:rPr>
          <w:rFonts w:hint="eastAsia"/>
          <w:sz w:val="24"/>
        </w:rPr>
        <w:t>POS机上</w:t>
      </w:r>
      <w:r>
        <w:rPr>
          <w:sz w:val="24"/>
        </w:rPr>
        <w:t>录入交款凭证编号</w:t>
      </w:r>
      <w:r>
        <w:rPr>
          <w:rFonts w:hint="eastAsia"/>
          <w:sz w:val="24"/>
        </w:rPr>
        <w:t>，POS机通过银联前置机上送报文到预售资金监管系统；</w:t>
      </w:r>
    </w:p>
    <w:p>
      <w:pPr>
        <w:pStyle w:val="40"/>
        <w:numPr>
          <w:ilvl w:val="0"/>
          <w:numId w:val="6"/>
        </w:numPr>
        <w:spacing w:before="156" w:beforeLines="0" w:after="156" w:afterLines="0"/>
        <w:ind w:firstLineChars="0"/>
        <w:rPr>
          <w:sz w:val="24"/>
        </w:rPr>
      </w:pPr>
      <w:r>
        <w:rPr>
          <w:sz w:val="24"/>
        </w:rPr>
        <w:t>预售资金监管系统通过银联前置机返回报文给预售资金专用</w:t>
      </w:r>
      <w:r>
        <w:rPr>
          <w:rFonts w:hint="eastAsia"/>
          <w:sz w:val="24"/>
        </w:rPr>
        <w:t>POS，关键数据项包括交款凭证编号、交款凭证金额、凭证已交金额、凭证未交金额、凭证入账监管银行编号、凭证入账监管银行账号。</w:t>
      </w:r>
    </w:p>
    <w:p>
      <w:pPr>
        <w:pStyle w:val="40"/>
        <w:numPr>
          <w:ilvl w:val="0"/>
          <w:numId w:val="6"/>
        </w:numPr>
        <w:spacing w:before="156" w:beforeLines="0" w:after="156" w:afterLines="0"/>
        <w:ind w:firstLineChars="0"/>
        <w:rPr>
          <w:sz w:val="24"/>
        </w:rPr>
      </w:pPr>
      <w:r>
        <w:rPr>
          <w:sz w:val="24"/>
        </w:rPr>
        <w:t>银联需核验</w:t>
      </w:r>
      <w:r>
        <w:rPr>
          <w:rFonts w:hint="eastAsia"/>
          <w:sz w:val="24"/>
        </w:rPr>
        <w:t>POS机绑定的监管银行和银行账号是否与查询交易返回的结果一致，如出现不一致的情况，需提示客户。</w:t>
      </w:r>
    </w:p>
    <w:p>
      <w:pPr>
        <w:pStyle w:val="40"/>
        <w:numPr>
          <w:ilvl w:val="0"/>
          <w:numId w:val="6"/>
        </w:numPr>
        <w:spacing w:before="156" w:beforeLines="0" w:after="156" w:afterLines="0"/>
        <w:ind w:firstLineChars="0"/>
        <w:rPr>
          <w:sz w:val="24"/>
        </w:rPr>
      </w:pPr>
      <w:r>
        <w:rPr>
          <w:sz w:val="24"/>
        </w:rPr>
        <w:t>交款凭证金额</w:t>
      </w:r>
      <w:r>
        <w:rPr>
          <w:rFonts w:hint="eastAsia"/>
          <w:sz w:val="24"/>
        </w:rPr>
        <w:t xml:space="preserve"> =</w:t>
      </w:r>
      <w:r>
        <w:rPr>
          <w:sz w:val="24"/>
        </w:rPr>
        <w:t xml:space="preserve"> 凭证已交金额</w:t>
      </w:r>
      <w:r>
        <w:rPr>
          <w:rFonts w:hint="eastAsia"/>
          <w:sz w:val="24"/>
        </w:rPr>
        <w:t xml:space="preserve"> +</w:t>
      </w:r>
      <w:r>
        <w:rPr>
          <w:sz w:val="24"/>
        </w:rPr>
        <w:t xml:space="preserve"> 凭证未交金额</w:t>
      </w:r>
      <w:r>
        <w:rPr>
          <w:rFonts w:hint="eastAsia"/>
          <w:sz w:val="24"/>
        </w:rPr>
        <w:t>。</w:t>
      </w:r>
      <w:r>
        <w:rPr>
          <w:sz w:val="24"/>
        </w:rPr>
        <w:t>本次客户应交的金额小于等于凭证未交金额</w:t>
      </w:r>
      <w:r>
        <w:rPr>
          <w:rFonts w:hint="eastAsia"/>
          <w:sz w:val="24"/>
        </w:rPr>
        <w:t>。</w:t>
      </w:r>
    </w:p>
    <w:p>
      <w:pPr>
        <w:pStyle w:val="40"/>
        <w:numPr>
          <w:ilvl w:val="0"/>
          <w:numId w:val="6"/>
        </w:numPr>
        <w:spacing w:before="156" w:beforeLines="0" w:after="156" w:afterLines="0"/>
        <w:ind w:firstLineChars="0"/>
        <w:rPr>
          <w:sz w:val="24"/>
        </w:rPr>
      </w:pPr>
      <w:r>
        <w:rPr>
          <w:sz w:val="24"/>
        </w:rPr>
        <w:t>POS机显示相关信息</w:t>
      </w:r>
      <w:r>
        <w:rPr>
          <w:rFonts w:hint="eastAsia"/>
          <w:sz w:val="24"/>
        </w:rPr>
        <w:t>。</w:t>
      </w:r>
    </w:p>
    <w:p>
      <w:pPr>
        <w:spacing w:before="156" w:after="156"/>
        <w:ind w:firstLine="480"/>
        <w:rPr>
          <w:sz w:val="24"/>
        </w:rPr>
      </w:pPr>
    </w:p>
    <w:p>
      <w:pPr>
        <w:pStyle w:val="3"/>
        <w:rPr>
          <w:rFonts w:hint="eastAsia"/>
        </w:rPr>
      </w:pPr>
      <w:bookmarkStart w:id="31" w:name="_Toc508624087"/>
      <w:r>
        <w:rPr>
          <w:rFonts w:hint="eastAsia"/>
        </w:rPr>
        <w:t>交费流程</w:t>
      </w:r>
      <w:bookmarkEnd w:id="31"/>
    </w:p>
    <w:p>
      <w:pPr>
        <w:spacing w:before="156" w:after="156"/>
        <w:ind w:firstLine="482"/>
        <w:rPr>
          <w:b/>
          <w:sz w:val="24"/>
        </w:rPr>
      </w:pPr>
      <w:r>
        <w:rPr>
          <w:b/>
          <w:sz w:val="24"/>
        </w:rPr>
        <w:t>交费流程图</w:t>
      </w:r>
      <w:r>
        <w:rPr>
          <w:rFonts w:hint="eastAsia"/>
          <w:b/>
          <w:sz w:val="24"/>
        </w:rPr>
        <w:t>：</w:t>
      </w:r>
    </w:p>
    <w:p>
      <w:pPr>
        <w:spacing w:before="156" w:after="156"/>
        <w:ind w:firstLine="482"/>
        <w:rPr>
          <w:b/>
          <w:sz w:val="24"/>
        </w:rPr>
      </w:pPr>
    </w:p>
    <w:p>
      <w:pPr>
        <w:spacing w:before="156" w:after="156"/>
        <w:ind w:firstLine="420"/>
      </w:pPr>
      <w:r>
        <w:object>
          <v:shape id="_x0000_i1029" o:spt="75" type="#_x0000_t75" style="height:319.2pt;width:348.45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9" r:id="rId18">
            <o:LockedField>false</o:LockedField>
          </o:OLEObject>
        </w:object>
      </w:r>
    </w:p>
    <w:p>
      <w:pPr>
        <w:spacing w:before="156" w:after="156"/>
        <w:ind w:firstLine="420"/>
      </w:pPr>
    </w:p>
    <w:p>
      <w:pPr>
        <w:spacing w:before="156" w:after="156"/>
        <w:ind w:firstLine="482"/>
        <w:rPr>
          <w:b/>
          <w:sz w:val="24"/>
        </w:rPr>
      </w:pPr>
      <w:r>
        <w:rPr>
          <w:b/>
          <w:sz w:val="24"/>
        </w:rPr>
        <w:t>详细流程</w:t>
      </w:r>
      <w:r>
        <w:rPr>
          <w:rFonts w:hint="eastAsia"/>
          <w:b/>
          <w:sz w:val="24"/>
        </w:rPr>
        <w:t>：</w:t>
      </w:r>
    </w:p>
    <w:p>
      <w:pPr>
        <w:pStyle w:val="40"/>
        <w:numPr>
          <w:ilvl w:val="0"/>
          <w:numId w:val="7"/>
        </w:numPr>
        <w:spacing w:before="156" w:beforeLines="0" w:after="156" w:afterLines="0"/>
        <w:ind w:firstLineChars="0"/>
        <w:rPr>
          <w:sz w:val="24"/>
        </w:rPr>
      </w:pPr>
      <w:r>
        <w:rPr>
          <w:rFonts w:hint="eastAsia"/>
          <w:sz w:val="24"/>
        </w:rPr>
        <w:t>购房人确认查询交易返回到POS机上的信息无误后，进行刷卡。</w:t>
      </w:r>
    </w:p>
    <w:p>
      <w:pPr>
        <w:pStyle w:val="40"/>
        <w:numPr>
          <w:ilvl w:val="0"/>
          <w:numId w:val="7"/>
        </w:numPr>
        <w:spacing w:before="156" w:beforeLines="0" w:after="156" w:afterLines="0"/>
        <w:ind w:firstLineChars="0"/>
        <w:rPr>
          <w:sz w:val="24"/>
        </w:rPr>
      </w:pPr>
      <w:r>
        <w:rPr>
          <w:rFonts w:hint="eastAsia"/>
          <w:sz w:val="24"/>
        </w:rPr>
        <w:t>POS机应默认本次交款金额为查询交易的未交金额，客户可对金额进行修改，修改后的金额应小于等于未交金额。</w:t>
      </w:r>
    </w:p>
    <w:p>
      <w:pPr>
        <w:pStyle w:val="40"/>
        <w:numPr>
          <w:ilvl w:val="0"/>
          <w:numId w:val="7"/>
        </w:numPr>
        <w:spacing w:before="156" w:beforeLines="0" w:after="156" w:afterLines="0"/>
        <w:ind w:firstLineChars="0"/>
        <w:rPr>
          <w:sz w:val="24"/>
        </w:rPr>
      </w:pPr>
      <w:r>
        <w:rPr>
          <w:rFonts w:hint="eastAsia"/>
          <w:sz w:val="24"/>
        </w:rPr>
        <w:t>POS机上送报文到银联前置机，银联应首先上送银联主机，确认扣款，扣款成功后，上送报文到预售资金监管系统。</w:t>
      </w:r>
    </w:p>
    <w:p>
      <w:pPr>
        <w:pStyle w:val="40"/>
        <w:numPr>
          <w:ilvl w:val="0"/>
          <w:numId w:val="7"/>
        </w:numPr>
        <w:spacing w:before="156" w:beforeLines="0" w:after="156" w:afterLines="0"/>
        <w:ind w:firstLineChars="0"/>
        <w:rPr>
          <w:sz w:val="24"/>
        </w:rPr>
      </w:pPr>
      <w:r>
        <w:rPr>
          <w:sz w:val="24"/>
        </w:rPr>
        <w:t>预售资金监管系统返回相关信息到预售资金专用</w:t>
      </w:r>
      <w:r>
        <w:rPr>
          <w:rFonts w:hint="eastAsia"/>
          <w:sz w:val="24"/>
        </w:rPr>
        <w:t>POS。</w:t>
      </w:r>
    </w:p>
    <w:p>
      <w:pPr>
        <w:pStyle w:val="40"/>
        <w:numPr>
          <w:ilvl w:val="0"/>
          <w:numId w:val="7"/>
        </w:numPr>
        <w:spacing w:before="156" w:beforeLines="0" w:after="156" w:afterLines="0"/>
        <w:ind w:firstLineChars="0"/>
        <w:rPr>
          <w:sz w:val="24"/>
        </w:rPr>
      </w:pPr>
      <w:r>
        <w:rPr>
          <w:rFonts w:hint="eastAsia"/>
          <w:sz w:val="24"/>
        </w:rPr>
        <w:t>POS机打印POS单，POS打印单上应注明是预售资金交款，并注明交款凭证编号、银联流水号、预售资金流水号。银联流水号为上送预售资金监管系统的银联流水号，系统将交款凭证编号 加 银联流水号作为交易的唯一标示。</w:t>
      </w:r>
    </w:p>
    <w:p>
      <w:pPr>
        <w:pStyle w:val="40"/>
        <w:spacing w:before="156" w:after="156"/>
        <w:ind w:left="420" w:firstLine="0" w:firstLineChars="0"/>
        <w:rPr>
          <w:sz w:val="24"/>
        </w:rPr>
      </w:pPr>
    </w:p>
    <w:p>
      <w:pPr>
        <w:pStyle w:val="40"/>
        <w:spacing w:before="156" w:after="156"/>
        <w:ind w:firstLine="0" w:firstLineChars="0"/>
        <w:rPr>
          <w:b/>
          <w:sz w:val="24"/>
        </w:rPr>
      </w:pPr>
      <w:r>
        <w:rPr>
          <w:b/>
          <w:sz w:val="24"/>
        </w:rPr>
        <w:t>冲正流程</w:t>
      </w:r>
      <w:r>
        <w:rPr>
          <w:rFonts w:hint="eastAsia"/>
          <w:b/>
          <w:sz w:val="24"/>
        </w:rPr>
        <w:t>：</w:t>
      </w:r>
    </w:p>
    <w:p>
      <w:pPr>
        <w:pStyle w:val="40"/>
        <w:spacing w:before="156" w:after="156"/>
        <w:ind w:firstLine="0" w:firstLineChars="0"/>
        <w:rPr>
          <w:sz w:val="24"/>
        </w:rPr>
      </w:pPr>
      <w:r>
        <w:rPr>
          <w:sz w:val="24"/>
        </w:rPr>
        <w:tab/>
      </w:r>
      <w:r>
        <w:rPr>
          <w:sz w:val="24"/>
        </w:rPr>
        <w:t>针对错误的交易</w:t>
      </w:r>
      <w:r>
        <w:rPr>
          <w:rFonts w:hint="eastAsia"/>
          <w:sz w:val="24"/>
        </w:rPr>
        <w:t>，</w:t>
      </w:r>
      <w:r>
        <w:rPr>
          <w:sz w:val="24"/>
        </w:rPr>
        <w:t>或者房管局单边成功的交易</w:t>
      </w:r>
      <w:r>
        <w:rPr>
          <w:rFonts w:hint="eastAsia"/>
          <w:sz w:val="24"/>
        </w:rPr>
        <w:t>，</w:t>
      </w:r>
      <w:r>
        <w:rPr>
          <w:sz w:val="24"/>
        </w:rPr>
        <w:t>银联可调用冲正交易</w:t>
      </w:r>
      <w:r>
        <w:rPr>
          <w:rFonts w:hint="eastAsia"/>
          <w:sz w:val="24"/>
        </w:rPr>
        <w:t>。冲正交易只支持当日冲正，不支持隔日冲正。</w:t>
      </w:r>
    </w:p>
    <w:p>
      <w:pPr>
        <w:pStyle w:val="40"/>
        <w:numPr>
          <w:ilvl w:val="0"/>
          <w:numId w:val="8"/>
        </w:numPr>
        <w:spacing w:before="156" w:beforeLines="0" w:after="156" w:afterLines="0"/>
        <w:ind w:firstLineChars="0"/>
        <w:rPr>
          <w:sz w:val="24"/>
        </w:rPr>
      </w:pPr>
      <w:r>
        <w:rPr>
          <w:rFonts w:hint="eastAsia"/>
          <w:sz w:val="24"/>
        </w:rPr>
        <w:t>向预售资金系统发送报文，关键数据项为交款凭证编号 加 银联流水号。</w:t>
      </w:r>
    </w:p>
    <w:p>
      <w:pPr>
        <w:pStyle w:val="40"/>
        <w:numPr>
          <w:ilvl w:val="0"/>
          <w:numId w:val="8"/>
        </w:numPr>
        <w:spacing w:before="156" w:beforeLines="0" w:after="156" w:afterLines="0"/>
        <w:ind w:firstLineChars="0"/>
        <w:rPr>
          <w:sz w:val="24"/>
        </w:rPr>
      </w:pPr>
      <w:r>
        <w:rPr>
          <w:sz w:val="24"/>
        </w:rPr>
        <w:t>预售系统返回报文到银联前置机</w:t>
      </w:r>
      <w:r>
        <w:rPr>
          <w:rFonts w:hint="eastAsia"/>
          <w:sz w:val="24"/>
        </w:rPr>
        <w:t>。</w:t>
      </w:r>
    </w:p>
    <w:p>
      <w:pPr>
        <w:spacing w:before="156" w:after="156"/>
        <w:ind w:firstLine="480"/>
        <w:rPr>
          <w:sz w:val="24"/>
        </w:rPr>
      </w:pPr>
    </w:p>
    <w:p>
      <w:pPr>
        <w:pStyle w:val="3"/>
        <w:rPr>
          <w:rFonts w:hint="eastAsia"/>
        </w:rPr>
      </w:pPr>
      <w:bookmarkStart w:id="32" w:name="_Toc508624088"/>
      <w:r>
        <w:rPr>
          <w:rFonts w:hint="eastAsia"/>
        </w:rPr>
        <w:t>对账流程</w:t>
      </w:r>
      <w:bookmarkEnd w:id="32"/>
    </w:p>
    <w:p>
      <w:pPr>
        <w:spacing w:before="156" w:after="156"/>
        <w:ind w:firstLine="480"/>
        <w:rPr>
          <w:sz w:val="24"/>
        </w:rPr>
      </w:pPr>
      <w:r>
        <w:rPr>
          <w:sz w:val="24"/>
        </w:rPr>
        <w:t>日终对账的具体时间双方决定</w:t>
      </w:r>
      <w:r>
        <w:rPr>
          <w:rFonts w:hint="eastAsia"/>
          <w:sz w:val="24"/>
        </w:rPr>
        <w:t>。</w:t>
      </w:r>
      <w:r>
        <w:rPr>
          <w:sz w:val="24"/>
        </w:rPr>
        <w:t>对账方式以文本文件的方式</w:t>
      </w:r>
      <w:r>
        <w:rPr>
          <w:rFonts w:hint="eastAsia"/>
          <w:sz w:val="24"/>
        </w:rPr>
        <w:t>，</w:t>
      </w:r>
      <w:r>
        <w:rPr>
          <w:sz w:val="24"/>
        </w:rPr>
        <w:t>由银联将对账文件上传到预售资金监管系统服务器</w:t>
      </w:r>
      <w:r>
        <w:rPr>
          <w:rFonts w:hint="eastAsia"/>
          <w:sz w:val="24"/>
        </w:rPr>
        <w:t>。</w:t>
      </w:r>
    </w:p>
    <w:p>
      <w:pPr>
        <w:spacing w:before="156" w:after="156"/>
        <w:ind w:firstLine="482"/>
        <w:rPr>
          <w:sz w:val="24"/>
        </w:rPr>
      </w:pPr>
      <w:r>
        <w:rPr>
          <w:b/>
          <w:color w:val="FF0000"/>
          <w:sz w:val="24"/>
        </w:rPr>
        <w:t>预售资金监管系统对账的前提是以银联账为准</w:t>
      </w:r>
      <w:r>
        <w:rPr>
          <w:rFonts w:hint="eastAsia"/>
          <w:b/>
          <w:color w:val="FF0000"/>
          <w:sz w:val="24"/>
        </w:rPr>
        <w:t>，</w:t>
      </w:r>
      <w:r>
        <w:rPr>
          <w:b/>
          <w:color w:val="FF0000"/>
          <w:sz w:val="24"/>
        </w:rPr>
        <w:t>这就要求银联在发送对账文件之前</w:t>
      </w:r>
      <w:r>
        <w:rPr>
          <w:rFonts w:hint="eastAsia"/>
          <w:b/>
          <w:color w:val="FF0000"/>
          <w:sz w:val="24"/>
        </w:rPr>
        <w:t>，</w:t>
      </w:r>
      <w:r>
        <w:rPr>
          <w:b/>
          <w:color w:val="FF0000"/>
          <w:sz w:val="24"/>
        </w:rPr>
        <w:t>应与银联主机对账</w:t>
      </w:r>
      <w:r>
        <w:rPr>
          <w:rFonts w:hint="eastAsia"/>
          <w:b/>
          <w:color w:val="FF0000"/>
          <w:sz w:val="24"/>
        </w:rPr>
        <w:t>，</w:t>
      </w:r>
      <w:r>
        <w:rPr>
          <w:b/>
          <w:color w:val="FF0000"/>
          <w:sz w:val="24"/>
        </w:rPr>
        <w:t>确保款项进入监管户</w:t>
      </w:r>
      <w:r>
        <w:rPr>
          <w:rFonts w:hint="eastAsia"/>
          <w:b/>
          <w:color w:val="FF0000"/>
          <w:sz w:val="24"/>
        </w:rPr>
        <w:t>。</w:t>
      </w:r>
      <w:r>
        <w:rPr>
          <w:sz w:val="24"/>
        </w:rPr>
        <w:t>预售资金监管系统认定对账文件中的交易明细都是确认款项进入监管户的</w:t>
      </w:r>
      <w:r>
        <w:rPr>
          <w:rFonts w:hint="eastAsia"/>
          <w:sz w:val="24"/>
        </w:rPr>
        <w:t>，</w:t>
      </w:r>
      <w:r>
        <w:rPr>
          <w:sz w:val="24"/>
        </w:rPr>
        <w:t>并依据此对本系统进行调账</w:t>
      </w:r>
      <w:r>
        <w:rPr>
          <w:rFonts w:hint="eastAsia"/>
          <w:sz w:val="24"/>
        </w:rPr>
        <w:t>。</w:t>
      </w:r>
    </w:p>
    <w:p>
      <w:pPr>
        <w:pStyle w:val="40"/>
        <w:numPr>
          <w:ilvl w:val="0"/>
          <w:numId w:val="9"/>
        </w:numPr>
        <w:spacing w:before="156" w:beforeLines="0" w:after="156" w:afterLines="0"/>
        <w:ind w:firstLineChars="0"/>
        <w:rPr>
          <w:sz w:val="24"/>
        </w:rPr>
      </w:pPr>
      <w:r>
        <w:rPr>
          <w:rFonts w:hint="eastAsia"/>
          <w:sz w:val="24"/>
        </w:rPr>
        <w:t>银联系统与银联主机进行对账。</w:t>
      </w:r>
    </w:p>
    <w:p>
      <w:pPr>
        <w:pStyle w:val="40"/>
        <w:numPr>
          <w:ilvl w:val="0"/>
          <w:numId w:val="9"/>
        </w:numPr>
        <w:spacing w:before="156" w:beforeLines="0" w:after="156" w:afterLines="0"/>
        <w:ind w:firstLineChars="0"/>
        <w:rPr>
          <w:sz w:val="24"/>
        </w:rPr>
      </w:pPr>
      <w:r>
        <w:rPr>
          <w:sz w:val="24"/>
        </w:rPr>
        <w:t>银联系统生成预售资金监管系统需要的对账文件</w:t>
      </w:r>
      <w:r>
        <w:rPr>
          <w:rFonts w:hint="eastAsia"/>
          <w:sz w:val="24"/>
        </w:rPr>
        <w:t>。</w:t>
      </w:r>
    </w:p>
    <w:p>
      <w:pPr>
        <w:spacing w:before="156" w:after="156"/>
        <w:ind w:firstLine="480"/>
        <w:rPr>
          <w:rFonts w:hint="eastAsia"/>
        </w:rPr>
      </w:pPr>
      <w:r>
        <w:rPr>
          <w:sz w:val="24"/>
        </w:rPr>
        <w:t>银联系统通过前置机以ftp的方式上送对账文件到预售资金监管系统</w:t>
      </w:r>
      <w:r>
        <w:rPr>
          <w:rFonts w:hint="eastAsia"/>
          <w:sz w:val="24"/>
        </w:rPr>
        <w:t>。</w:t>
      </w:r>
    </w:p>
    <w:p>
      <w:pPr>
        <w:spacing w:before="156" w:after="156"/>
        <w:ind w:firstLine="0" w:firstLineChars="0"/>
        <w:rPr>
          <w:rFonts w:hint="eastAsia"/>
          <w:b/>
        </w:rPr>
      </w:pPr>
    </w:p>
    <w:p>
      <w:pPr>
        <w:pStyle w:val="2"/>
        <w:rPr>
          <w:rFonts w:hint="eastAsia"/>
        </w:rPr>
      </w:pPr>
      <w:bookmarkStart w:id="33" w:name="_Toc269917480"/>
      <w:bookmarkStart w:id="34" w:name="_Toc508624089"/>
      <w:bookmarkStart w:id="35" w:name="_Toc269931798"/>
      <w:r>
        <w:rPr>
          <w:rFonts w:hint="eastAsia"/>
        </w:rPr>
        <w:t>商业银行接口定义</w:t>
      </w:r>
      <w:bookmarkEnd w:id="33"/>
      <w:bookmarkEnd w:id="34"/>
      <w:bookmarkEnd w:id="35"/>
    </w:p>
    <w:p>
      <w:pPr>
        <w:pStyle w:val="3"/>
        <w:rPr>
          <w:rFonts w:hint="eastAsia"/>
        </w:rPr>
      </w:pPr>
      <w:bookmarkStart w:id="36" w:name="_Toc269931799"/>
      <w:bookmarkStart w:id="37" w:name="_Toc508624090"/>
      <w:r>
        <w:rPr>
          <w:rFonts w:hint="eastAsia"/>
        </w:rPr>
        <w:t>监管协议</w:t>
      </w:r>
      <w:bookmarkEnd w:id="36"/>
      <w:bookmarkEnd w:id="37"/>
    </w:p>
    <w:p>
      <w:pPr>
        <w:pStyle w:val="4"/>
      </w:pPr>
      <w:bookmarkStart w:id="38" w:name="_Toc269931800"/>
      <w:bookmarkStart w:id="39" w:name="_Toc508624091"/>
      <w:r>
        <w:rPr>
          <w:rFonts w:hint="eastAsia"/>
        </w:rPr>
        <w:t>[100</w:t>
      </w:r>
      <w:r>
        <w:t>3</w:t>
      </w:r>
      <w:r>
        <w:rPr>
          <w:rFonts w:hint="eastAsia"/>
        </w:rPr>
        <w:t>]建立监管</w:t>
      </w:r>
      <w:bookmarkEnd w:id="38"/>
      <w:r>
        <w:rPr>
          <w:rFonts w:hint="eastAsia"/>
        </w:rPr>
        <w:t>验证查询</w:t>
      </w:r>
      <w:bookmarkEnd w:id="39"/>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100</w:t>
            </w:r>
            <w:r>
              <w:rPr>
                <w:rFonts w:ascii="宋体" w:hAnsi="宋体"/>
              </w:rPr>
              <w:t>3</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建立监管验证查询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预售人名称</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预售项目地址</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128</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预售项目名称</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128</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12"/>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40" w:name="_Toc508624092"/>
      <w:bookmarkStart w:id="41" w:name="_Toc269931801"/>
      <w:r>
        <w:rPr>
          <w:rFonts w:hint="eastAsia"/>
        </w:rPr>
        <w:t>[1001]建立监管</w:t>
      </w:r>
      <w:bookmarkEnd w:id="40"/>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1001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建立监管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01</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02</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03</w:t>
            </w: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04</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05</w:t>
            </w: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rPr>
              <w:t>账户类别</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rPr>
              <w:t>0：预售监管户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06</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07</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08</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01</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02</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03</w:t>
            </w: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预售人名称</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04</w:t>
            </w: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预售项目地址</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128</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05</w:t>
            </w: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预售项目名称</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128</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01</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02</w:t>
            </w: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42" w:name="_Toc508624093"/>
      <w:r>
        <w:rPr>
          <w:rFonts w:hint="eastAsia"/>
        </w:rPr>
        <w:t>[100</w:t>
      </w:r>
      <w:r>
        <w:t>4</w:t>
      </w:r>
      <w:r>
        <w:rPr>
          <w:rFonts w:hint="eastAsia"/>
        </w:rPr>
        <w:t>]终止监管验证查询</w:t>
      </w:r>
      <w:bookmarkEnd w:id="42"/>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100</w:t>
            </w:r>
            <w:r>
              <w:rPr>
                <w:rFonts w:ascii="宋体" w:hAnsi="宋体"/>
              </w:rPr>
              <w:t>4</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rPr>
              <w:t>终止</w:t>
            </w:r>
            <w:r>
              <w:rPr>
                <w:rFonts w:hint="eastAsia" w:ascii="宋体" w:hAnsi="宋体"/>
              </w:rPr>
              <w:t>监管验证查询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终止证明编号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15"/>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43" w:name="_Toc508624094"/>
      <w:r>
        <w:rPr>
          <w:rFonts w:hint="eastAsia"/>
        </w:rPr>
        <w:t>[1002]终止监管</w:t>
      </w:r>
      <w:bookmarkEnd w:id="41"/>
      <w:bookmarkEnd w:id="43"/>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1002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rPr>
              <w:t>终止监管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终止证明编号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15"/>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3"/>
      </w:pPr>
      <w:bookmarkStart w:id="44" w:name="_Toc269931802"/>
      <w:bookmarkStart w:id="45" w:name="_Toc269917481"/>
      <w:bookmarkStart w:id="46" w:name="_Toc508624095"/>
      <w:r>
        <w:rPr>
          <w:rFonts w:hint="eastAsia"/>
        </w:rPr>
        <w:t>预售资金交存</w:t>
      </w:r>
      <w:bookmarkEnd w:id="44"/>
      <w:bookmarkEnd w:id="45"/>
      <w:bookmarkEnd w:id="46"/>
    </w:p>
    <w:p>
      <w:pPr>
        <w:pStyle w:val="4"/>
      </w:pPr>
      <w:bookmarkStart w:id="47" w:name="_Toc508624096"/>
      <w:bookmarkStart w:id="48" w:name="_Toc269931805"/>
      <w:bookmarkStart w:id="49" w:name="_Toc269917484"/>
      <w:r>
        <w:rPr>
          <w:rFonts w:hint="eastAsia"/>
        </w:rPr>
        <w:t>[2021]交存验证</w:t>
      </w:r>
      <w:bookmarkEnd w:id="47"/>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2021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监管银行收到</w:t>
            </w:r>
            <w:r>
              <w:rPr>
                <w:rFonts w:hint="eastAsia" w:ascii="宋体" w:hAnsi="宋体"/>
              </w:rPr>
              <w:t>交存申请</w:t>
            </w:r>
            <w:r>
              <w:rPr>
                <w:rFonts w:hint="eastAsia"/>
              </w:rPr>
              <w:t>，向预售资金监管平台发起验证请求，验证通过后准予交存，否则不允许交存。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账户类别</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 xml:space="preserve">0：监管户；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交存申请单金额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已交金额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未交金额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购房人姓名</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100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购房合同编号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40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1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19"/>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50" w:name="_Toc508624097"/>
      <w:r>
        <w:rPr>
          <w:rFonts w:hint="eastAsia"/>
        </w:rPr>
        <w:t>[2022]交存记账</w:t>
      </w:r>
      <w:bookmarkEnd w:id="50"/>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2022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进行预售资金交存记账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&lt;= 2021 返回的未交金额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交存验证返回项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结算方式</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 xml:space="preserve">01_ 现金 </w:t>
            </w:r>
          </w:p>
          <w:p>
            <w:pPr>
              <w:spacing w:beforeLines="0" w:afterLines="0"/>
              <w:ind w:firstLine="0" w:firstLineChars="0"/>
              <w:rPr>
                <w:rFonts w:ascii="宋体" w:hAnsi="宋体"/>
              </w:rPr>
            </w:pPr>
            <w:r>
              <w:rPr>
                <w:rFonts w:hint="eastAsia" w:ascii="宋体" w:hAnsi="宋体"/>
              </w:rPr>
              <w:t>02_ 转账</w:t>
            </w:r>
          </w:p>
          <w:p>
            <w:pPr>
              <w:spacing w:beforeLines="0" w:afterLines="0"/>
              <w:ind w:firstLine="0" w:firstLineChars="0"/>
              <w:rPr>
                <w:rFonts w:hint="eastAsia" w:ascii="宋体" w:hAnsi="宋体"/>
              </w:rPr>
            </w:pPr>
            <w:r>
              <w:rPr>
                <w:rFonts w:hint="eastAsia" w:ascii="宋体" w:hAnsi="宋体"/>
              </w:rPr>
              <w:t>03_ 支票</w:t>
            </w:r>
          </w:p>
          <w:p>
            <w:pPr>
              <w:spacing w:beforeLines="0" w:afterLines="0"/>
              <w:ind w:firstLine="0" w:firstLineChars="0"/>
              <w:rPr>
                <w:rFonts w:ascii="宋体" w:hAnsi="宋体"/>
              </w:rPr>
            </w:pPr>
            <w:r>
              <w:rPr>
                <w:rFonts w:hint="eastAsia" w:ascii="宋体" w:hAnsi="宋体"/>
              </w:rPr>
              <w:t>04  POS入账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支票号码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bookmarkStart w:id="51" w:name="OLE_LINK1"/>
            <w:r>
              <w:rPr>
                <w:rFonts w:hint="eastAsia" w:ascii="宋体" w:hAnsi="宋体"/>
              </w:rPr>
              <w:t>购房人姓名</w:t>
            </w:r>
            <w:bookmarkEnd w:id="51"/>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bookmarkStart w:id="52" w:name="OLE_LINK2"/>
            <w:r>
              <w:rPr>
                <w:rFonts w:hint="eastAsia" w:ascii="宋体" w:hAnsi="宋体"/>
              </w:rPr>
              <w:t>购房合同编号</w:t>
            </w:r>
            <w:bookmarkEnd w:id="52"/>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房屋座落</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实收金额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预售项目</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100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90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入账日期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打印信息一</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打印信息二</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打印信息三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23"/>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left="420" w:firstLine="0" w:firstLineChars="0"/>
        <w:rPr>
          <w:rFonts w:hint="eastAsia"/>
        </w:rPr>
      </w:pPr>
    </w:p>
    <w:p>
      <w:pPr>
        <w:pStyle w:val="4"/>
      </w:pPr>
      <w:bookmarkStart w:id="53" w:name="_Toc508624098"/>
      <w:r>
        <w:rPr>
          <w:rFonts w:hint="eastAsia"/>
        </w:rPr>
        <w:t>[2023]交存冲正</w:t>
      </w:r>
      <w:bookmarkEnd w:id="48"/>
      <w:bookmarkEnd w:id="49"/>
      <w:bookmarkEnd w:id="53"/>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2023</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hint="eastAsia"/>
              </w:rPr>
            </w:pPr>
            <w:r>
              <w:rPr>
                <w:rFonts w:hint="eastAsia"/>
              </w:rPr>
              <w:t>监管银行向预售资金监管平台发起交存记账后，如果因为特殊情况需要将其冲正，发起本笔交易，冲正后，允许该</w:t>
            </w:r>
            <w:r>
              <w:rPr>
                <w:rFonts w:hint="eastAsia" w:ascii="宋体" w:hAnsi="宋体"/>
              </w:rPr>
              <w:t>交存申请</w:t>
            </w:r>
            <w:r>
              <w:rPr>
                <w:rFonts w:hint="eastAsia"/>
              </w:rPr>
              <w:t>重新记账。</w:t>
            </w:r>
          </w:p>
          <w:p>
            <w:pPr>
              <w:spacing w:beforeLines="0" w:afterLines="0"/>
              <w:ind w:firstLine="0" w:firstLineChars="0"/>
              <w:rPr>
                <w:rFonts w:ascii="宋体" w:hAnsi="宋体"/>
              </w:rPr>
            </w:pPr>
            <w:r>
              <w:rPr>
                <w:rFonts w:hint="eastAsia" w:ascii="宋体" w:hAnsi="宋体"/>
              </w:rPr>
              <w:t>账户记账交易的冲正交易，必须当天进行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冲正日期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26"/>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3"/>
      </w:pPr>
      <w:bookmarkStart w:id="54" w:name="_Toc508624099"/>
      <w:bookmarkStart w:id="55" w:name="_Toc269931808"/>
      <w:bookmarkStart w:id="56" w:name="_Toc269917487"/>
      <w:r>
        <w:rPr>
          <w:rFonts w:hint="eastAsia"/>
        </w:rPr>
        <w:t>预售资金批量交存</w:t>
      </w:r>
      <w:bookmarkEnd w:id="54"/>
    </w:p>
    <w:p>
      <w:pPr>
        <w:pStyle w:val="4"/>
      </w:pPr>
      <w:bookmarkStart w:id="57" w:name="_Toc508624100"/>
      <w:r>
        <w:rPr>
          <w:rFonts w:hint="eastAsia"/>
        </w:rPr>
        <w:t>[2031]批量交存验证</w:t>
      </w:r>
      <w:bookmarkEnd w:id="57"/>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2031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批量交存验证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监管银行收到</w:t>
            </w:r>
            <w:r>
              <w:rPr>
                <w:rFonts w:hint="eastAsia" w:ascii="宋体" w:hAnsi="宋体"/>
              </w:rPr>
              <w:t>交存申请</w:t>
            </w:r>
            <w:r>
              <w:rPr>
                <w:rFonts w:hint="eastAsia"/>
              </w:rPr>
              <w:t>，向预售资金监管平台发起验证请求，验证通过后准予交存，否则不允许交存。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账户类别</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 xml:space="preserve">0：监管户；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交存申请单金额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29"/>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58" w:name="_Toc508624101"/>
      <w:r>
        <w:rPr>
          <w:rFonts w:hint="eastAsia"/>
        </w:rPr>
        <w:t>[2032]批量交存记账</w:t>
      </w:r>
      <w:bookmarkEnd w:id="58"/>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2032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批量交存记账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进行预售资金交存记账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 203</w:t>
            </w:r>
            <w:r>
              <w:rPr>
                <w:rFonts w:ascii="宋体" w:hAnsi="宋体"/>
              </w:rPr>
              <w:t>1</w:t>
            </w:r>
            <w:r>
              <w:rPr>
                <w:rFonts w:hint="eastAsia" w:ascii="宋体" w:hAnsi="宋体"/>
              </w:rPr>
              <w:t xml:space="preserve"> 返回的金额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交存验证返回项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结算方式</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 xml:space="preserve">01_ 现金 </w:t>
            </w:r>
          </w:p>
          <w:p>
            <w:pPr>
              <w:spacing w:beforeLines="0" w:afterLines="0"/>
              <w:ind w:firstLine="0" w:firstLineChars="0"/>
              <w:rPr>
                <w:rFonts w:ascii="宋体" w:hAnsi="宋体"/>
              </w:rPr>
            </w:pPr>
            <w:r>
              <w:rPr>
                <w:rFonts w:hint="eastAsia" w:ascii="宋体" w:hAnsi="宋体"/>
              </w:rPr>
              <w:t>02_ 转账</w:t>
            </w:r>
          </w:p>
          <w:p>
            <w:pPr>
              <w:spacing w:beforeLines="0" w:afterLines="0"/>
              <w:ind w:firstLine="0" w:firstLineChars="0"/>
              <w:rPr>
                <w:rFonts w:hint="eastAsia" w:ascii="宋体" w:hAnsi="宋体"/>
              </w:rPr>
            </w:pPr>
            <w:r>
              <w:rPr>
                <w:rFonts w:hint="eastAsia" w:ascii="宋体" w:hAnsi="宋体"/>
              </w:rPr>
              <w:t>03_ 支票</w:t>
            </w:r>
          </w:p>
          <w:p>
            <w:pPr>
              <w:spacing w:beforeLines="0" w:afterLines="0"/>
              <w:ind w:firstLine="0" w:firstLineChars="0"/>
              <w:rPr>
                <w:rFonts w:ascii="宋体" w:hAnsi="宋体"/>
              </w:rPr>
            </w:pPr>
            <w:r>
              <w:rPr>
                <w:rFonts w:hint="eastAsia" w:ascii="宋体" w:hAnsi="宋体"/>
              </w:rPr>
              <w:t>04  POS入账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支票号码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1"/>
              </w:numPr>
              <w:spacing w:beforeLines="0" w:afterLines="0"/>
              <w:ind w:firstLineChars="0"/>
              <w:jc w:val="center"/>
              <w:rPr>
                <w:rFonts w:hint="eastAsia"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入账日期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32"/>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left="420" w:firstLine="0" w:firstLineChars="0"/>
        <w:rPr>
          <w:rFonts w:hint="eastAsia"/>
        </w:rPr>
      </w:pPr>
    </w:p>
    <w:p>
      <w:pPr>
        <w:pStyle w:val="4"/>
      </w:pPr>
      <w:bookmarkStart w:id="59" w:name="_Toc508624102"/>
      <w:r>
        <w:rPr>
          <w:rFonts w:hint="eastAsia"/>
        </w:rPr>
        <w:t>[2033]批量交存冲正</w:t>
      </w:r>
      <w:bookmarkEnd w:id="59"/>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2033</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批量交存冲正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hint="eastAsia"/>
              </w:rPr>
            </w:pPr>
            <w:r>
              <w:rPr>
                <w:rFonts w:hint="eastAsia"/>
              </w:rPr>
              <w:t>监管银行向预售资金监管平台发起交存记账后，如果因为特殊情况需要将其冲正，发起本笔交易，冲正后，允许该</w:t>
            </w:r>
            <w:r>
              <w:rPr>
                <w:rFonts w:hint="eastAsia" w:ascii="宋体" w:hAnsi="宋体"/>
              </w:rPr>
              <w:t>交存申请</w:t>
            </w:r>
            <w:r>
              <w:rPr>
                <w:rFonts w:hint="eastAsia"/>
              </w:rPr>
              <w:t>重新记账。</w:t>
            </w:r>
          </w:p>
          <w:p>
            <w:pPr>
              <w:spacing w:beforeLines="0" w:afterLines="0"/>
              <w:ind w:firstLine="0" w:firstLineChars="0"/>
              <w:rPr>
                <w:rFonts w:ascii="宋体" w:hAnsi="宋体"/>
              </w:rPr>
            </w:pPr>
            <w:r>
              <w:rPr>
                <w:rFonts w:hint="eastAsia" w:ascii="宋体" w:hAnsi="宋体"/>
              </w:rPr>
              <w:t>账户记账交易的冲正交易，必须当天进行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冲正日期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2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26"/>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left="420" w:firstLine="0" w:firstLineChars="0"/>
        <w:rPr>
          <w:rFonts w:hint="eastAsia"/>
        </w:rPr>
      </w:pPr>
    </w:p>
    <w:p>
      <w:pPr>
        <w:pStyle w:val="3"/>
      </w:pPr>
      <w:bookmarkStart w:id="60" w:name="_Toc508624103"/>
      <w:r>
        <w:rPr>
          <w:rFonts w:hint="eastAsia"/>
        </w:rPr>
        <w:t>预售资金划拨</w:t>
      </w:r>
      <w:bookmarkEnd w:id="55"/>
      <w:bookmarkEnd w:id="56"/>
      <w:bookmarkEnd w:id="60"/>
    </w:p>
    <w:p>
      <w:pPr>
        <w:pStyle w:val="4"/>
      </w:pPr>
      <w:bookmarkStart w:id="61" w:name="_Toc269931809"/>
      <w:bookmarkStart w:id="62" w:name="_Toc508624104"/>
      <w:bookmarkStart w:id="63" w:name="_Toc269917488"/>
      <w:r>
        <w:rPr>
          <w:rFonts w:hint="eastAsia"/>
        </w:rPr>
        <w:t>[2101]划拨验证</w:t>
      </w:r>
      <w:bookmarkEnd w:id="61"/>
      <w:bookmarkEnd w:id="62"/>
      <w:bookmarkEnd w:id="63"/>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2101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监管银行收到</w:t>
            </w:r>
            <w:r>
              <w:rPr>
                <w:rFonts w:hint="eastAsia" w:ascii="宋体" w:hAnsi="宋体"/>
              </w:rPr>
              <w:t>划拨凭证</w:t>
            </w:r>
            <w:r>
              <w:rPr>
                <w:rFonts w:hint="eastAsia"/>
              </w:rPr>
              <w:t>，向预售资金监管平台发起验证请求，验证通过后准予划拨，否则不允许</w:t>
            </w:r>
            <w:r>
              <w:rPr>
                <w:rFonts w:hint="eastAsia" w:ascii="宋体" w:hAnsi="宋体"/>
              </w:rPr>
              <w:t>划拨</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划拨业务编号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bookmarkStart w:id="64" w:name="OLE_LINK4"/>
            <w:bookmarkStart w:id="65" w:name="OLE_LINK3"/>
            <w:r>
              <w:rPr>
                <w:rFonts w:hint="eastAsia" w:ascii="宋体" w:hAnsi="宋体"/>
              </w:rPr>
              <w:t>监管账户户名</w:t>
            </w:r>
            <w:bookmarkEnd w:id="64"/>
            <w:bookmarkEnd w:id="65"/>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划拨金额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收款银行</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90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rPr>
              <w:t>收款单位账号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rPr>
              <w:t>收款单位户名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项目名称</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128</w:t>
            </w:r>
          </w:p>
        </w:tc>
        <w:tc>
          <w:tcPr>
            <w:tcW w:w="4044" w:type="dxa"/>
            <w:gridSpan w:val="2"/>
            <w:tcBorders>
              <w:right w:val="double" w:color="auto" w:sz="4" w:space="0"/>
            </w:tcBorders>
            <w:noWrap w:val="0"/>
            <w:vAlign w:val="center"/>
          </w:tcPr>
          <w:p>
            <w:pPr>
              <w:spacing w:beforeLines="0" w:afterLines="0"/>
              <w:ind w:firstLine="0" w:firstLineChars="0"/>
              <w:rPr>
                <w:rFonts w:hint="default" w:ascii="宋体" w:hAnsi="宋体" w:eastAsia="宋体"/>
                <w:lang w:val="en-US" w:eastAsia="zh-CN"/>
              </w:rPr>
            </w:pPr>
            <w:r>
              <w:rPr>
                <w:rFonts w:hint="eastAsia" w:ascii="宋体" w:hAnsi="宋体"/>
                <w:lang w:val="en-US" w:eastAsia="zh-CN"/>
              </w:rPr>
              <w:t>楼盘坐落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开发企业名称</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37"/>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66" w:name="_Toc508624105"/>
      <w:bookmarkStart w:id="67" w:name="_Toc269917489"/>
      <w:bookmarkStart w:id="68" w:name="_Toc269931810"/>
      <w:r>
        <w:rPr>
          <w:rFonts w:hint="eastAsia"/>
        </w:rPr>
        <w:t>[2102]划拨记账</w:t>
      </w:r>
      <w:bookmarkEnd w:id="66"/>
      <w:bookmarkEnd w:id="67"/>
      <w:bookmarkEnd w:id="68"/>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2102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进行预售资金划拨记账。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划拨业务编号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划拨验证的输出项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收款单位账号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划拨验证的输出项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划拨资金</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划拨验证的输出项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结算方式</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01_ 现金</w:t>
            </w:r>
          </w:p>
          <w:p>
            <w:pPr>
              <w:spacing w:beforeLines="0" w:afterLines="0"/>
              <w:ind w:firstLine="0" w:firstLineChars="0"/>
              <w:rPr>
                <w:rFonts w:ascii="宋体" w:hAnsi="宋体"/>
              </w:rPr>
            </w:pPr>
            <w:r>
              <w:rPr>
                <w:rFonts w:hint="eastAsia" w:ascii="宋体" w:hAnsi="宋体"/>
              </w:rPr>
              <w:t>02_ 转账</w:t>
            </w:r>
          </w:p>
          <w:p>
            <w:pPr>
              <w:spacing w:beforeLines="0" w:afterLines="0"/>
              <w:ind w:firstLine="0" w:firstLineChars="0"/>
              <w:rPr>
                <w:rFonts w:ascii="宋体" w:hAnsi="宋体"/>
              </w:rPr>
            </w:pPr>
            <w:r>
              <w:rPr>
                <w:rFonts w:hint="eastAsia" w:ascii="宋体" w:hAnsi="宋体"/>
              </w:rPr>
              <w:t>03_ 支票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支票号码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3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40"/>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69" w:name="_Toc508624106"/>
      <w:bookmarkStart w:id="70" w:name="_Toc269931811"/>
      <w:bookmarkStart w:id="71" w:name="_Toc269917490"/>
      <w:r>
        <w:rPr>
          <w:rFonts w:hint="eastAsia"/>
        </w:rPr>
        <w:t>[2111]划拨冲正</w:t>
      </w:r>
      <w:bookmarkEnd w:id="69"/>
      <w:bookmarkEnd w:id="70"/>
      <w:bookmarkEnd w:id="71"/>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2111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划拨冲正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hint="eastAsia"/>
              </w:rPr>
            </w:pPr>
            <w:r>
              <w:rPr>
                <w:rFonts w:hint="eastAsia"/>
              </w:rPr>
              <w:t>监管银行向预售资金监管平台发起划拨记账后，如果因为特殊情况需要将其冲正，发起本笔交易，冲正后，允许该</w:t>
            </w:r>
            <w:r>
              <w:rPr>
                <w:rFonts w:hint="eastAsia" w:ascii="宋体" w:hAnsi="宋体"/>
              </w:rPr>
              <w:t>划拨业务</w:t>
            </w:r>
            <w:r>
              <w:rPr>
                <w:rFonts w:hint="eastAsia"/>
              </w:rPr>
              <w:t>重新记账。</w:t>
            </w:r>
          </w:p>
          <w:p>
            <w:pPr>
              <w:spacing w:beforeLines="0" w:afterLines="0"/>
              <w:ind w:firstLine="0" w:firstLineChars="0"/>
              <w:rPr>
                <w:rFonts w:ascii="宋体" w:hAnsi="宋体"/>
              </w:rPr>
            </w:pPr>
            <w:r>
              <w:rPr>
                <w:rFonts w:hint="eastAsia" w:ascii="宋体" w:hAnsi="宋体"/>
              </w:rPr>
              <w:t>账户记账交易的冲正交易，必须当天进行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划拨业务编号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冲正日期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43"/>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firstLine="420"/>
        <w:rPr>
          <w:rFonts w:hint="eastAsia"/>
          <w:dstrike/>
        </w:rPr>
      </w:pPr>
    </w:p>
    <w:p>
      <w:pPr>
        <w:pStyle w:val="3"/>
      </w:pPr>
      <w:bookmarkStart w:id="72" w:name="_Toc269931812"/>
      <w:bookmarkStart w:id="73" w:name="_Toc508624107"/>
      <w:r>
        <w:rPr>
          <w:rFonts w:hint="eastAsia"/>
        </w:rPr>
        <w:t>预售资金</w:t>
      </w:r>
      <w:bookmarkEnd w:id="72"/>
      <w:r>
        <w:rPr>
          <w:rFonts w:hint="eastAsia"/>
        </w:rPr>
        <w:t>监管解除</w:t>
      </w:r>
      <w:bookmarkEnd w:id="73"/>
    </w:p>
    <w:p>
      <w:pPr>
        <w:pStyle w:val="4"/>
      </w:pPr>
      <w:bookmarkStart w:id="74" w:name="_Toc269931813"/>
      <w:bookmarkStart w:id="75" w:name="_Toc508624108"/>
      <w:r>
        <w:rPr>
          <w:rFonts w:hint="eastAsia"/>
        </w:rPr>
        <w:t>[2201] 监管解除验证</w:t>
      </w:r>
      <w:bookmarkEnd w:id="74"/>
      <w:bookmarkEnd w:id="75"/>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2201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退还验证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监管银行收到</w:t>
            </w:r>
            <w:r>
              <w:rPr>
                <w:rFonts w:hint="eastAsia" w:ascii="宋体" w:hAnsi="宋体"/>
              </w:rPr>
              <w:t>监管解除凭证</w:t>
            </w:r>
            <w:r>
              <w:rPr>
                <w:rFonts w:hint="eastAsia"/>
              </w:rPr>
              <w:t>，向预售资金监管平台发起验证请求，验证通过后准予</w:t>
            </w:r>
            <w:r>
              <w:rPr>
                <w:rFonts w:hint="eastAsia" w:ascii="宋体" w:hAnsi="宋体"/>
              </w:rPr>
              <w:t>监管解除</w:t>
            </w:r>
            <w:r>
              <w:rPr>
                <w:rFonts w:hint="eastAsia"/>
              </w:rPr>
              <w:t>，否则不允许</w:t>
            </w:r>
            <w:r>
              <w:rPr>
                <w:rFonts w:hint="eastAsia" w:ascii="宋体" w:hAnsi="宋体"/>
              </w:rPr>
              <w:t>监管解除</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解除金额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业主姓名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80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证件类型</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汉字描述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证件号码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收款银行</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收款账户户名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收款账号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5"/>
              </w:numPr>
              <w:spacing w:beforeLines="0" w:afterLines="0"/>
              <w:ind w:firstLineChars="0"/>
              <w:jc w:val="center"/>
              <w:rPr>
                <w:rFonts w:ascii="宋体" w:hAnsi="宋体"/>
              </w:rPr>
            </w:pPr>
            <w:r>
              <w:rPr>
                <w:rFonts w:hint="eastAsia" w:ascii="宋体" w:hAnsi="宋体"/>
              </w:rPr>
              <w:t xml:space="preserve"> </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46"/>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76" w:name="_Toc508624109"/>
      <w:bookmarkStart w:id="77" w:name="_Toc269931814"/>
      <w:r>
        <w:rPr>
          <w:rFonts w:hint="eastAsia"/>
        </w:rPr>
        <w:t>[2202]</w:t>
      </w:r>
      <w:r>
        <w:rPr>
          <w:rFonts w:hint="eastAsia" w:ascii="宋体" w:hAnsi="宋体"/>
        </w:rPr>
        <w:t>监管解除</w:t>
      </w:r>
      <w:r>
        <w:rPr>
          <w:rFonts w:hint="eastAsia"/>
        </w:rPr>
        <w:t>记账</w:t>
      </w:r>
      <w:bookmarkEnd w:id="76"/>
      <w:bookmarkEnd w:id="77"/>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2202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监管解除记账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进行预售资金</w:t>
            </w:r>
            <w:r>
              <w:rPr>
                <w:rFonts w:hint="eastAsia" w:ascii="宋体" w:hAnsi="宋体"/>
              </w:rPr>
              <w:t>监管解除</w:t>
            </w:r>
            <w:r>
              <w:rPr>
                <w:rFonts w:hint="eastAsia"/>
              </w:rPr>
              <w:t>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解除资金</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4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49"/>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78" w:name="_Toc508624110"/>
      <w:bookmarkStart w:id="79" w:name="_Toc269931815"/>
      <w:r>
        <w:rPr>
          <w:rFonts w:hint="eastAsia"/>
        </w:rPr>
        <w:t>[2211]</w:t>
      </w:r>
      <w:r>
        <w:rPr>
          <w:rFonts w:hint="eastAsia" w:ascii="宋体" w:hAnsi="宋体"/>
        </w:rPr>
        <w:t>监管解除</w:t>
      </w:r>
      <w:r>
        <w:rPr>
          <w:rFonts w:hint="eastAsia"/>
        </w:rPr>
        <w:t>冲正</w:t>
      </w:r>
      <w:bookmarkEnd w:id="78"/>
      <w:bookmarkEnd w:id="79"/>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2211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监管解除冲正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hint="eastAsia"/>
              </w:rPr>
            </w:pPr>
            <w:r>
              <w:rPr>
                <w:rFonts w:hint="eastAsia"/>
              </w:rPr>
              <w:t>监管银行向预售资金监管平台发起监管解除记账后，如果因为特殊情况需要将其冲正，发起本笔交易，冲正后，允许该</w:t>
            </w:r>
            <w:r>
              <w:rPr>
                <w:rFonts w:hint="eastAsia" w:ascii="宋体" w:hAnsi="宋体"/>
              </w:rPr>
              <w:t>监管解除业务</w:t>
            </w:r>
            <w:r>
              <w:rPr>
                <w:rFonts w:hint="eastAsia"/>
              </w:rPr>
              <w:t>重新记账。</w:t>
            </w:r>
          </w:p>
          <w:p>
            <w:pPr>
              <w:spacing w:beforeLines="0" w:afterLines="0"/>
              <w:ind w:firstLine="0" w:firstLineChars="0"/>
              <w:rPr>
                <w:rFonts w:ascii="宋体" w:hAnsi="宋体"/>
              </w:rPr>
            </w:pPr>
            <w:r>
              <w:rPr>
                <w:rFonts w:hint="eastAsia" w:ascii="宋体" w:hAnsi="宋体"/>
              </w:rPr>
              <w:t>监管解除交易的冲正交易，必须当天进行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冲正日期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52"/>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3"/>
      </w:pPr>
      <w:bookmarkStart w:id="80" w:name="_Toc508624111"/>
      <w:bookmarkStart w:id="81" w:name="_Toc269931816"/>
      <w:bookmarkStart w:id="82" w:name="_Toc269917491"/>
      <w:r>
        <w:rPr>
          <w:rFonts w:hint="eastAsia"/>
        </w:rPr>
        <w:t>错账拨款</w:t>
      </w:r>
      <w:bookmarkEnd w:id="80"/>
    </w:p>
    <w:p>
      <w:pPr>
        <w:pStyle w:val="4"/>
      </w:pPr>
      <w:bookmarkStart w:id="83" w:name="_Toc508624112"/>
      <w:r>
        <w:rPr>
          <w:rFonts w:hint="eastAsia"/>
        </w:rPr>
        <w:t>[</w:t>
      </w:r>
      <w:r>
        <w:t>5621</w:t>
      </w:r>
      <w:r>
        <w:rPr>
          <w:rFonts w:hint="eastAsia"/>
        </w:rPr>
        <w:t>]错账拨款查询</w:t>
      </w:r>
      <w:bookmarkEnd w:id="83"/>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5621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rPr>
              <w:t>错账拨款</w:t>
            </w:r>
            <w:r>
              <w:rPr>
                <w:rFonts w:hint="eastAsia" w:ascii="宋体" w:hAnsi="宋体"/>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监管银行进行错账拨款查询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w:t>
            </w:r>
            <w:r>
              <w:rPr>
                <w:rFonts w:ascii="宋体" w:hAnsi="宋体"/>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凭证编号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出账凭证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出账金额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收款银行</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90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收款账户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收款账号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55"/>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firstLine="420"/>
        <w:rPr>
          <w:rFonts w:hint="eastAsia"/>
        </w:rPr>
      </w:pPr>
    </w:p>
    <w:p>
      <w:pPr>
        <w:pStyle w:val="4"/>
      </w:pPr>
      <w:bookmarkStart w:id="84" w:name="_Toc394478319"/>
      <w:bookmarkStart w:id="85" w:name="_Toc508624113"/>
      <w:r>
        <w:rPr>
          <w:rFonts w:hint="eastAsia"/>
        </w:rPr>
        <w:t>[5622]错账拨款记账</w:t>
      </w:r>
      <w:bookmarkEnd w:id="84"/>
      <w:bookmarkEnd w:id="85"/>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5622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rPr>
              <w:t>错账拨款</w:t>
            </w:r>
            <w:r>
              <w:rPr>
                <w:rFonts w:hint="eastAsia" w:ascii="宋体" w:hAnsi="宋体"/>
              </w:rPr>
              <w:t>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pPr>
            <w:r>
              <w:rPr>
                <w:rFonts w:hint="eastAsia"/>
              </w:rPr>
              <w:t>监管银行进行错账拨款记账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凭证编号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记账金额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记账描述</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01</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02</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01</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02</w:t>
            </w: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86" w:name="_Toc394478320"/>
      <w:bookmarkStart w:id="87" w:name="_Toc508624114"/>
      <w:r>
        <w:rPr>
          <w:rFonts w:hint="eastAsia"/>
        </w:rPr>
        <w:t>[5623]错账拨款记账冲正</w:t>
      </w:r>
      <w:bookmarkEnd w:id="86"/>
      <w:bookmarkEnd w:id="87"/>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5623</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rPr>
              <w:t>错账拨款</w:t>
            </w:r>
            <w:r>
              <w:rPr>
                <w:rFonts w:hint="eastAsia" w:ascii="宋体" w:hAnsi="宋体"/>
              </w:rPr>
              <w:t>记账冲正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错账拨款</w:t>
            </w:r>
            <w:r>
              <w:rPr>
                <w:rFonts w:hint="eastAsia" w:ascii="宋体" w:hAnsi="宋体"/>
              </w:rPr>
              <w:t>交易的冲正交易，</w:t>
            </w:r>
            <w:r>
              <w:rPr>
                <w:rFonts w:hint="eastAsia" w:ascii="宋体" w:hAnsi="宋体"/>
                <w:color w:val="000000"/>
              </w:rPr>
              <w:t>必须当天进行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银行冲正金额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以分为单位，应与原交易金额保持一致。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银行网点号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银行柜员号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5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59"/>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3"/>
      </w:pPr>
      <w:bookmarkStart w:id="88" w:name="_Toc508624115"/>
      <w:r>
        <w:rPr>
          <w:rFonts w:hint="eastAsia"/>
        </w:rPr>
        <w:t>查询交易</w:t>
      </w:r>
      <w:bookmarkEnd w:id="81"/>
      <w:bookmarkEnd w:id="82"/>
      <w:bookmarkEnd w:id="88"/>
    </w:p>
    <w:p>
      <w:pPr>
        <w:pStyle w:val="4"/>
      </w:pPr>
      <w:bookmarkStart w:id="89" w:name="_Toc508624116"/>
      <w:bookmarkStart w:id="90" w:name="_Toc269917492"/>
      <w:bookmarkStart w:id="91" w:name="_Toc269931817"/>
      <w:r>
        <w:rPr>
          <w:rFonts w:hint="eastAsia"/>
        </w:rPr>
        <w:t>[2501]记账结果查询</w:t>
      </w:r>
      <w:bookmarkEnd w:id="89"/>
      <w:bookmarkEnd w:id="90"/>
      <w:bookmarkEnd w:id="91"/>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2501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记账结果查询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查询日间业务的记账结果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2501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业务编号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交存申请号</w:t>
            </w:r>
          </w:p>
          <w:p>
            <w:pPr>
              <w:spacing w:beforeLines="0" w:afterLines="0"/>
              <w:ind w:firstLine="0" w:firstLineChars="0"/>
              <w:rPr>
                <w:rFonts w:hint="eastAsia" w:ascii="宋体" w:hAnsi="宋体"/>
              </w:rPr>
            </w:pPr>
            <w:r>
              <w:rPr>
                <w:rFonts w:ascii="宋体" w:hAnsi="宋体"/>
              </w:rPr>
              <w:t>批量交存申请号</w:t>
            </w:r>
          </w:p>
          <w:p>
            <w:pPr>
              <w:spacing w:beforeLines="0" w:afterLines="0"/>
              <w:ind w:firstLine="0" w:firstLineChars="0"/>
              <w:rPr>
                <w:rFonts w:ascii="宋体" w:hAnsi="宋体"/>
              </w:rPr>
            </w:pPr>
            <w:r>
              <w:rPr>
                <w:rFonts w:hint="eastAsia" w:ascii="宋体" w:hAnsi="宋体"/>
              </w:rPr>
              <w:t>划拨业务编号</w:t>
            </w:r>
          </w:p>
          <w:p>
            <w:pPr>
              <w:spacing w:beforeLines="0" w:afterLines="0"/>
              <w:ind w:firstLine="0" w:firstLineChars="0"/>
              <w:rPr>
                <w:rFonts w:hint="eastAsia" w:ascii="宋体" w:hAnsi="宋体"/>
              </w:rPr>
            </w:pPr>
            <w:r>
              <w:rPr>
                <w:rFonts w:ascii="宋体" w:hAnsi="宋体"/>
              </w:rPr>
              <w:t>错账拨款编号</w:t>
            </w:r>
          </w:p>
          <w:p>
            <w:pPr>
              <w:spacing w:beforeLines="0" w:afterLines="0"/>
              <w:ind w:firstLine="0" w:firstLineChars="0"/>
              <w:rPr>
                <w:rFonts w:ascii="宋体" w:hAnsi="宋体"/>
              </w:rPr>
            </w:pPr>
            <w:r>
              <w:rPr>
                <w:rFonts w:hint="eastAsia" w:ascii="宋体" w:hAnsi="宋体"/>
              </w:rPr>
              <w:t>监管解除业务编号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原业务银行流水号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查询网点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查询人员</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1_监管银行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结果</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记账结果</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0_成功</w:t>
            </w:r>
          </w:p>
          <w:p>
            <w:pPr>
              <w:spacing w:beforeLines="0" w:afterLines="0"/>
              <w:ind w:firstLine="0" w:firstLineChars="0"/>
              <w:rPr>
                <w:rFonts w:ascii="宋体" w:hAnsi="宋体"/>
              </w:rPr>
            </w:pPr>
            <w:r>
              <w:rPr>
                <w:rFonts w:hint="eastAsia" w:ascii="宋体" w:hAnsi="宋体"/>
              </w:rPr>
              <w:t>1_失败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预售资金监管平台记账流水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业务记账流水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监管银行记账流水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业务记账流水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返回结果</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62"/>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firstLine="420"/>
      </w:pPr>
    </w:p>
    <w:p>
      <w:pPr>
        <w:pStyle w:val="3"/>
      </w:pPr>
      <w:bookmarkStart w:id="92" w:name="_Toc269917493"/>
      <w:bookmarkStart w:id="93" w:name="_Toc508624117"/>
      <w:bookmarkStart w:id="94" w:name="_Toc269931818"/>
      <w:r>
        <w:rPr>
          <w:rFonts w:hint="eastAsia"/>
        </w:rPr>
        <w:t>日终对账</w:t>
      </w:r>
      <w:bookmarkEnd w:id="92"/>
      <w:bookmarkEnd w:id="93"/>
      <w:bookmarkEnd w:id="94"/>
    </w:p>
    <w:p>
      <w:pPr>
        <w:spacing w:before="156" w:after="156"/>
        <w:ind w:firstLine="420"/>
        <w:rPr>
          <w:rFonts w:hint="eastAsia"/>
        </w:rPr>
      </w:pPr>
      <w:r>
        <w:rPr>
          <w:rFonts w:hint="eastAsia"/>
        </w:rPr>
        <w:t>每日日终由监管银行将当日预售资金专户的交易明细上送预售资金监管平台，上送方式采用FTP方式（具体IP、用户名、密码、路径另行定义）。</w:t>
      </w:r>
      <w:bookmarkStart w:id="129" w:name="_GoBack"/>
      <w:bookmarkEnd w:id="129"/>
    </w:p>
    <w:p>
      <w:pPr>
        <w:spacing w:before="156" w:after="156"/>
        <w:ind w:firstLine="422"/>
        <w:rPr>
          <w:rFonts w:hint="eastAsia"/>
          <w:b/>
          <w:color w:val="FF0000"/>
        </w:rPr>
      </w:pPr>
      <w:r>
        <w:rPr>
          <w:rFonts w:hint="eastAsia"/>
          <w:b/>
          <w:color w:val="FF0000"/>
        </w:rPr>
        <w:t>每日银行必须传送对账明细文件、不明账交易明细文件、</w:t>
      </w:r>
      <w:r>
        <w:rPr>
          <w:b/>
          <w:color w:val="FF0000"/>
        </w:rPr>
        <w:t>监管专户余额文件</w:t>
      </w:r>
      <w:r>
        <w:rPr>
          <w:rFonts w:hint="eastAsia"/>
          <w:b/>
          <w:color w:val="FF0000"/>
        </w:rPr>
        <w:t>，若出现文件上传不全、格式有误情况，系统不进行业务处理，认为对账失败。</w:t>
      </w:r>
    </w:p>
    <w:p>
      <w:pPr>
        <w:pStyle w:val="4"/>
        <w:rPr>
          <w:rFonts w:hint="eastAsia"/>
        </w:rPr>
      </w:pPr>
      <w:bookmarkStart w:id="95" w:name="_Toc508624118"/>
      <w:bookmarkStart w:id="96" w:name="_Toc387227781"/>
      <w:r>
        <w:rPr>
          <w:rFonts w:hint="eastAsia"/>
        </w:rPr>
        <w:t>对账明细文件</w:t>
      </w:r>
      <w:bookmarkEnd w:id="95"/>
      <w:bookmarkEnd w:id="96"/>
    </w:p>
    <w:p>
      <w:pPr>
        <w:spacing w:before="156" w:after="156"/>
        <w:ind w:firstLine="422"/>
      </w:pPr>
      <w:r>
        <w:rPr>
          <w:rFonts w:hint="eastAsia"/>
          <w:b/>
        </w:rPr>
        <w:t>对账文件名</w:t>
      </w:r>
      <w:r>
        <w:rPr>
          <w:rFonts w:hint="eastAsia"/>
        </w:rPr>
        <w:t>：PFBBCCCCCCYYYYMMDD.dat，PF为固定字符，BB指监管银行代码（2位），CCCCCC 指城市代码（6位）YYYYMMDD为对账日期。</w:t>
      </w:r>
    </w:p>
    <w:p>
      <w:pPr>
        <w:spacing w:before="156" w:after="156"/>
        <w:ind w:firstLine="422"/>
      </w:pPr>
      <w:r>
        <w:rPr>
          <w:rFonts w:hint="eastAsia"/>
          <w:b/>
        </w:rPr>
        <w:t>对账文件格式</w:t>
      </w:r>
      <w:r>
        <w:rPr>
          <w:rFonts w:hint="eastAsia"/>
        </w:rPr>
        <w:t>：（右补空格左对齐）</w:t>
      </w:r>
    </w:p>
    <w:p>
      <w:pPr>
        <w:spacing w:before="156" w:after="156"/>
        <w:ind w:firstLine="422"/>
      </w:pPr>
      <w:r>
        <w:rPr>
          <w:rFonts w:hint="eastAsia"/>
          <w:b/>
        </w:rPr>
        <w:t>第一行</w:t>
      </w:r>
      <w:r>
        <w:rPr>
          <w:rFonts w:hint="eastAsia"/>
        </w:rPr>
        <w:t>：为汇总信息</w:t>
      </w:r>
    </w:p>
    <w:p>
      <w:pPr>
        <w:spacing w:before="156" w:after="156"/>
        <w:ind w:firstLine="420"/>
      </w:pPr>
      <w:r>
        <w:rPr>
          <w:rFonts w:hint="eastAsia"/>
        </w:rPr>
        <w:tab/>
      </w:r>
      <w:r>
        <w:rPr>
          <w:rFonts w:hint="eastAsia"/>
        </w:rPr>
        <w:t>交易总笔数(6位)|交易总金额(20位)|</w:t>
      </w:r>
    </w:p>
    <w:p>
      <w:pPr>
        <w:spacing w:before="156" w:after="156"/>
        <w:ind w:firstLine="422"/>
      </w:pPr>
      <w:r>
        <w:rPr>
          <w:rFonts w:hint="eastAsia"/>
          <w:b/>
        </w:rPr>
        <w:t>其他各行</w:t>
      </w:r>
      <w:r>
        <w:rPr>
          <w:rFonts w:hint="eastAsia"/>
        </w:rPr>
        <w:t>：为明细信息</w:t>
      </w:r>
    </w:p>
    <w:p>
      <w:pPr>
        <w:spacing w:before="156" w:after="156"/>
        <w:ind w:firstLine="420"/>
      </w:pPr>
      <w:r>
        <w:rPr>
          <w:rFonts w:hint="eastAsia"/>
        </w:rPr>
        <w:tab/>
      </w:r>
      <w:r>
        <w:rPr>
          <w:rFonts w:hint="eastAsia"/>
        </w:rPr>
        <w:t>交易代码(4位)|业务编号(14位，包括交存申请编号、划拨业务编号、监管解除编号、错账拨款编号)| 借贷标志|交易金额(20位)|监管账号(30位)|预售资金监管平台流水(16位)|监管银行记账流水(30位)|监管银行记账网点(30位)|监管银行记账人员(30位)|记账日期(10位，YYYY-MM-DD)|</w:t>
      </w:r>
    </w:p>
    <w:p>
      <w:pPr>
        <w:spacing w:before="156" w:after="156"/>
        <w:ind w:firstLine="422"/>
        <w:rPr>
          <w:b/>
        </w:rPr>
      </w:pPr>
      <w:r>
        <w:rPr>
          <w:rFonts w:hint="eastAsia"/>
          <w:b/>
        </w:rPr>
        <w:t>特别说明：</w:t>
      </w:r>
    </w:p>
    <w:p>
      <w:pPr>
        <w:spacing w:before="156" w:after="156"/>
        <w:ind w:left="199" w:firstLine="221" w:firstLineChars="0"/>
      </w:pPr>
      <w:r>
        <w:rPr>
          <w:rFonts w:hint="eastAsia"/>
        </w:rPr>
        <w:t>1、若当日无交易，要求监管银行同样传送对账文件。对账文件格式如下：</w:t>
      </w:r>
    </w:p>
    <w:p>
      <w:pPr>
        <w:spacing w:before="156" w:after="156"/>
        <w:ind w:firstLine="199" w:firstLineChars="95"/>
      </w:pPr>
      <w:r>
        <w:rPr>
          <w:rFonts w:hint="eastAsia"/>
        </w:rPr>
        <w:t>0|0|</w:t>
      </w:r>
    </w:p>
    <w:p>
      <w:pPr>
        <w:spacing w:before="156" w:after="156"/>
        <w:ind w:firstLine="199" w:firstLineChars="95"/>
        <w:rPr>
          <w:rFonts w:hint="eastAsia"/>
        </w:rPr>
      </w:pPr>
      <w:r>
        <w:rPr>
          <w:rFonts w:hint="eastAsia"/>
        </w:rPr>
        <w:tab/>
      </w:r>
      <w:r>
        <w:rPr>
          <w:rFonts w:hint="eastAsia"/>
        </w:rPr>
        <w:t>2、对账原则：如果出现银行方与预售资金监管平台账务不一致，以银行方为准。</w:t>
      </w:r>
    </w:p>
    <w:p>
      <w:pPr>
        <w:spacing w:before="156" w:after="156"/>
        <w:ind w:firstLine="420"/>
        <w:rPr>
          <w:rFonts w:hint="eastAsia"/>
        </w:rPr>
      </w:pPr>
      <w:r>
        <w:rPr>
          <w:rFonts w:hint="eastAsia"/>
        </w:rPr>
        <w:t>3、明细中的记账日期作用：在交存、划拨、监管解除 、保证金支用和阶段划拨业务中，该日期与对账文件名中的日期一致。</w:t>
      </w:r>
    </w:p>
    <w:p>
      <w:pPr>
        <w:spacing w:before="156" w:after="156"/>
        <w:ind w:firstLine="420"/>
        <w:rPr>
          <w:rFonts w:hint="eastAsia"/>
        </w:rPr>
      </w:pPr>
      <w:r>
        <w:rPr>
          <w:rFonts w:hint="eastAsia"/>
        </w:rPr>
        <w:t>4、借贷标志：</w:t>
      </w:r>
    </w:p>
    <w:p>
      <w:pPr>
        <w:spacing w:before="156" w:after="156"/>
        <w:ind w:firstLine="420"/>
        <w:rPr>
          <w:rFonts w:hint="eastAsia"/>
        </w:rPr>
      </w:pPr>
      <w:r>
        <w:rPr>
          <w:rFonts w:hint="eastAsia"/>
        </w:rPr>
        <w:t xml:space="preserve">    交存交易：送1_借</w:t>
      </w:r>
    </w:p>
    <w:p>
      <w:pPr>
        <w:spacing w:before="156" w:after="156"/>
        <w:ind w:firstLine="420"/>
        <w:rPr>
          <w:rFonts w:hint="eastAsia"/>
        </w:rPr>
      </w:pPr>
      <w:r>
        <w:rPr>
          <w:rFonts w:hint="eastAsia"/>
        </w:rPr>
        <w:tab/>
      </w:r>
      <w:r>
        <w:rPr>
          <w:rFonts w:hint="eastAsia"/>
        </w:rPr>
        <w:t>划拨交易: 送2_贷</w:t>
      </w:r>
    </w:p>
    <w:p>
      <w:pPr>
        <w:spacing w:before="156" w:after="156"/>
        <w:ind w:firstLine="420"/>
      </w:pPr>
      <w:r>
        <w:rPr>
          <w:rFonts w:hint="eastAsia"/>
        </w:rPr>
        <w:tab/>
      </w:r>
      <w:r>
        <w:rPr>
          <w:rFonts w:hint="eastAsia"/>
        </w:rPr>
        <w:t>监管解除交易: 送2_贷</w:t>
      </w:r>
    </w:p>
    <w:p>
      <w:pPr>
        <w:spacing w:before="156" w:after="156"/>
        <w:ind w:firstLine="420"/>
      </w:pPr>
      <w:r>
        <w:tab/>
      </w:r>
      <w:r>
        <w:rPr>
          <w:rFonts w:hint="eastAsia"/>
        </w:rPr>
        <w:t>错账拨款: 送2_贷</w:t>
      </w:r>
    </w:p>
    <w:p>
      <w:pPr>
        <w:spacing w:before="156" w:after="156"/>
        <w:ind w:firstLine="420"/>
        <w:rPr>
          <w:rFonts w:hint="eastAsia"/>
        </w:rPr>
      </w:pPr>
      <w:r>
        <w:tab/>
      </w:r>
      <w:r>
        <w:t>账户入账</w:t>
      </w:r>
      <w:r>
        <w:rPr>
          <w:rFonts w:hint="eastAsia"/>
        </w:rPr>
        <w:t>:</w:t>
      </w:r>
      <w:r>
        <w:t xml:space="preserve"> 送</w:t>
      </w:r>
      <w:r>
        <w:rPr>
          <w:rFonts w:hint="eastAsia"/>
        </w:rPr>
        <w:t>1_借</w:t>
      </w:r>
    </w:p>
    <w:p>
      <w:pPr>
        <w:spacing w:before="156" w:after="156"/>
        <w:ind w:firstLine="420"/>
        <w:rPr>
          <w:rFonts w:hint="eastAsia"/>
        </w:rPr>
      </w:pPr>
      <w:r>
        <w:rPr>
          <w:rFonts w:hint="eastAsia"/>
        </w:rPr>
        <w:t xml:space="preserve">    </w:t>
      </w:r>
    </w:p>
    <w:p>
      <w:pPr>
        <w:spacing w:before="156" w:after="156"/>
        <w:ind w:firstLine="420"/>
      </w:pPr>
      <w:r>
        <w:rPr>
          <w:rFonts w:hint="eastAsia"/>
        </w:rPr>
        <w:t>5、 对账交易只送当日交易成功的账务类交易，针对冲正成功的交易不在对账文件中体现。</w:t>
      </w:r>
    </w:p>
    <w:p>
      <w:pPr>
        <w:spacing w:before="156" w:after="156"/>
        <w:ind w:firstLine="420"/>
        <w:rPr>
          <w:rFonts w:hint="eastAsia"/>
        </w:rPr>
      </w:pPr>
    </w:p>
    <w:p>
      <w:pPr>
        <w:pStyle w:val="4"/>
      </w:pPr>
      <w:bookmarkStart w:id="97" w:name="_Toc508624119"/>
      <w:r>
        <w:rPr>
          <w:rFonts w:hint="eastAsia"/>
        </w:rPr>
        <w:t>不明账交易明细文件</w:t>
      </w:r>
      <w:bookmarkEnd w:id="97"/>
    </w:p>
    <w:p>
      <w:pPr>
        <w:spacing w:before="156" w:after="156"/>
        <w:ind w:firstLine="422"/>
        <w:rPr>
          <w:rFonts w:hint="eastAsia"/>
        </w:rPr>
      </w:pPr>
      <w:r>
        <w:rPr>
          <w:rFonts w:hint="eastAsia"/>
          <w:b/>
        </w:rPr>
        <w:t>文件名</w:t>
      </w:r>
      <w:r>
        <w:rPr>
          <w:rFonts w:hint="eastAsia"/>
        </w:rPr>
        <w:t>：TFBBCCCCCCYYYYMMDD.dat，TF为固定字符，BB指监管银行代码（2位），CCCCCC 指城市代码（6位）YYYYMMDD为对账日期。</w:t>
      </w:r>
    </w:p>
    <w:p>
      <w:pPr>
        <w:spacing w:before="156" w:after="156"/>
        <w:ind w:firstLine="420"/>
        <w:rPr>
          <w:rFonts w:hint="eastAsia"/>
        </w:rPr>
      </w:pPr>
      <w:r>
        <w:rPr>
          <w:rFonts w:hint="eastAsia"/>
        </w:rPr>
        <w:t>交易明细格式（金额以分为单位；内容不用补空格，如果没有可以置空）：</w:t>
      </w:r>
    </w:p>
    <w:p>
      <w:pPr>
        <w:spacing w:before="156" w:after="156"/>
        <w:ind w:firstLine="420"/>
        <w:rPr>
          <w:rFonts w:hint="eastAsia"/>
        </w:rPr>
      </w:pPr>
      <w:r>
        <w:rPr>
          <w:rFonts w:hint="eastAsia"/>
        </w:rPr>
        <w:t>第一行：为汇总信息，如</w:t>
      </w:r>
      <w:r>
        <w:t>20|30000000|0|0|</w:t>
      </w:r>
    </w:p>
    <w:p>
      <w:pPr>
        <w:spacing w:before="156" w:after="156"/>
        <w:ind w:firstLine="420"/>
        <w:rPr>
          <w:rFonts w:hint="eastAsia"/>
        </w:rPr>
      </w:pPr>
      <w:r>
        <w:rPr>
          <w:rFonts w:hint="eastAsia"/>
        </w:rPr>
        <w:tab/>
      </w:r>
      <w:r>
        <w:rPr>
          <w:rFonts w:hint="eastAsia"/>
        </w:rPr>
        <w:t>收入笔数|收入金额|支出笔数|支出金额|</w:t>
      </w:r>
    </w:p>
    <w:p>
      <w:pPr>
        <w:spacing w:before="156" w:after="156"/>
        <w:ind w:firstLine="420"/>
        <w:rPr>
          <w:rFonts w:hint="eastAsia"/>
        </w:rPr>
      </w:pPr>
      <w:r>
        <w:rPr>
          <w:rFonts w:hint="eastAsia"/>
        </w:rPr>
        <w:t>其他各行：为明细信息，格式如下:</w:t>
      </w:r>
    </w:p>
    <w:p>
      <w:pPr>
        <w:spacing w:before="156" w:after="156"/>
        <w:ind w:firstLine="420"/>
        <w:rPr>
          <w:rFonts w:hint="eastAsia"/>
        </w:rPr>
      </w:pPr>
      <w:r>
        <w:rPr>
          <w:rFonts w:hint="eastAsia"/>
        </w:rPr>
        <w:tab/>
      </w:r>
      <w:r>
        <w:rPr>
          <w:rFonts w:hint="eastAsia"/>
        </w:rPr>
        <w:t>交易时间(</w:t>
      </w:r>
      <w:r>
        <w:t>hh:mm:ss</w:t>
      </w:r>
      <w:r>
        <w:rPr>
          <w:rFonts w:hint="eastAsia"/>
        </w:rPr>
        <w:t>)|收支类型(I收O支)|交易类型</w:t>
      </w:r>
      <w:r>
        <w:t>|数据字段</w:t>
      </w:r>
      <w:r>
        <w:rPr>
          <w:rFonts w:hint="eastAsia"/>
        </w:rPr>
        <w:t>1</w:t>
      </w:r>
      <w:r>
        <w:t>|数据字段</w:t>
      </w:r>
      <w:r>
        <w:rPr>
          <w:rFonts w:hint="eastAsia"/>
        </w:rPr>
        <w:t>2</w:t>
      </w:r>
      <w:r>
        <w:t>|</w:t>
      </w:r>
      <w:r>
        <w:rPr>
          <w:rFonts w:hint="eastAsia"/>
        </w:rPr>
        <w:t>交易金额|专户账号|</w:t>
      </w:r>
      <w:bookmarkStart w:id="98" w:name="OLE_LINK5"/>
      <w:bookmarkStart w:id="99" w:name="OLE_LINK6"/>
      <w:r>
        <w:rPr>
          <w:rFonts w:hint="eastAsia"/>
        </w:rPr>
        <w:t>对方账号</w:t>
      </w:r>
      <w:bookmarkEnd w:id="98"/>
      <w:bookmarkEnd w:id="99"/>
      <w:r>
        <w:rPr>
          <w:rFonts w:hint="eastAsia"/>
        </w:rPr>
        <w:t>|对方账户名称|</w:t>
      </w:r>
      <w:r>
        <w:t>银行</w:t>
      </w:r>
      <w:r>
        <w:rPr>
          <w:rFonts w:hint="eastAsia"/>
        </w:rPr>
        <w:t>记账流水|记账网点|记账人员|扩展数据1</w:t>
      </w:r>
      <w:r>
        <w:t>|扩展数据</w:t>
      </w:r>
      <w:r>
        <w:rPr>
          <w:rFonts w:hint="eastAsia"/>
        </w:rPr>
        <w:t>2|扩展数据3|</w:t>
      </w:r>
    </w:p>
    <w:p>
      <w:pPr>
        <w:spacing w:before="156" w:after="156"/>
        <w:ind w:firstLine="422"/>
        <w:rPr>
          <w:rFonts w:hint="eastAsia"/>
          <w:b/>
        </w:rPr>
      </w:pPr>
      <w:r>
        <w:rPr>
          <w:rFonts w:hint="eastAsia"/>
          <w:b/>
        </w:rPr>
        <w:t>特别说明：</w:t>
      </w:r>
    </w:p>
    <w:p>
      <w:pPr>
        <w:spacing w:before="156" w:after="156"/>
        <w:ind w:left="199" w:firstLine="221" w:firstLineChars="0"/>
      </w:pPr>
      <w:r>
        <w:rPr>
          <w:rFonts w:hint="eastAsia"/>
        </w:rPr>
        <w:t>1、不明账包括两种类型:</w:t>
      </w:r>
    </w:p>
    <w:p>
      <w:pPr>
        <w:numPr>
          <w:ilvl w:val="0"/>
          <w:numId w:val="63"/>
        </w:numPr>
        <w:spacing w:before="156" w:after="156"/>
        <w:ind w:firstLineChars="0"/>
      </w:pPr>
      <w:r>
        <w:t>类型</w:t>
      </w:r>
      <w:r>
        <w:rPr>
          <w:rFonts w:hint="eastAsia"/>
        </w:rPr>
        <w:t>1：</w:t>
      </w:r>
      <w:r>
        <w:t>交易明细的来源及产生方式</w:t>
      </w:r>
      <w:r>
        <w:rPr>
          <w:rFonts w:hint="eastAsia"/>
        </w:rPr>
        <w:t>，</w:t>
      </w:r>
      <w:r>
        <w:t>使用目的明确</w:t>
      </w:r>
      <w:r>
        <w:rPr>
          <w:rFonts w:hint="eastAsia"/>
        </w:rPr>
        <w:t>，只是未在日间交易中体现。如按揭入账（银行知道合同号和贷款入账金额），账户管理费，利息等等。</w:t>
      </w:r>
    </w:p>
    <w:p>
      <w:pPr>
        <w:numPr>
          <w:ilvl w:val="0"/>
          <w:numId w:val="63"/>
        </w:numPr>
        <w:spacing w:before="156" w:after="156"/>
        <w:ind w:firstLineChars="0"/>
      </w:pPr>
      <w:r>
        <w:t>类型</w:t>
      </w:r>
      <w:r>
        <w:rPr>
          <w:rFonts w:hint="eastAsia"/>
        </w:rPr>
        <w:t>2：</w:t>
      </w:r>
      <w:r>
        <w:t>交易明细的来源明确但产生方式</w:t>
      </w:r>
      <w:r>
        <w:rPr>
          <w:rFonts w:hint="eastAsia"/>
        </w:rPr>
        <w:t>，</w:t>
      </w:r>
      <w:r>
        <w:t>使用目的不明确</w:t>
      </w:r>
      <w:r>
        <w:rPr>
          <w:rFonts w:hint="eastAsia"/>
        </w:rPr>
        <w:t>，</w:t>
      </w:r>
      <w:r>
        <w:t>如客户通过电子银行直接转账到监管户</w:t>
      </w:r>
      <w:r>
        <w:rPr>
          <w:rFonts w:hint="eastAsia"/>
        </w:rPr>
        <w:t>。</w:t>
      </w:r>
    </w:p>
    <w:p>
      <w:pPr>
        <w:spacing w:before="156" w:after="156"/>
        <w:ind w:firstLine="420"/>
      </w:pPr>
      <w:r>
        <w:t>2</w:t>
      </w:r>
      <w:r>
        <w:rPr>
          <w:rFonts w:hint="eastAsia"/>
        </w:rPr>
        <w:t>、交易类型 与 其他字段的对应关系</w:t>
      </w:r>
    </w:p>
    <w:tbl>
      <w:tblPr>
        <w:tblStyle w:val="27"/>
        <w:tblW w:w="85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2"/>
        <w:gridCol w:w="1519"/>
        <w:gridCol w:w="1246"/>
        <w:gridCol w:w="1928"/>
        <w:gridCol w:w="1646"/>
        <w:gridCol w:w="1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tcBorders>
              <w:bottom w:val="single" w:color="000000" w:sz="4" w:space="0"/>
            </w:tcBorders>
            <w:shd w:val="pct10" w:color="auto" w:fill="auto"/>
            <w:noWrap w:val="0"/>
            <w:vAlign w:val="top"/>
          </w:tcPr>
          <w:p>
            <w:pPr>
              <w:spacing w:before="156" w:after="156"/>
              <w:ind w:firstLine="0" w:firstLineChars="0"/>
            </w:pPr>
            <w:r>
              <w:t>序号</w:t>
            </w:r>
          </w:p>
        </w:tc>
        <w:tc>
          <w:tcPr>
            <w:tcW w:w="1519" w:type="dxa"/>
            <w:tcBorders>
              <w:bottom w:val="single" w:color="000000" w:sz="4" w:space="0"/>
            </w:tcBorders>
            <w:shd w:val="pct10" w:color="auto" w:fill="auto"/>
            <w:noWrap w:val="0"/>
            <w:vAlign w:val="top"/>
          </w:tcPr>
          <w:p>
            <w:pPr>
              <w:spacing w:before="156" w:after="156"/>
              <w:ind w:firstLine="0" w:firstLineChars="0"/>
            </w:pPr>
            <w:r>
              <w:t>交易类型</w:t>
            </w:r>
          </w:p>
        </w:tc>
        <w:tc>
          <w:tcPr>
            <w:tcW w:w="1246" w:type="dxa"/>
            <w:shd w:val="pct10" w:color="auto" w:fill="auto"/>
            <w:noWrap w:val="0"/>
            <w:vAlign w:val="top"/>
          </w:tcPr>
          <w:p>
            <w:pPr>
              <w:spacing w:before="156" w:after="156"/>
              <w:ind w:firstLine="0" w:firstLineChars="0"/>
            </w:pPr>
            <w:r>
              <w:t>收支类型</w:t>
            </w:r>
          </w:p>
        </w:tc>
        <w:tc>
          <w:tcPr>
            <w:tcW w:w="1928" w:type="dxa"/>
            <w:shd w:val="pct10" w:color="auto" w:fill="auto"/>
            <w:noWrap w:val="0"/>
            <w:vAlign w:val="top"/>
          </w:tcPr>
          <w:p>
            <w:pPr>
              <w:spacing w:before="156" w:after="156"/>
              <w:ind w:firstLine="0" w:firstLineChars="0"/>
            </w:pPr>
            <w:r>
              <w:t>数据字段</w:t>
            </w:r>
            <w:r>
              <w:rPr>
                <w:rFonts w:hint="eastAsia"/>
              </w:rPr>
              <w:t>1</w:t>
            </w:r>
          </w:p>
        </w:tc>
        <w:tc>
          <w:tcPr>
            <w:tcW w:w="1646" w:type="dxa"/>
            <w:shd w:val="pct10" w:color="auto" w:fill="auto"/>
            <w:noWrap w:val="0"/>
            <w:vAlign w:val="top"/>
          </w:tcPr>
          <w:p>
            <w:pPr>
              <w:spacing w:before="156" w:after="156"/>
              <w:ind w:firstLine="0" w:firstLineChars="0"/>
            </w:pPr>
            <w:r>
              <w:t>数据字段</w:t>
            </w:r>
            <w:r>
              <w:rPr>
                <w:rFonts w:hint="eastAsia"/>
              </w:rPr>
              <w:t>2</w:t>
            </w:r>
          </w:p>
        </w:tc>
        <w:tc>
          <w:tcPr>
            <w:tcW w:w="1387" w:type="dxa"/>
            <w:shd w:val="pct10" w:color="auto" w:fill="auto"/>
            <w:noWrap w:val="0"/>
            <w:vAlign w:val="top"/>
          </w:tcPr>
          <w:p>
            <w:pPr>
              <w:spacing w:before="156" w:after="156"/>
              <w:ind w:firstLine="0" w:firstLineChars="0"/>
            </w:pPr>
            <w: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shd w:val="clear" w:color="auto" w:fill="DEEAF6"/>
            <w:noWrap w:val="0"/>
            <w:vAlign w:val="top"/>
          </w:tcPr>
          <w:p>
            <w:pPr>
              <w:numPr>
                <w:ilvl w:val="0"/>
                <w:numId w:val="64"/>
              </w:numPr>
              <w:spacing w:before="156" w:after="156"/>
              <w:ind w:firstLineChars="0"/>
            </w:pPr>
          </w:p>
        </w:tc>
        <w:tc>
          <w:tcPr>
            <w:tcW w:w="1519" w:type="dxa"/>
            <w:shd w:val="clear" w:color="auto" w:fill="DEEAF6"/>
            <w:noWrap w:val="0"/>
            <w:vAlign w:val="top"/>
          </w:tcPr>
          <w:p>
            <w:pPr>
              <w:spacing w:before="156" w:after="156"/>
              <w:ind w:firstLine="0" w:firstLineChars="0"/>
            </w:pPr>
            <w:r>
              <w:t>按揭贷款</w:t>
            </w:r>
            <w:r>
              <w:rPr>
                <w:rFonts w:hint="eastAsia"/>
              </w:rPr>
              <w:t>(</w:t>
            </w:r>
            <w:r>
              <w:t>0</w:t>
            </w:r>
            <w:r>
              <w:rPr>
                <w:rFonts w:hint="eastAsia"/>
              </w:rPr>
              <w:t>3)</w:t>
            </w:r>
          </w:p>
        </w:tc>
        <w:tc>
          <w:tcPr>
            <w:tcW w:w="1246" w:type="dxa"/>
            <w:noWrap w:val="0"/>
            <w:vAlign w:val="top"/>
          </w:tcPr>
          <w:p>
            <w:pPr>
              <w:spacing w:before="156" w:after="156"/>
              <w:ind w:firstLine="0" w:firstLineChars="0"/>
            </w:pPr>
            <w:r>
              <w:t>I</w:t>
            </w:r>
          </w:p>
        </w:tc>
        <w:tc>
          <w:tcPr>
            <w:tcW w:w="1928" w:type="dxa"/>
            <w:noWrap w:val="0"/>
            <w:vAlign w:val="top"/>
          </w:tcPr>
          <w:p>
            <w:pPr>
              <w:spacing w:before="156" w:after="156"/>
              <w:ind w:firstLine="0" w:firstLineChars="0"/>
            </w:pPr>
            <w:r>
              <w:t>合同号</w:t>
            </w:r>
          </w:p>
        </w:tc>
        <w:tc>
          <w:tcPr>
            <w:tcW w:w="1646" w:type="dxa"/>
            <w:noWrap w:val="0"/>
            <w:vAlign w:val="top"/>
          </w:tcPr>
          <w:p>
            <w:pPr>
              <w:spacing w:before="156" w:after="156"/>
              <w:ind w:firstLine="0" w:firstLineChars="0"/>
            </w:pPr>
            <w:r>
              <w:t>无</w:t>
            </w:r>
          </w:p>
        </w:tc>
        <w:tc>
          <w:tcPr>
            <w:tcW w:w="1387" w:type="dxa"/>
            <w:noWrap w:val="0"/>
            <w:vAlign w:val="top"/>
          </w:tcPr>
          <w:p>
            <w:pPr>
              <w:spacing w:before="156" w:after="156"/>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shd w:val="clear" w:color="auto" w:fill="DEEAF6"/>
            <w:noWrap w:val="0"/>
            <w:vAlign w:val="top"/>
          </w:tcPr>
          <w:p>
            <w:pPr>
              <w:numPr>
                <w:ilvl w:val="0"/>
                <w:numId w:val="64"/>
              </w:numPr>
              <w:spacing w:before="156" w:after="156"/>
              <w:ind w:firstLineChars="0"/>
            </w:pPr>
          </w:p>
        </w:tc>
        <w:tc>
          <w:tcPr>
            <w:tcW w:w="1519" w:type="dxa"/>
            <w:shd w:val="clear" w:color="auto" w:fill="DEEAF6"/>
            <w:noWrap w:val="0"/>
            <w:vAlign w:val="top"/>
          </w:tcPr>
          <w:p>
            <w:pPr>
              <w:spacing w:before="156" w:after="156"/>
              <w:ind w:firstLine="0" w:firstLineChars="0"/>
            </w:pPr>
            <w:r>
              <w:t>利息</w:t>
            </w:r>
            <w:r>
              <w:rPr>
                <w:rFonts w:hint="eastAsia"/>
              </w:rPr>
              <w:t>(</w:t>
            </w:r>
            <w:r>
              <w:t>0</w:t>
            </w:r>
            <w:r>
              <w:rPr>
                <w:rFonts w:hint="eastAsia"/>
              </w:rPr>
              <w:t>1)</w:t>
            </w:r>
          </w:p>
        </w:tc>
        <w:tc>
          <w:tcPr>
            <w:tcW w:w="1246" w:type="dxa"/>
            <w:noWrap w:val="0"/>
            <w:vAlign w:val="top"/>
          </w:tcPr>
          <w:p>
            <w:pPr>
              <w:spacing w:before="156" w:after="156"/>
              <w:ind w:firstLine="0" w:firstLineChars="0"/>
            </w:pPr>
            <w:r>
              <w:t>I</w:t>
            </w:r>
          </w:p>
        </w:tc>
        <w:tc>
          <w:tcPr>
            <w:tcW w:w="1928" w:type="dxa"/>
            <w:noWrap w:val="0"/>
            <w:vAlign w:val="top"/>
          </w:tcPr>
          <w:p>
            <w:pPr>
              <w:spacing w:before="156" w:after="156"/>
              <w:ind w:firstLine="0" w:firstLineChars="0"/>
            </w:pPr>
            <w:r>
              <w:t>结息日期</w:t>
            </w:r>
            <w:r>
              <w:rPr>
                <w:rFonts w:hint="eastAsia"/>
              </w:rPr>
              <w:t>(</w:t>
            </w:r>
            <w:r>
              <w:t>YYYY-MM-DD</w:t>
            </w:r>
            <w:r>
              <w:rPr>
                <w:rFonts w:hint="eastAsia"/>
              </w:rPr>
              <w:t>)</w:t>
            </w:r>
          </w:p>
        </w:tc>
        <w:tc>
          <w:tcPr>
            <w:tcW w:w="1646" w:type="dxa"/>
            <w:noWrap w:val="0"/>
            <w:vAlign w:val="top"/>
          </w:tcPr>
          <w:p>
            <w:pPr>
              <w:spacing w:before="156" w:after="156"/>
              <w:ind w:firstLine="0" w:firstLineChars="0"/>
            </w:pPr>
            <w:r>
              <w:t>无</w:t>
            </w:r>
          </w:p>
        </w:tc>
        <w:tc>
          <w:tcPr>
            <w:tcW w:w="1387" w:type="dxa"/>
            <w:noWrap w:val="0"/>
            <w:vAlign w:val="top"/>
          </w:tcPr>
          <w:p>
            <w:pPr>
              <w:spacing w:before="156" w:after="156"/>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shd w:val="clear" w:color="auto" w:fill="DEEAF6"/>
            <w:noWrap w:val="0"/>
            <w:vAlign w:val="top"/>
          </w:tcPr>
          <w:p>
            <w:pPr>
              <w:numPr>
                <w:ilvl w:val="0"/>
                <w:numId w:val="64"/>
              </w:numPr>
              <w:spacing w:before="156" w:after="156"/>
              <w:ind w:firstLineChars="0"/>
            </w:pPr>
          </w:p>
        </w:tc>
        <w:tc>
          <w:tcPr>
            <w:tcW w:w="1519" w:type="dxa"/>
            <w:shd w:val="clear" w:color="auto" w:fill="DEEAF6"/>
            <w:noWrap w:val="0"/>
            <w:vAlign w:val="top"/>
          </w:tcPr>
          <w:p>
            <w:pPr>
              <w:spacing w:before="156" w:after="156"/>
              <w:ind w:firstLine="0" w:firstLineChars="0"/>
            </w:pPr>
            <w:r>
              <w:t>账户管理费</w:t>
            </w:r>
            <w:r>
              <w:rPr>
                <w:rFonts w:hint="eastAsia"/>
              </w:rPr>
              <w:t>(</w:t>
            </w:r>
            <w:r>
              <w:t>0</w:t>
            </w:r>
            <w:r>
              <w:rPr>
                <w:rFonts w:hint="eastAsia"/>
              </w:rPr>
              <w:t>2)</w:t>
            </w:r>
          </w:p>
        </w:tc>
        <w:tc>
          <w:tcPr>
            <w:tcW w:w="1246" w:type="dxa"/>
            <w:noWrap w:val="0"/>
            <w:vAlign w:val="top"/>
          </w:tcPr>
          <w:p>
            <w:pPr>
              <w:spacing w:before="156" w:after="156"/>
              <w:ind w:firstLine="0" w:firstLineChars="0"/>
            </w:pPr>
            <w:r>
              <w:t>O</w:t>
            </w:r>
          </w:p>
        </w:tc>
        <w:tc>
          <w:tcPr>
            <w:tcW w:w="1928" w:type="dxa"/>
            <w:noWrap w:val="0"/>
            <w:vAlign w:val="top"/>
          </w:tcPr>
          <w:p>
            <w:pPr>
              <w:spacing w:before="156" w:after="156"/>
              <w:ind w:firstLine="0" w:firstLineChars="0"/>
            </w:pPr>
            <w:r>
              <w:t>出账日期</w:t>
            </w:r>
            <w:r>
              <w:rPr>
                <w:rFonts w:hint="eastAsia"/>
              </w:rPr>
              <w:t>（YYYY-MM-DD）</w:t>
            </w:r>
          </w:p>
        </w:tc>
        <w:tc>
          <w:tcPr>
            <w:tcW w:w="1646" w:type="dxa"/>
            <w:noWrap w:val="0"/>
            <w:vAlign w:val="top"/>
          </w:tcPr>
          <w:p>
            <w:pPr>
              <w:spacing w:before="156" w:after="156"/>
              <w:ind w:firstLine="0" w:firstLineChars="0"/>
            </w:pPr>
            <w:r>
              <w:t>无</w:t>
            </w:r>
          </w:p>
        </w:tc>
        <w:tc>
          <w:tcPr>
            <w:tcW w:w="1387" w:type="dxa"/>
            <w:noWrap w:val="0"/>
            <w:vAlign w:val="top"/>
          </w:tcPr>
          <w:p>
            <w:pPr>
              <w:spacing w:before="156" w:after="156"/>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shd w:val="clear" w:color="auto" w:fill="DEEAF6"/>
            <w:noWrap w:val="0"/>
            <w:vAlign w:val="top"/>
          </w:tcPr>
          <w:p>
            <w:pPr>
              <w:numPr>
                <w:ilvl w:val="0"/>
                <w:numId w:val="64"/>
              </w:numPr>
              <w:spacing w:before="156" w:after="156"/>
              <w:ind w:firstLineChars="0"/>
            </w:pPr>
          </w:p>
        </w:tc>
        <w:tc>
          <w:tcPr>
            <w:tcW w:w="1519" w:type="dxa"/>
            <w:shd w:val="clear" w:color="auto" w:fill="DEEAF6"/>
            <w:noWrap w:val="0"/>
            <w:vAlign w:val="top"/>
          </w:tcPr>
          <w:p>
            <w:pPr>
              <w:spacing w:before="156" w:after="156"/>
              <w:ind w:firstLine="0" w:firstLineChars="0"/>
              <w:rPr>
                <w:color w:val="FF0000"/>
              </w:rPr>
            </w:pPr>
            <w:r>
              <w:rPr>
                <w:rFonts w:hint="eastAsia"/>
                <w:color w:val="FF0000"/>
              </w:rPr>
              <w:t>POS业务(</w:t>
            </w:r>
            <w:r>
              <w:rPr>
                <w:color w:val="FF0000"/>
              </w:rPr>
              <w:t>0</w:t>
            </w:r>
            <w:r>
              <w:rPr>
                <w:rFonts w:hint="eastAsia"/>
                <w:color w:val="FF0000"/>
              </w:rPr>
              <w:t>4)</w:t>
            </w:r>
          </w:p>
        </w:tc>
        <w:tc>
          <w:tcPr>
            <w:tcW w:w="1246" w:type="dxa"/>
            <w:noWrap w:val="0"/>
            <w:vAlign w:val="top"/>
          </w:tcPr>
          <w:p>
            <w:pPr>
              <w:spacing w:before="156" w:after="156"/>
              <w:ind w:firstLine="0" w:firstLineChars="0"/>
            </w:pPr>
            <w:r>
              <w:t>I</w:t>
            </w:r>
          </w:p>
        </w:tc>
        <w:tc>
          <w:tcPr>
            <w:tcW w:w="1928" w:type="dxa"/>
            <w:noWrap w:val="0"/>
            <w:vAlign w:val="top"/>
          </w:tcPr>
          <w:p>
            <w:pPr>
              <w:spacing w:before="156" w:after="156"/>
              <w:ind w:firstLine="0" w:firstLineChars="0"/>
            </w:pPr>
            <w:r>
              <w:t>无</w:t>
            </w:r>
          </w:p>
        </w:tc>
        <w:tc>
          <w:tcPr>
            <w:tcW w:w="1646" w:type="dxa"/>
            <w:noWrap w:val="0"/>
            <w:vAlign w:val="top"/>
          </w:tcPr>
          <w:p>
            <w:pPr>
              <w:spacing w:before="156" w:after="156"/>
              <w:ind w:firstLine="0" w:firstLineChars="0"/>
            </w:pPr>
            <w:r>
              <w:t>无</w:t>
            </w:r>
          </w:p>
        </w:tc>
        <w:tc>
          <w:tcPr>
            <w:tcW w:w="1387" w:type="dxa"/>
            <w:noWrap w:val="0"/>
            <w:vAlign w:val="top"/>
          </w:tcPr>
          <w:p>
            <w:pPr>
              <w:spacing w:before="156" w:after="156"/>
              <w:ind w:firstLine="0" w:firstLineChars="0"/>
            </w:pPr>
            <w:r>
              <w:rPr>
                <w:rFonts w:hint="eastAsia"/>
              </w:rPr>
              <w:t>每个账户按天汇总一笔，可按照入账账号区分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2" w:type="dxa"/>
            <w:shd w:val="clear" w:color="auto" w:fill="DEEAF6"/>
            <w:noWrap w:val="0"/>
            <w:vAlign w:val="top"/>
          </w:tcPr>
          <w:p>
            <w:pPr>
              <w:numPr>
                <w:ilvl w:val="0"/>
                <w:numId w:val="64"/>
              </w:numPr>
              <w:spacing w:before="156" w:after="156"/>
              <w:ind w:firstLineChars="0"/>
            </w:pPr>
          </w:p>
        </w:tc>
        <w:tc>
          <w:tcPr>
            <w:tcW w:w="1519" w:type="dxa"/>
            <w:shd w:val="clear" w:color="auto" w:fill="DEEAF6"/>
            <w:noWrap w:val="0"/>
            <w:vAlign w:val="top"/>
          </w:tcPr>
          <w:p>
            <w:pPr>
              <w:spacing w:before="156" w:after="156"/>
              <w:ind w:firstLine="0" w:firstLineChars="0"/>
            </w:pPr>
            <w:r>
              <w:t>未知类型</w:t>
            </w:r>
            <w:r>
              <w:rPr>
                <w:rFonts w:hint="eastAsia"/>
              </w:rPr>
              <w:t>(</w:t>
            </w:r>
            <w:r>
              <w:t>99</w:t>
            </w:r>
            <w:r>
              <w:rPr>
                <w:rFonts w:hint="eastAsia"/>
              </w:rPr>
              <w:t>)</w:t>
            </w:r>
          </w:p>
        </w:tc>
        <w:tc>
          <w:tcPr>
            <w:tcW w:w="1246" w:type="dxa"/>
            <w:noWrap w:val="0"/>
            <w:vAlign w:val="top"/>
          </w:tcPr>
          <w:p>
            <w:pPr>
              <w:spacing w:before="156" w:after="156"/>
              <w:ind w:firstLine="0" w:firstLineChars="0"/>
              <w:rPr>
                <w:rFonts w:hint="eastAsia"/>
              </w:rPr>
            </w:pPr>
            <w:r>
              <w:t>以实际情况确定</w:t>
            </w:r>
          </w:p>
        </w:tc>
        <w:tc>
          <w:tcPr>
            <w:tcW w:w="1928" w:type="dxa"/>
            <w:noWrap w:val="0"/>
            <w:vAlign w:val="top"/>
          </w:tcPr>
          <w:p>
            <w:pPr>
              <w:spacing w:before="156" w:after="156"/>
              <w:ind w:firstLine="0" w:firstLineChars="0"/>
            </w:pPr>
            <w:r>
              <w:t>无</w:t>
            </w:r>
          </w:p>
        </w:tc>
        <w:tc>
          <w:tcPr>
            <w:tcW w:w="1646" w:type="dxa"/>
            <w:noWrap w:val="0"/>
            <w:vAlign w:val="top"/>
          </w:tcPr>
          <w:p>
            <w:pPr>
              <w:spacing w:before="156" w:after="156"/>
              <w:ind w:firstLine="0" w:firstLineChars="0"/>
            </w:pPr>
            <w:r>
              <w:t>无</w:t>
            </w:r>
          </w:p>
        </w:tc>
        <w:tc>
          <w:tcPr>
            <w:tcW w:w="1387" w:type="dxa"/>
            <w:noWrap w:val="0"/>
            <w:vAlign w:val="top"/>
          </w:tcPr>
          <w:p>
            <w:pPr>
              <w:spacing w:before="156" w:after="156"/>
              <w:ind w:firstLine="0" w:firstLineChars="0"/>
            </w:pPr>
          </w:p>
        </w:tc>
      </w:tr>
    </w:tbl>
    <w:p>
      <w:pPr>
        <w:spacing w:before="156" w:after="156"/>
        <w:ind w:firstLine="420"/>
      </w:pPr>
    </w:p>
    <w:p>
      <w:pPr>
        <w:spacing w:before="156" w:after="156"/>
        <w:ind w:firstLine="420"/>
      </w:pPr>
      <w:r>
        <w:rPr>
          <w:rFonts w:hint="eastAsia"/>
        </w:rPr>
        <w:t>3、文件中的 银行记账流水 应和日间交易的流水号不出现重复，保持全系统唯一，若银行系统日间和日终分属不同的系统，可以通过不同的编码规则以保证唯一。银行记账流水号必须保证唯一，预售资金系统会核验唯一性，若出现重复，按错误文件进行处理。</w:t>
      </w:r>
    </w:p>
    <w:p>
      <w:pPr>
        <w:spacing w:before="156" w:after="156"/>
        <w:ind w:firstLine="420"/>
      </w:pPr>
      <w:r>
        <w:rPr>
          <w:rFonts w:hint="eastAsia"/>
        </w:rPr>
        <w:t>4、文件中 扩展数据1、扩展数据2、扩展数据3 字段，由银行进行填写关键性数据项，方便主管单位工作人员对未知类型的记录进行业务分析。</w:t>
      </w:r>
    </w:p>
    <w:p>
      <w:pPr>
        <w:spacing w:before="156" w:after="156"/>
        <w:ind w:firstLine="420"/>
        <w:rPr>
          <w:rFonts w:hint="eastAsia"/>
        </w:rPr>
      </w:pPr>
      <w:r>
        <w:rPr>
          <w:rFonts w:hint="eastAsia"/>
        </w:rPr>
        <w:t>5、针对按揭贷款、利息、账户管理费，对方账号及对方账户名称可以为空。</w:t>
      </w:r>
    </w:p>
    <w:p>
      <w:pPr>
        <w:spacing w:before="156" w:after="156"/>
        <w:ind w:firstLine="420"/>
        <w:rPr>
          <w:rFonts w:hint="eastAsia"/>
        </w:rPr>
      </w:pPr>
    </w:p>
    <w:p>
      <w:pPr>
        <w:spacing w:before="156" w:after="156"/>
        <w:ind w:firstLine="420"/>
      </w:pPr>
    </w:p>
    <w:p>
      <w:pPr>
        <w:pStyle w:val="4"/>
      </w:pPr>
      <w:bookmarkStart w:id="100" w:name="_Toc508624120"/>
      <w:r>
        <w:rPr>
          <w:rFonts w:hint="eastAsia"/>
        </w:rPr>
        <w:t>监管专户余额文件</w:t>
      </w:r>
      <w:bookmarkEnd w:id="100"/>
    </w:p>
    <w:p>
      <w:pPr>
        <w:spacing w:before="156" w:after="156"/>
        <w:ind w:firstLine="422"/>
      </w:pPr>
      <w:r>
        <w:rPr>
          <w:rFonts w:hint="eastAsia"/>
          <w:b/>
        </w:rPr>
        <w:t>对账文件名</w:t>
      </w:r>
      <w:r>
        <w:rPr>
          <w:rFonts w:hint="eastAsia"/>
        </w:rPr>
        <w:t>：BFBBCCCCCCYYYYMMDD.dat，BF为固定字符，BB指监管银行代码（2位），CCCCCC 指城市代码(6位)，YYYYMMDD为余额日期。</w:t>
      </w:r>
    </w:p>
    <w:p>
      <w:pPr>
        <w:spacing w:before="156" w:after="156"/>
        <w:ind w:firstLine="422"/>
      </w:pPr>
      <w:r>
        <w:rPr>
          <w:rFonts w:hint="eastAsia"/>
          <w:b/>
        </w:rPr>
        <w:t>对账文件格式</w:t>
      </w:r>
      <w:r>
        <w:rPr>
          <w:rFonts w:hint="eastAsia"/>
        </w:rPr>
        <w:t>：（右补空格左对齐）</w:t>
      </w:r>
    </w:p>
    <w:p>
      <w:pPr>
        <w:spacing w:before="156" w:after="156"/>
        <w:ind w:firstLine="420"/>
        <w:rPr>
          <w:rFonts w:hint="eastAsia"/>
        </w:rPr>
      </w:pPr>
      <w:r>
        <w:rPr>
          <w:rFonts w:hint="eastAsia"/>
        </w:rPr>
        <w:t>监管账号(30位)| 账户余额(20位)|日期(10位，YYYY-MM-DD)|</w:t>
      </w:r>
    </w:p>
    <w:p>
      <w:pPr>
        <w:spacing w:before="156" w:after="156"/>
        <w:ind w:firstLine="422"/>
        <w:rPr>
          <w:b/>
        </w:rPr>
      </w:pPr>
      <w:r>
        <w:rPr>
          <w:rFonts w:hint="eastAsia"/>
          <w:b/>
        </w:rPr>
        <w:t>特别说明：</w:t>
      </w:r>
    </w:p>
    <w:p>
      <w:pPr>
        <w:numPr>
          <w:ilvl w:val="0"/>
          <w:numId w:val="65"/>
        </w:numPr>
        <w:spacing w:before="156" w:after="156"/>
        <w:ind w:firstLineChars="0"/>
        <w:rPr>
          <w:rFonts w:hint="eastAsia"/>
        </w:rPr>
      </w:pPr>
      <w:r>
        <w:rPr>
          <w:rFonts w:hint="eastAsia"/>
        </w:rPr>
        <w:t>银行若未开设监管户，要求监管银行同样传送空的余额文件。</w:t>
      </w:r>
    </w:p>
    <w:p>
      <w:pPr>
        <w:numPr>
          <w:ilvl w:val="0"/>
          <w:numId w:val="65"/>
        </w:numPr>
        <w:spacing w:before="156" w:after="156"/>
        <w:ind w:firstLineChars="0"/>
        <w:rPr>
          <w:rFonts w:hint="eastAsia"/>
        </w:rPr>
      </w:pPr>
      <w:r>
        <w:rPr>
          <w:rFonts w:hint="eastAsia"/>
        </w:rPr>
        <w:t xml:space="preserve">余额文件必须每天和日终对账文件同时按照要求上传到ftp服务器的指导目录下， </w:t>
      </w:r>
    </w:p>
    <w:p>
      <w:pPr>
        <w:spacing w:before="156" w:after="156"/>
        <w:ind w:firstLine="420"/>
      </w:pPr>
    </w:p>
    <w:p>
      <w:pPr>
        <w:pStyle w:val="3"/>
      </w:pPr>
      <w:bookmarkStart w:id="101" w:name="_Toc508624121"/>
      <w:r>
        <w:rPr>
          <w:rFonts w:hint="eastAsia"/>
        </w:rPr>
        <w:t>POS日终明细</w:t>
      </w:r>
      <w:bookmarkEnd w:id="101"/>
    </w:p>
    <w:p>
      <w:pPr>
        <w:spacing w:before="156" w:after="156"/>
        <w:ind w:firstLine="420"/>
        <w:rPr>
          <w:rFonts w:hint="eastAsia"/>
        </w:rPr>
      </w:pPr>
      <w:r>
        <w:rPr>
          <w:rFonts w:hint="eastAsia"/>
        </w:rPr>
        <w:t>针对支持银联专用POS收取购房款的城市，每日预售资金监管系统会将银联发送的POS交易明细文件按银行分拆成各个文件。并将文件放置在预售资金监管系统的FTP服务器上，各商业银行可自行下载，具体的时间需另行约定。</w:t>
      </w:r>
    </w:p>
    <w:p>
      <w:pPr>
        <w:spacing w:before="156" w:after="156"/>
        <w:ind w:firstLine="420"/>
      </w:pPr>
      <w:r>
        <w:rPr>
          <w:rFonts w:hint="eastAsia"/>
        </w:rPr>
        <w:t>针对POS日终明细的分拆，预售资金监管系统只是对银联发送的POS交易明细文件按银行进行简单的分割，并不对文件内容进行核验。</w:t>
      </w:r>
    </w:p>
    <w:p>
      <w:pPr>
        <w:spacing w:before="156" w:after="156"/>
        <w:ind w:firstLine="420"/>
        <w:rPr>
          <w:rFonts w:hint="eastAsia"/>
        </w:rPr>
      </w:pPr>
      <w:r>
        <w:rPr>
          <w:rFonts w:hint="eastAsia"/>
        </w:rPr>
        <w:t>POS日终明细文件中只包括交存交易。</w:t>
      </w:r>
    </w:p>
    <w:p>
      <w:pPr>
        <w:spacing w:before="156" w:after="156"/>
        <w:ind w:firstLine="422"/>
      </w:pPr>
      <w:r>
        <w:rPr>
          <w:rFonts w:hint="eastAsia"/>
          <w:b/>
        </w:rPr>
        <w:t>POS日终明细文件名</w:t>
      </w:r>
      <w:r>
        <w:rPr>
          <w:rFonts w:hint="eastAsia"/>
        </w:rPr>
        <w:t>：YL</w:t>
      </w:r>
      <w:r>
        <w:t>BB</w:t>
      </w:r>
      <w:r>
        <w:rPr>
          <w:rFonts w:hint="eastAsia"/>
        </w:rPr>
        <w:t>CCCCCCYYYYMMDD.dat，YL为固定字符，BB指监管银行代码（2位）， CCCCCC 指城市代码（6位）YYYYMMDD为对账日期。</w:t>
      </w:r>
    </w:p>
    <w:p>
      <w:pPr>
        <w:spacing w:before="156" w:after="156"/>
        <w:ind w:firstLine="422"/>
      </w:pPr>
      <w:r>
        <w:rPr>
          <w:rFonts w:hint="eastAsia"/>
          <w:b/>
        </w:rPr>
        <w:t>对账文件格式</w:t>
      </w:r>
      <w:r>
        <w:rPr>
          <w:rFonts w:hint="eastAsia"/>
        </w:rPr>
        <w:t>：（右补空格左对齐）</w:t>
      </w:r>
    </w:p>
    <w:p>
      <w:pPr>
        <w:spacing w:before="156" w:after="156"/>
        <w:ind w:firstLine="422"/>
      </w:pPr>
      <w:r>
        <w:rPr>
          <w:rFonts w:hint="eastAsia"/>
          <w:b/>
        </w:rPr>
        <w:t>第一行</w:t>
      </w:r>
      <w:r>
        <w:rPr>
          <w:rFonts w:hint="eastAsia"/>
        </w:rPr>
        <w:t>：为汇总信息</w:t>
      </w:r>
    </w:p>
    <w:p>
      <w:pPr>
        <w:spacing w:before="156" w:after="156"/>
        <w:ind w:firstLine="420"/>
      </w:pPr>
      <w:r>
        <w:rPr>
          <w:rFonts w:hint="eastAsia"/>
        </w:rPr>
        <w:tab/>
      </w:r>
      <w:r>
        <w:rPr>
          <w:rFonts w:hint="eastAsia"/>
        </w:rPr>
        <w:t>交易总笔数(6位)|交易总金额(20位)|手续费总金额(</w:t>
      </w:r>
      <w:r>
        <w:t>20位</w:t>
      </w:r>
      <w:r>
        <w:rPr>
          <w:rFonts w:hint="eastAsia"/>
        </w:rPr>
        <w:t>)</w:t>
      </w:r>
      <w:r>
        <w:t>|</w:t>
      </w:r>
    </w:p>
    <w:p>
      <w:pPr>
        <w:spacing w:before="156" w:after="156"/>
        <w:ind w:firstLine="422"/>
      </w:pPr>
      <w:r>
        <w:rPr>
          <w:rFonts w:hint="eastAsia"/>
          <w:b/>
        </w:rPr>
        <w:t>其他各行</w:t>
      </w:r>
      <w:r>
        <w:rPr>
          <w:rFonts w:hint="eastAsia"/>
        </w:rPr>
        <w:t>：为明细信息</w:t>
      </w:r>
    </w:p>
    <w:p>
      <w:pPr>
        <w:spacing w:before="156" w:after="156"/>
        <w:ind w:firstLine="420"/>
      </w:pPr>
      <w:r>
        <w:rPr>
          <w:rFonts w:hint="eastAsia"/>
        </w:rPr>
        <w:tab/>
      </w:r>
      <w:r>
        <w:rPr>
          <w:rFonts w:hint="eastAsia"/>
        </w:rPr>
        <w:t>交易代码(4位)|业务编号(14位，交存申请编号)|借贷标志|交易金额(20位)|手续费(</w:t>
      </w:r>
      <w:r>
        <w:t>20位</w:t>
      </w:r>
      <w:r>
        <w:rPr>
          <w:rFonts w:hint="eastAsia"/>
        </w:rPr>
        <w:t>)</w:t>
      </w:r>
      <w:r>
        <w:t>|</w:t>
      </w:r>
      <w:r>
        <w:rPr>
          <w:rFonts w:hint="eastAsia"/>
        </w:rPr>
        <w:t>监管银行代码(2位)|监管账号(30位)|预售资金监管平台流水(16位)|银联记账流水(30位)|</w:t>
      </w:r>
      <w:r>
        <w:t>POS</w:t>
      </w:r>
      <w:r>
        <w:rPr>
          <w:rFonts w:hint="eastAsia" w:ascii="宋体" w:hAnsi="宋体"/>
        </w:rPr>
        <w:t>检索参考号(</w:t>
      </w:r>
      <w:r>
        <w:rPr>
          <w:rFonts w:ascii="宋体" w:hAnsi="宋体"/>
        </w:rPr>
        <w:t>30位</w:t>
      </w:r>
      <w:r>
        <w:rPr>
          <w:rFonts w:hint="eastAsia" w:ascii="宋体" w:hAnsi="宋体"/>
        </w:rPr>
        <w:t>)</w:t>
      </w:r>
      <w:r>
        <w:rPr>
          <w:rFonts w:hint="eastAsia"/>
        </w:rPr>
        <w:t>|POS商户号(30位)|P</w:t>
      </w:r>
      <w:r>
        <w:t>OS终端号</w:t>
      </w:r>
      <w:r>
        <w:rPr>
          <w:rFonts w:hint="eastAsia"/>
        </w:rPr>
        <w:t>(30位)|记账日期(10位，YYYY-MM-DD)|</w:t>
      </w:r>
    </w:p>
    <w:p>
      <w:pPr>
        <w:spacing w:before="156" w:after="156"/>
        <w:ind w:firstLine="422"/>
        <w:rPr>
          <w:b/>
        </w:rPr>
      </w:pPr>
      <w:r>
        <w:rPr>
          <w:rFonts w:hint="eastAsia"/>
          <w:b/>
        </w:rPr>
        <w:t>特别说明：</w:t>
      </w:r>
    </w:p>
    <w:p>
      <w:pPr>
        <w:spacing w:before="156" w:after="156"/>
        <w:ind w:left="199" w:firstLine="221" w:firstLineChars="0"/>
      </w:pPr>
      <w:r>
        <w:rPr>
          <w:rFonts w:hint="eastAsia"/>
        </w:rPr>
        <w:t>1、若当日无交易，同样传送明细文件。明细文件格式如下：</w:t>
      </w:r>
    </w:p>
    <w:p>
      <w:pPr>
        <w:spacing w:before="156" w:after="156"/>
        <w:ind w:firstLine="199" w:firstLineChars="95"/>
      </w:pPr>
      <w:r>
        <w:rPr>
          <w:rFonts w:hint="eastAsia"/>
        </w:rPr>
        <w:t>0|0|</w:t>
      </w:r>
      <w:r>
        <w:t>0|</w:t>
      </w:r>
    </w:p>
    <w:p>
      <w:pPr>
        <w:spacing w:before="156" w:after="156"/>
        <w:ind w:firstLine="420"/>
        <w:rPr>
          <w:rFonts w:hint="eastAsia"/>
        </w:rPr>
      </w:pPr>
      <w:r>
        <w:rPr>
          <w:rFonts w:hint="eastAsia"/>
        </w:rPr>
        <w:t>2、借贷标志：</w:t>
      </w:r>
    </w:p>
    <w:p>
      <w:pPr>
        <w:spacing w:before="156" w:after="156"/>
        <w:ind w:firstLine="420"/>
        <w:rPr>
          <w:rFonts w:hint="eastAsia"/>
        </w:rPr>
      </w:pPr>
      <w:r>
        <w:rPr>
          <w:rFonts w:hint="eastAsia"/>
        </w:rPr>
        <w:t xml:space="preserve">    交存交易：送1_借</w:t>
      </w:r>
    </w:p>
    <w:p>
      <w:pPr>
        <w:pStyle w:val="3"/>
      </w:pPr>
      <w:bookmarkStart w:id="102" w:name="_Toc508624122"/>
      <w:r>
        <w:rPr>
          <w:rFonts w:hint="eastAsia"/>
        </w:rPr>
        <w:t>系统监管专户余额文件</w:t>
      </w:r>
      <w:bookmarkEnd w:id="102"/>
    </w:p>
    <w:p>
      <w:pPr>
        <w:spacing w:before="156" w:after="156"/>
        <w:ind w:firstLine="420"/>
        <w:rPr>
          <w:rFonts w:hint="eastAsia"/>
        </w:rPr>
      </w:pPr>
      <w:r>
        <w:rPr>
          <w:rFonts w:hint="eastAsia"/>
        </w:rPr>
        <w:t>每日预售资金监管系统会将系统中各监管专户的账户余额情况，按各家银行形成多个文件。并将文件放置在预售资金监管系统的FTP服务器上，各商业银行可自行下载，具体的时间需另行约定。</w:t>
      </w:r>
    </w:p>
    <w:p>
      <w:pPr>
        <w:spacing w:before="156" w:after="156"/>
        <w:ind w:firstLine="422"/>
      </w:pPr>
      <w:r>
        <w:rPr>
          <w:rFonts w:hint="eastAsia"/>
          <w:b/>
        </w:rPr>
        <w:t>日终系统监管专户余额文件名</w:t>
      </w:r>
      <w:r>
        <w:rPr>
          <w:rFonts w:hint="eastAsia"/>
        </w:rPr>
        <w:t>：YF</w:t>
      </w:r>
      <w:r>
        <w:t>BB</w:t>
      </w:r>
      <w:r>
        <w:rPr>
          <w:rFonts w:hint="eastAsia"/>
        </w:rPr>
        <w:t>CCCCCCYYYYMMDD.dat，YF为固定字符，BB指监管银行代码（2位）， CCCCCC 指城市代码（6位）YYYYMMDD为余额日期。</w:t>
      </w:r>
    </w:p>
    <w:p>
      <w:pPr>
        <w:spacing w:before="156" w:after="156"/>
        <w:ind w:firstLine="422"/>
      </w:pPr>
      <w:r>
        <w:rPr>
          <w:rFonts w:hint="eastAsia"/>
          <w:b/>
        </w:rPr>
        <w:t>对账文件格式</w:t>
      </w:r>
      <w:r>
        <w:rPr>
          <w:rFonts w:hint="eastAsia"/>
        </w:rPr>
        <w:t>：（右补空格左对齐）</w:t>
      </w:r>
    </w:p>
    <w:p>
      <w:pPr>
        <w:spacing w:before="156" w:after="156"/>
        <w:ind w:firstLine="420"/>
        <w:rPr>
          <w:rFonts w:hint="eastAsia"/>
        </w:rPr>
      </w:pPr>
      <w:r>
        <w:rPr>
          <w:rFonts w:hint="eastAsia"/>
        </w:rPr>
        <w:t>监管账号(30位)| 账户余额(20位)|日期(10位，YYYY-MM-DD)|</w:t>
      </w:r>
    </w:p>
    <w:p>
      <w:pPr>
        <w:pStyle w:val="2"/>
        <w:rPr>
          <w:rFonts w:hint="eastAsia"/>
        </w:rPr>
      </w:pPr>
      <w:bookmarkStart w:id="103" w:name="_Toc508624123"/>
      <w:r>
        <w:rPr>
          <w:rFonts w:hint="eastAsia"/>
        </w:rPr>
        <w:t>银联接口定义</w:t>
      </w:r>
      <w:bookmarkEnd w:id="103"/>
    </w:p>
    <w:p>
      <w:pPr>
        <w:pStyle w:val="3"/>
        <w:rPr>
          <w:rFonts w:hint="eastAsia"/>
        </w:rPr>
      </w:pPr>
      <w:bookmarkStart w:id="104" w:name="_Toc508624124"/>
      <w:r>
        <w:rPr>
          <w:rFonts w:hint="eastAsia"/>
        </w:rPr>
        <w:t>交易码列表</w:t>
      </w:r>
      <w:bookmarkEnd w:id="104"/>
    </w:p>
    <w:tbl>
      <w:tblPr>
        <w:tblStyle w:val="27"/>
        <w:tblW w:w="91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1701"/>
        <w:gridCol w:w="2693"/>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shd w:val="pct10" w:color="auto" w:fill="auto"/>
            <w:noWrap w:val="0"/>
            <w:vAlign w:val="top"/>
          </w:tcPr>
          <w:p>
            <w:pPr>
              <w:spacing w:before="156" w:after="156"/>
              <w:ind w:firstLine="0" w:firstLineChars="0"/>
              <w:rPr>
                <w:rFonts w:hint="eastAsia"/>
              </w:rPr>
            </w:pPr>
            <w:r>
              <w:rPr>
                <w:rFonts w:hint="eastAsia"/>
              </w:rPr>
              <w:t>序号</w:t>
            </w:r>
          </w:p>
        </w:tc>
        <w:tc>
          <w:tcPr>
            <w:tcW w:w="1418" w:type="dxa"/>
            <w:shd w:val="pct10" w:color="auto" w:fill="auto"/>
            <w:noWrap w:val="0"/>
            <w:vAlign w:val="top"/>
          </w:tcPr>
          <w:p>
            <w:pPr>
              <w:spacing w:before="156" w:after="156"/>
              <w:ind w:firstLine="0" w:firstLineChars="0"/>
              <w:rPr>
                <w:rFonts w:hint="eastAsia"/>
              </w:rPr>
            </w:pPr>
            <w:r>
              <w:rPr>
                <w:rFonts w:hint="eastAsia"/>
              </w:rPr>
              <w:t>分类</w:t>
            </w:r>
          </w:p>
        </w:tc>
        <w:tc>
          <w:tcPr>
            <w:tcW w:w="1701" w:type="dxa"/>
            <w:shd w:val="pct10" w:color="auto" w:fill="auto"/>
            <w:noWrap w:val="0"/>
            <w:vAlign w:val="top"/>
          </w:tcPr>
          <w:p>
            <w:pPr>
              <w:spacing w:before="156" w:after="156"/>
              <w:ind w:firstLine="0" w:firstLineChars="0"/>
              <w:rPr>
                <w:rFonts w:hint="eastAsia"/>
              </w:rPr>
            </w:pPr>
            <w:r>
              <w:rPr>
                <w:rFonts w:hint="eastAsia"/>
              </w:rPr>
              <w:t>交易码</w:t>
            </w:r>
          </w:p>
        </w:tc>
        <w:tc>
          <w:tcPr>
            <w:tcW w:w="2693" w:type="dxa"/>
            <w:shd w:val="pct10" w:color="auto" w:fill="auto"/>
            <w:noWrap w:val="0"/>
            <w:vAlign w:val="top"/>
          </w:tcPr>
          <w:p>
            <w:pPr>
              <w:spacing w:before="156" w:after="156"/>
              <w:ind w:firstLine="0" w:firstLineChars="0"/>
              <w:rPr>
                <w:rFonts w:hint="eastAsia"/>
              </w:rPr>
            </w:pPr>
            <w:r>
              <w:rPr>
                <w:rFonts w:hint="eastAsia"/>
              </w:rPr>
              <w:t>交易名称</w:t>
            </w:r>
          </w:p>
        </w:tc>
        <w:tc>
          <w:tcPr>
            <w:tcW w:w="2551" w:type="dxa"/>
            <w:shd w:val="pct10" w:color="auto" w:fill="auto"/>
            <w:noWrap w:val="0"/>
            <w:vAlign w:val="top"/>
          </w:tcPr>
          <w:p>
            <w:pPr>
              <w:spacing w:before="156" w:after="156"/>
              <w:ind w:firstLine="0" w:firstLineChars="0"/>
              <w:rPr>
                <w:rFonts w:hint="eastAsia"/>
              </w:rPr>
            </w:pPr>
            <w:r>
              <w:rPr>
                <w:rFonts w:hint="eastAsia"/>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noWrap w:val="0"/>
            <w:vAlign w:val="top"/>
          </w:tcPr>
          <w:p>
            <w:pPr>
              <w:numPr>
                <w:ilvl w:val="0"/>
                <w:numId w:val="66"/>
              </w:numPr>
              <w:spacing w:before="156" w:after="156"/>
              <w:ind w:firstLineChars="0"/>
              <w:rPr>
                <w:rFonts w:hint="eastAsia"/>
              </w:rPr>
            </w:pPr>
          </w:p>
        </w:tc>
        <w:tc>
          <w:tcPr>
            <w:tcW w:w="1418" w:type="dxa"/>
            <w:vMerge w:val="restart"/>
            <w:noWrap w:val="0"/>
            <w:vAlign w:val="top"/>
          </w:tcPr>
          <w:p>
            <w:pPr>
              <w:spacing w:before="156" w:after="156"/>
              <w:ind w:firstLine="0" w:firstLineChars="0"/>
              <w:rPr>
                <w:rFonts w:hint="eastAsia"/>
              </w:rPr>
            </w:pPr>
            <w:r>
              <w:rPr>
                <w:rFonts w:hint="eastAsia"/>
              </w:rPr>
              <w:t>预售资金交存</w:t>
            </w:r>
          </w:p>
        </w:tc>
        <w:tc>
          <w:tcPr>
            <w:tcW w:w="1701" w:type="dxa"/>
            <w:noWrap w:val="0"/>
            <w:vAlign w:val="top"/>
          </w:tcPr>
          <w:p>
            <w:pPr>
              <w:spacing w:before="156" w:after="156"/>
              <w:ind w:firstLine="0" w:firstLineChars="0"/>
              <w:rPr>
                <w:rFonts w:hint="eastAsia"/>
              </w:rPr>
            </w:pPr>
            <w:r>
              <w:rPr>
                <w:rFonts w:hint="eastAsia"/>
              </w:rPr>
              <w:t>5651</w:t>
            </w:r>
          </w:p>
        </w:tc>
        <w:tc>
          <w:tcPr>
            <w:tcW w:w="2693" w:type="dxa"/>
            <w:noWrap w:val="0"/>
            <w:vAlign w:val="top"/>
          </w:tcPr>
          <w:p>
            <w:pPr>
              <w:spacing w:before="156" w:after="156"/>
              <w:ind w:firstLine="0" w:firstLineChars="0"/>
              <w:rPr>
                <w:rFonts w:hint="eastAsia"/>
              </w:rPr>
            </w:pPr>
            <w:r>
              <w:rPr>
                <w:rFonts w:hint="eastAsia"/>
              </w:rPr>
              <w:t>交存验证(业务申请编号)</w:t>
            </w:r>
          </w:p>
        </w:tc>
        <w:tc>
          <w:tcPr>
            <w:tcW w:w="2551"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noWrap w:val="0"/>
            <w:vAlign w:val="top"/>
          </w:tcPr>
          <w:p>
            <w:pPr>
              <w:numPr>
                <w:ilvl w:val="0"/>
                <w:numId w:val="66"/>
              </w:numPr>
              <w:spacing w:before="156" w:after="156"/>
              <w:ind w:firstLineChars="0"/>
              <w:rPr>
                <w:rFonts w:hint="eastAsia"/>
              </w:rPr>
            </w:pPr>
          </w:p>
        </w:tc>
        <w:tc>
          <w:tcPr>
            <w:tcW w:w="1418" w:type="dxa"/>
            <w:vMerge w:val="continue"/>
            <w:noWrap w:val="0"/>
            <w:vAlign w:val="top"/>
          </w:tcPr>
          <w:p>
            <w:pPr>
              <w:spacing w:before="156" w:after="156"/>
              <w:ind w:firstLine="0" w:firstLineChars="0"/>
              <w:rPr>
                <w:rFonts w:hint="eastAsia"/>
              </w:rPr>
            </w:pPr>
          </w:p>
        </w:tc>
        <w:tc>
          <w:tcPr>
            <w:tcW w:w="1701" w:type="dxa"/>
            <w:noWrap w:val="0"/>
            <w:vAlign w:val="top"/>
          </w:tcPr>
          <w:p>
            <w:pPr>
              <w:spacing w:before="156" w:after="156"/>
              <w:ind w:firstLine="0" w:firstLineChars="0"/>
              <w:rPr>
                <w:rFonts w:hint="eastAsia"/>
              </w:rPr>
            </w:pPr>
            <w:r>
              <w:rPr>
                <w:rFonts w:hint="eastAsia"/>
              </w:rPr>
              <w:t>5652</w:t>
            </w:r>
          </w:p>
        </w:tc>
        <w:tc>
          <w:tcPr>
            <w:tcW w:w="2693" w:type="dxa"/>
            <w:noWrap w:val="0"/>
            <w:vAlign w:val="top"/>
          </w:tcPr>
          <w:p>
            <w:pPr>
              <w:spacing w:before="156" w:after="156"/>
              <w:ind w:firstLine="0" w:firstLineChars="0"/>
              <w:rPr>
                <w:rFonts w:hint="eastAsia"/>
              </w:rPr>
            </w:pPr>
            <w:r>
              <w:rPr>
                <w:rFonts w:hint="eastAsia"/>
              </w:rPr>
              <w:t>交存记账</w:t>
            </w:r>
          </w:p>
        </w:tc>
        <w:tc>
          <w:tcPr>
            <w:tcW w:w="2551"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noWrap w:val="0"/>
            <w:vAlign w:val="top"/>
          </w:tcPr>
          <w:p>
            <w:pPr>
              <w:numPr>
                <w:ilvl w:val="0"/>
                <w:numId w:val="66"/>
              </w:numPr>
              <w:spacing w:before="156" w:after="156"/>
              <w:ind w:firstLineChars="0"/>
              <w:rPr>
                <w:rFonts w:hint="eastAsia"/>
              </w:rPr>
            </w:pPr>
          </w:p>
        </w:tc>
        <w:tc>
          <w:tcPr>
            <w:tcW w:w="1418" w:type="dxa"/>
            <w:vMerge w:val="continue"/>
            <w:noWrap w:val="0"/>
            <w:vAlign w:val="top"/>
          </w:tcPr>
          <w:p>
            <w:pPr>
              <w:spacing w:before="156" w:after="156"/>
              <w:ind w:firstLine="0" w:firstLineChars="0"/>
              <w:rPr>
                <w:rFonts w:hint="eastAsia"/>
              </w:rPr>
            </w:pPr>
          </w:p>
        </w:tc>
        <w:tc>
          <w:tcPr>
            <w:tcW w:w="1701" w:type="dxa"/>
            <w:noWrap w:val="0"/>
            <w:vAlign w:val="top"/>
          </w:tcPr>
          <w:p>
            <w:pPr>
              <w:spacing w:before="156" w:after="156"/>
              <w:ind w:firstLine="0" w:firstLineChars="0"/>
              <w:rPr>
                <w:rFonts w:hint="eastAsia"/>
              </w:rPr>
            </w:pPr>
            <w:r>
              <w:rPr>
                <w:rFonts w:hint="eastAsia"/>
              </w:rPr>
              <w:t>5653</w:t>
            </w:r>
          </w:p>
        </w:tc>
        <w:tc>
          <w:tcPr>
            <w:tcW w:w="2693" w:type="dxa"/>
            <w:noWrap w:val="0"/>
            <w:vAlign w:val="top"/>
          </w:tcPr>
          <w:p>
            <w:pPr>
              <w:spacing w:before="156" w:after="156"/>
              <w:ind w:firstLine="0" w:firstLineChars="0"/>
              <w:rPr>
                <w:rFonts w:hint="eastAsia"/>
              </w:rPr>
            </w:pPr>
            <w:r>
              <w:rPr>
                <w:rFonts w:hint="eastAsia"/>
              </w:rPr>
              <w:t>交存冲正</w:t>
            </w:r>
          </w:p>
        </w:tc>
        <w:tc>
          <w:tcPr>
            <w:tcW w:w="2551"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noWrap w:val="0"/>
            <w:vAlign w:val="top"/>
          </w:tcPr>
          <w:p>
            <w:pPr>
              <w:numPr>
                <w:ilvl w:val="0"/>
                <w:numId w:val="66"/>
              </w:numPr>
              <w:spacing w:before="156" w:after="156"/>
              <w:ind w:firstLineChars="0"/>
              <w:rPr>
                <w:rFonts w:hint="eastAsia"/>
              </w:rPr>
            </w:pPr>
          </w:p>
        </w:tc>
        <w:tc>
          <w:tcPr>
            <w:tcW w:w="1418" w:type="dxa"/>
            <w:noWrap w:val="0"/>
            <w:vAlign w:val="top"/>
          </w:tcPr>
          <w:p>
            <w:pPr>
              <w:spacing w:before="156" w:after="156"/>
              <w:ind w:firstLine="0" w:firstLineChars="0"/>
              <w:rPr>
                <w:rFonts w:hint="eastAsia"/>
              </w:rPr>
            </w:pPr>
          </w:p>
        </w:tc>
        <w:tc>
          <w:tcPr>
            <w:tcW w:w="1701" w:type="dxa"/>
            <w:noWrap w:val="0"/>
            <w:vAlign w:val="top"/>
          </w:tcPr>
          <w:p>
            <w:pPr>
              <w:spacing w:before="156" w:after="156"/>
              <w:ind w:firstLine="0" w:firstLineChars="0"/>
              <w:rPr>
                <w:rFonts w:hint="eastAsia"/>
              </w:rPr>
            </w:pPr>
          </w:p>
        </w:tc>
        <w:tc>
          <w:tcPr>
            <w:tcW w:w="2693" w:type="dxa"/>
            <w:noWrap w:val="0"/>
            <w:vAlign w:val="top"/>
          </w:tcPr>
          <w:p>
            <w:pPr>
              <w:spacing w:before="156" w:after="156"/>
              <w:ind w:firstLine="0" w:firstLineChars="0"/>
              <w:rPr>
                <w:rFonts w:hint="eastAsia"/>
              </w:rPr>
            </w:pPr>
          </w:p>
        </w:tc>
        <w:tc>
          <w:tcPr>
            <w:tcW w:w="2551" w:type="dxa"/>
            <w:noWrap w:val="0"/>
            <w:vAlign w:val="top"/>
          </w:tcPr>
          <w:p>
            <w:pPr>
              <w:spacing w:before="156" w:after="156"/>
              <w:ind w:firstLine="0" w:firstLineChars="0"/>
              <w:rPr>
                <w:rFonts w:hint="eastAsia"/>
              </w:rPr>
            </w:pPr>
          </w:p>
        </w:tc>
      </w:tr>
    </w:tbl>
    <w:p>
      <w:pPr>
        <w:spacing w:before="156" w:after="156"/>
        <w:ind w:firstLine="442"/>
        <w:rPr>
          <w:b/>
          <w:i/>
          <w:color w:val="FF0000"/>
          <w:sz w:val="22"/>
        </w:rPr>
      </w:pPr>
      <w:r>
        <w:rPr>
          <w:rFonts w:hint="eastAsia"/>
          <w:b/>
          <w:i/>
          <w:color w:val="FF0000"/>
          <w:sz w:val="22"/>
        </w:rPr>
        <w:t>注:99打头的交易代码保留使用，接口中不允许定义此类交易代码。</w:t>
      </w:r>
    </w:p>
    <w:p>
      <w:pPr>
        <w:spacing w:before="156" w:after="156"/>
        <w:ind w:firstLine="442"/>
        <w:rPr>
          <w:b/>
          <w:i/>
          <w:color w:val="FF0000"/>
          <w:sz w:val="22"/>
        </w:rPr>
      </w:pPr>
    </w:p>
    <w:p>
      <w:pPr>
        <w:pStyle w:val="3"/>
      </w:pPr>
      <w:bookmarkStart w:id="105" w:name="_Toc508624125"/>
      <w:r>
        <w:rPr>
          <w:rFonts w:hint="eastAsia"/>
        </w:rPr>
        <w:t>预售资金交存</w:t>
      </w:r>
      <w:bookmarkEnd w:id="105"/>
    </w:p>
    <w:p>
      <w:pPr>
        <w:pStyle w:val="4"/>
        <w:rPr>
          <w:rFonts w:hint="eastAsia"/>
        </w:rPr>
      </w:pPr>
      <w:r>
        <w:rPr>
          <w:rFonts w:hint="eastAsia"/>
        </w:rPr>
        <w:t>[5654]商户绑定</w:t>
      </w:r>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5654</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商户绑定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银联流水号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必须保证全系统唯一</w:t>
            </w:r>
            <w:r>
              <w:rPr>
                <w:rFonts w:hint="eastAsia" w:ascii="宋体" w:hAnsi="宋体"/>
              </w:rPr>
              <w:t>,推荐采用8位日期加6位顺序号。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绑定日期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POS商户号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9_银联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6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69"/>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rPr>
          <w:rFonts w:hint="eastAsia"/>
        </w:rPr>
      </w:pPr>
      <w:bookmarkStart w:id="106" w:name="_Toc508624126"/>
      <w:r>
        <w:rPr>
          <w:rFonts w:hint="eastAsia"/>
        </w:rPr>
        <w:t>[5655]商户解除</w:t>
      </w:r>
      <w:bookmarkEnd w:id="106"/>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5655</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商户解除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银联流水号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必须保证全系统唯一</w:t>
            </w:r>
            <w:r>
              <w:rPr>
                <w:rFonts w:hint="eastAsia" w:ascii="宋体" w:hAnsi="宋体"/>
              </w:rPr>
              <w:t>,推荐采用8位日期加6位顺序号。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绑定解除日期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POS商户号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9_银联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2"/>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72"/>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rPr>
          <w:rFonts w:hint="eastAsia"/>
        </w:rPr>
      </w:pPr>
      <w:bookmarkStart w:id="107" w:name="_Toc508624127"/>
      <w:r>
        <w:rPr>
          <w:rFonts w:hint="eastAsia"/>
        </w:rPr>
        <w:t>[5651]交存验证</w:t>
      </w:r>
      <w:bookmarkEnd w:id="107"/>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ascii="宋体" w:hAnsi="宋体"/>
              </w:rPr>
              <w:t>5651</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POS机向银联前置机，向预售资金监管平台发起验证请求，验证通过后准予交存，否则不允许交存。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交存凭证编号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银联流水号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必须保证全系统唯一</w:t>
            </w:r>
            <w:r>
              <w:rPr>
                <w:rFonts w:hint="eastAsia" w:ascii="宋体" w:hAnsi="宋体"/>
              </w:rPr>
              <w:t>,推荐采用8位日期加6位顺序号。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验证日期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POS商户号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P</w:t>
            </w:r>
            <w:r>
              <w:rPr>
                <w:rFonts w:ascii="宋体" w:hAnsi="宋体"/>
              </w:rPr>
              <w:t>OS终端号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3"/>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9_银联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交存申请单金额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已交金额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未交金额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hint="eastAsia" w:ascii="宋体" w:hAnsi="宋体"/>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监管银行代码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监管专户户名</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150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房屋主键</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房屋地址</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交款人姓名</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100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购房合同号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40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4"/>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5"/>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75"/>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108" w:name="_Toc508624128"/>
      <w:r>
        <w:rPr>
          <w:rFonts w:hint="eastAsia"/>
        </w:rPr>
        <w:t>[5652]交存记账</w:t>
      </w:r>
      <w:bookmarkEnd w:id="108"/>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ascii="宋体" w:hAnsi="宋体"/>
              </w:rPr>
              <w:t>5652</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rPr>
              <w:t>进行预售资金交存记账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5652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交存凭证编号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交存金额</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小于等于</w:t>
            </w:r>
            <w:r>
              <w:rPr>
                <w:rFonts w:hint="eastAsia" w:ascii="宋体" w:hAnsi="宋体"/>
              </w:rPr>
              <w:t>5651交易返回的未交金额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监管银行编码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监管账号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交存验证返回项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银联流水号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必须保证全系统唯一</w:t>
            </w:r>
            <w:r>
              <w:rPr>
                <w:rFonts w:hint="eastAsia" w:ascii="宋体" w:hAnsi="宋体"/>
              </w:rPr>
              <w:t>,推荐采用8位日期加6位顺序号。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POS检索参考号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记账日期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POS商户号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POS终端号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6"/>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9_银联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房屋编号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房屋位置</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255</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应交金额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已交金额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未交金额</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20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交款人姓名</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100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购房合同号</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40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7"/>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8"/>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78"/>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pStyle w:val="4"/>
      </w:pPr>
      <w:bookmarkStart w:id="109" w:name="_Toc508624129"/>
      <w:r>
        <w:rPr>
          <w:rFonts w:hint="eastAsia"/>
        </w:rPr>
        <w:t>[5653]交存冲正</w:t>
      </w:r>
      <w:bookmarkEnd w:id="109"/>
    </w:p>
    <w:tbl>
      <w:tblPr>
        <w:tblStyle w:val="27"/>
        <w:tblW w:w="810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360"/>
        <w:gridCol w:w="1980"/>
        <w:gridCol w:w="816"/>
        <w:gridCol w:w="1080"/>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top w:val="double" w:color="auto" w:sz="4" w:space="0"/>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2796" w:type="dxa"/>
            <w:gridSpan w:val="2"/>
            <w:tcBorders>
              <w:top w:val="double" w:color="auto" w:sz="4" w:space="0"/>
            </w:tcBorders>
            <w:noWrap w:val="0"/>
            <w:vAlign w:val="center"/>
          </w:tcPr>
          <w:p>
            <w:pPr>
              <w:spacing w:beforeLines="0" w:afterLines="0"/>
              <w:ind w:firstLine="0" w:firstLineChars="0"/>
              <w:rPr>
                <w:rFonts w:ascii="宋体" w:hAnsi="宋体"/>
              </w:rPr>
            </w:pPr>
            <w:r>
              <w:rPr>
                <w:rFonts w:ascii="宋体" w:hAnsi="宋体"/>
              </w:rPr>
              <w:t>5653</w:t>
            </w:r>
          </w:p>
        </w:tc>
        <w:tc>
          <w:tcPr>
            <w:tcW w:w="1080" w:type="dxa"/>
            <w:tcBorders>
              <w:top w:val="double" w:color="auto" w:sz="4" w:space="0"/>
            </w:tcBorders>
            <w:noWrap w:val="0"/>
            <w:vAlign w:val="center"/>
          </w:tcPr>
          <w:p>
            <w:pPr>
              <w:spacing w:beforeLines="0" w:afterLines="0"/>
              <w:ind w:firstLine="0" w:firstLineChars="0"/>
              <w:rPr>
                <w:rFonts w:ascii="宋体" w:hAnsi="宋体"/>
              </w:rPr>
            </w:pPr>
            <w:r>
              <w:rPr>
                <w:rFonts w:hint="eastAsia" w:ascii="宋体" w:hAnsi="宋体"/>
              </w:rPr>
              <w:t>交易名称</w:t>
            </w:r>
          </w:p>
        </w:tc>
        <w:tc>
          <w:tcPr>
            <w:tcW w:w="2964" w:type="dxa"/>
            <w:tcBorders>
              <w:top w:val="double" w:color="auto" w:sz="4" w:space="0"/>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交存冲正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gridSpan w:val="2"/>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kern w:val="0"/>
              </w:rPr>
              <w:t>主要功能</w:t>
            </w:r>
          </w:p>
        </w:tc>
        <w:tc>
          <w:tcPr>
            <w:tcW w:w="6840" w:type="dxa"/>
            <w:gridSpan w:val="4"/>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交存记账交易的反交易，必须是当天业务。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交易报文：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交易代码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5653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hint="eastAsia" w:ascii="宋体" w:hAnsi="宋体"/>
              </w:rPr>
            </w:pPr>
            <w:r>
              <w:rPr>
                <w:rFonts w:hint="eastAsia" w:ascii="宋体" w:hAnsi="宋体"/>
              </w:rPr>
              <w:t>城市代码</w:t>
            </w:r>
          </w:p>
        </w:tc>
        <w:tc>
          <w:tcPr>
            <w:tcW w:w="816" w:type="dxa"/>
            <w:tcBorders>
              <w:left w:val="single" w:color="auto" w:sz="6" w:space="0"/>
            </w:tcBorders>
            <w:noWrap w:val="0"/>
            <w:vAlign w:val="center"/>
          </w:tcPr>
          <w:p>
            <w:pPr>
              <w:spacing w:beforeLines="0" w:afterLines="0"/>
              <w:ind w:firstLine="0" w:firstLineChars="0"/>
              <w:jc w:val="center"/>
              <w:rPr>
                <w:rFonts w:hint="eastAsia" w:ascii="宋体" w:hAnsi="宋体"/>
              </w:rPr>
            </w:pPr>
            <w:r>
              <w:rPr>
                <w:rFonts w:hint="eastAsia" w:ascii="宋体" w:hAnsi="宋体"/>
              </w:rPr>
              <w:t>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交存凭证编号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银联冲正流水号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送原交易的流水号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冲正日期</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送系统日期即可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POS商户号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ascii="宋体" w:hAnsi="宋体"/>
              </w:rPr>
              <w:t>应送原交易的商户号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POS终端号</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30</w:t>
            </w:r>
          </w:p>
        </w:tc>
        <w:tc>
          <w:tcPr>
            <w:tcW w:w="4044" w:type="dxa"/>
            <w:gridSpan w:val="2"/>
            <w:tcBorders>
              <w:right w:val="double" w:color="auto" w:sz="4" w:space="0"/>
            </w:tcBorders>
            <w:noWrap w:val="0"/>
            <w:vAlign w:val="center"/>
          </w:tcPr>
          <w:p>
            <w:pPr>
              <w:spacing w:beforeLines="0" w:afterLines="0"/>
              <w:ind w:firstLine="0" w:firstLineChars="0"/>
              <w:rPr>
                <w:rFonts w:hint="eastAsia" w:ascii="宋体" w:hAnsi="宋体"/>
              </w:rPr>
            </w:pPr>
            <w:r>
              <w:rPr>
                <w:rFonts w:ascii="宋体" w:hAnsi="宋体"/>
              </w:rPr>
              <w:t>应送原交易的终端号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79"/>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发起方</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9_银联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正确返回：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8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0000表示成功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80"/>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预售资金监管平台流水</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16</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100" w:type="dxa"/>
            <w:gridSpan w:val="6"/>
            <w:tcBorders>
              <w:left w:val="double" w:color="auto" w:sz="4" w:space="0"/>
              <w:right w:val="double" w:color="auto" w:sz="4" w:space="0"/>
            </w:tcBorders>
            <w:noWrap w:val="0"/>
            <w:vAlign w:val="center"/>
          </w:tcPr>
          <w:p>
            <w:pPr>
              <w:spacing w:beforeLines="0" w:afterLines="0"/>
              <w:ind w:firstLine="0" w:firstLineChars="0"/>
              <w:rPr>
                <w:rFonts w:ascii="宋体" w:hAnsi="宋体"/>
                <w:kern w:val="0"/>
              </w:rPr>
            </w:pPr>
            <w:r>
              <w:rPr>
                <w:rFonts w:hint="eastAsia" w:ascii="宋体" w:hAnsi="宋体"/>
                <w:kern w:val="0"/>
              </w:rPr>
              <w:t>错误返回：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spacing w:beforeLines="0" w:afterLines="0"/>
              <w:ind w:firstLine="0" w:firstLineChars="0"/>
              <w:rPr>
                <w:rFonts w:ascii="宋体" w:hAnsi="宋体"/>
              </w:rPr>
            </w:pPr>
            <w:r>
              <w:rPr>
                <w:rFonts w:hint="eastAsia" w:ascii="宋体" w:hAnsi="宋体"/>
              </w:rPr>
              <w:t>序号</w:t>
            </w: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中文含义</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长度</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900" w:type="dxa"/>
            <w:tcBorders>
              <w:left w:val="double" w:color="auto" w:sz="4" w:space="0"/>
            </w:tcBorders>
            <w:noWrap w:val="0"/>
            <w:vAlign w:val="center"/>
          </w:tcPr>
          <w:p>
            <w:pPr>
              <w:numPr>
                <w:ilvl w:val="0"/>
                <w:numId w:val="81"/>
              </w:numPr>
              <w:spacing w:beforeLines="0" w:afterLines="0"/>
              <w:ind w:firstLineChars="0"/>
              <w:jc w:val="center"/>
              <w:rPr>
                <w:rFonts w:ascii="宋体" w:hAnsi="宋体"/>
              </w:rPr>
            </w:pPr>
          </w:p>
        </w:tc>
        <w:tc>
          <w:tcPr>
            <w:tcW w:w="2340" w:type="dxa"/>
            <w:gridSpan w:val="2"/>
            <w:tcBorders>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返回码</w:t>
            </w:r>
          </w:p>
        </w:tc>
        <w:tc>
          <w:tcPr>
            <w:tcW w:w="816" w:type="dxa"/>
            <w:tcBorders>
              <w:left w:val="single" w:color="auto" w:sz="6" w:space="0"/>
            </w:tcBorders>
            <w:noWrap w:val="0"/>
            <w:vAlign w:val="center"/>
          </w:tcPr>
          <w:p>
            <w:pPr>
              <w:spacing w:beforeLines="0" w:afterLines="0"/>
              <w:ind w:firstLine="0" w:firstLineChars="0"/>
              <w:jc w:val="center"/>
              <w:rPr>
                <w:rFonts w:ascii="宋体" w:hAnsi="宋体"/>
              </w:rPr>
            </w:pPr>
            <w:r>
              <w:rPr>
                <w:rFonts w:hint="eastAsia" w:ascii="宋体" w:hAnsi="宋体"/>
              </w:rPr>
              <w:t>4</w:t>
            </w:r>
          </w:p>
        </w:tc>
        <w:tc>
          <w:tcPr>
            <w:tcW w:w="4044" w:type="dxa"/>
            <w:gridSpan w:val="2"/>
            <w:tcBorders>
              <w:right w:val="double" w:color="auto" w:sz="4" w:space="0"/>
            </w:tcBorders>
            <w:noWrap w:val="0"/>
            <w:vAlign w:val="center"/>
          </w:tcPr>
          <w:p>
            <w:pPr>
              <w:spacing w:beforeLines="0" w:afterLines="0"/>
              <w:ind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7" w:hRule="atLeast"/>
        </w:trPr>
        <w:tc>
          <w:tcPr>
            <w:tcW w:w="900" w:type="dxa"/>
            <w:tcBorders>
              <w:left w:val="double" w:color="auto" w:sz="4" w:space="0"/>
              <w:bottom w:val="double" w:color="auto" w:sz="4" w:space="0"/>
            </w:tcBorders>
            <w:noWrap w:val="0"/>
            <w:vAlign w:val="center"/>
          </w:tcPr>
          <w:p>
            <w:pPr>
              <w:numPr>
                <w:ilvl w:val="0"/>
                <w:numId w:val="81"/>
              </w:numPr>
              <w:spacing w:beforeLines="0" w:afterLines="0"/>
              <w:ind w:firstLineChars="0"/>
              <w:jc w:val="center"/>
              <w:rPr>
                <w:rFonts w:ascii="宋体" w:hAnsi="宋体"/>
              </w:rPr>
            </w:pPr>
          </w:p>
        </w:tc>
        <w:tc>
          <w:tcPr>
            <w:tcW w:w="2340" w:type="dxa"/>
            <w:gridSpan w:val="2"/>
            <w:tcBorders>
              <w:bottom w:val="double" w:color="auto" w:sz="4" w:space="0"/>
              <w:right w:val="single" w:color="auto" w:sz="6" w:space="0"/>
            </w:tcBorders>
            <w:noWrap w:val="0"/>
            <w:vAlign w:val="center"/>
          </w:tcPr>
          <w:p>
            <w:pPr>
              <w:spacing w:beforeLines="0" w:afterLines="0"/>
              <w:ind w:firstLine="0" w:firstLineChars="0"/>
              <w:rPr>
                <w:rFonts w:ascii="宋体" w:hAnsi="宋体"/>
              </w:rPr>
            </w:pPr>
            <w:r>
              <w:rPr>
                <w:rFonts w:hint="eastAsia" w:ascii="宋体" w:hAnsi="宋体"/>
              </w:rPr>
              <w:t>错误原因描述</w:t>
            </w:r>
          </w:p>
        </w:tc>
        <w:tc>
          <w:tcPr>
            <w:tcW w:w="816" w:type="dxa"/>
            <w:tcBorders>
              <w:left w:val="single" w:color="auto" w:sz="6" w:space="0"/>
              <w:bottom w:val="double" w:color="auto" w:sz="4" w:space="0"/>
            </w:tcBorders>
            <w:noWrap w:val="0"/>
            <w:vAlign w:val="center"/>
          </w:tcPr>
          <w:p>
            <w:pPr>
              <w:spacing w:beforeLines="0" w:afterLines="0"/>
              <w:ind w:firstLine="0" w:firstLineChars="0"/>
              <w:jc w:val="center"/>
              <w:rPr>
                <w:rFonts w:ascii="宋体" w:hAnsi="宋体"/>
              </w:rPr>
            </w:pPr>
            <w:r>
              <w:rPr>
                <w:rFonts w:hint="eastAsia" w:ascii="宋体" w:hAnsi="宋体"/>
              </w:rPr>
              <w:t>60</w:t>
            </w:r>
          </w:p>
        </w:tc>
        <w:tc>
          <w:tcPr>
            <w:tcW w:w="4044" w:type="dxa"/>
            <w:gridSpan w:val="2"/>
            <w:tcBorders>
              <w:bottom w:val="double" w:color="auto" w:sz="4" w:space="0"/>
              <w:right w:val="double" w:color="auto" w:sz="4" w:space="0"/>
            </w:tcBorders>
            <w:noWrap w:val="0"/>
            <w:vAlign w:val="center"/>
          </w:tcPr>
          <w:p>
            <w:pPr>
              <w:spacing w:beforeLines="0" w:afterLines="0"/>
              <w:ind w:firstLine="0" w:firstLineChars="0"/>
              <w:rPr>
                <w:rFonts w:ascii="宋体" w:hAnsi="宋体"/>
              </w:rPr>
            </w:pPr>
          </w:p>
        </w:tc>
      </w:tr>
    </w:tbl>
    <w:p>
      <w:pPr>
        <w:spacing w:before="156" w:after="156"/>
        <w:ind w:firstLine="442"/>
        <w:rPr>
          <w:b/>
          <w:i/>
          <w:color w:val="FF0000"/>
          <w:sz w:val="22"/>
        </w:rPr>
      </w:pPr>
    </w:p>
    <w:p>
      <w:pPr>
        <w:pStyle w:val="3"/>
      </w:pPr>
      <w:bookmarkStart w:id="110" w:name="_Toc508624130"/>
      <w:r>
        <w:rPr>
          <w:rFonts w:hint="eastAsia"/>
        </w:rPr>
        <w:t>日终对账</w:t>
      </w:r>
      <w:bookmarkEnd w:id="110"/>
    </w:p>
    <w:p>
      <w:pPr>
        <w:spacing w:before="156" w:after="156"/>
        <w:ind w:firstLine="420"/>
        <w:rPr>
          <w:rFonts w:hint="eastAsia"/>
        </w:rPr>
      </w:pPr>
      <w:r>
        <w:rPr>
          <w:rFonts w:hint="eastAsia"/>
        </w:rPr>
        <w:t>每日日终由银联将当日P</w:t>
      </w:r>
      <w:r>
        <w:t>OS</w:t>
      </w:r>
      <w:r>
        <w:rPr>
          <w:rFonts w:hint="eastAsia"/>
        </w:rPr>
        <w:t>交易明细上送预售资金监管平台，上送方式采用FTP方式（具体IP、用户名、密码、路径另行定义）。</w:t>
      </w:r>
    </w:p>
    <w:p>
      <w:pPr>
        <w:spacing w:before="156" w:after="156"/>
        <w:ind w:firstLine="420"/>
        <w:rPr>
          <w:rFonts w:hint="eastAsia"/>
        </w:rPr>
      </w:pPr>
    </w:p>
    <w:p>
      <w:pPr>
        <w:pStyle w:val="4"/>
        <w:rPr>
          <w:rFonts w:hint="eastAsia"/>
        </w:rPr>
      </w:pPr>
      <w:bookmarkStart w:id="111" w:name="_Toc508624131"/>
      <w:r>
        <w:rPr>
          <w:rFonts w:hint="eastAsia"/>
        </w:rPr>
        <w:t>POS对账明细文件</w:t>
      </w:r>
      <w:bookmarkEnd w:id="111"/>
    </w:p>
    <w:p>
      <w:pPr>
        <w:spacing w:before="156" w:after="156"/>
        <w:ind w:firstLine="422"/>
      </w:pPr>
      <w:r>
        <w:rPr>
          <w:rFonts w:hint="eastAsia"/>
          <w:b/>
        </w:rPr>
        <w:t>POS对账文件名</w:t>
      </w:r>
      <w:r>
        <w:rPr>
          <w:rFonts w:hint="eastAsia"/>
        </w:rPr>
        <w:t>：YLCCCCCCYYYYMMDD.dat，YL为固定字符， CCCCCC 指城市代码（6位）YYYYMMDD为对账日期。</w:t>
      </w:r>
    </w:p>
    <w:p>
      <w:pPr>
        <w:spacing w:before="156" w:after="156"/>
        <w:ind w:firstLine="422"/>
      </w:pPr>
      <w:r>
        <w:rPr>
          <w:rFonts w:hint="eastAsia"/>
          <w:b/>
        </w:rPr>
        <w:t>对账文件格式</w:t>
      </w:r>
      <w:r>
        <w:rPr>
          <w:rFonts w:hint="eastAsia"/>
        </w:rPr>
        <w:t>：（右补空格左对齐）</w:t>
      </w:r>
    </w:p>
    <w:p>
      <w:pPr>
        <w:spacing w:before="156" w:after="156"/>
        <w:ind w:firstLine="422"/>
      </w:pPr>
      <w:r>
        <w:rPr>
          <w:rFonts w:hint="eastAsia"/>
          <w:b/>
        </w:rPr>
        <w:t>第一行</w:t>
      </w:r>
      <w:r>
        <w:rPr>
          <w:rFonts w:hint="eastAsia"/>
        </w:rPr>
        <w:t>：为汇总信息</w:t>
      </w:r>
    </w:p>
    <w:p>
      <w:pPr>
        <w:spacing w:before="156" w:after="156"/>
        <w:ind w:firstLine="420"/>
      </w:pPr>
      <w:r>
        <w:rPr>
          <w:rFonts w:hint="eastAsia"/>
        </w:rPr>
        <w:tab/>
      </w:r>
      <w:r>
        <w:rPr>
          <w:rFonts w:hint="eastAsia"/>
        </w:rPr>
        <w:t>交易总笔数(6位)|交易总金额(20位)|手续费总金额(</w:t>
      </w:r>
      <w:r>
        <w:t>20位</w:t>
      </w:r>
      <w:r>
        <w:rPr>
          <w:rFonts w:hint="eastAsia"/>
        </w:rPr>
        <w:t>)</w:t>
      </w:r>
      <w:r>
        <w:t>|</w:t>
      </w:r>
    </w:p>
    <w:p>
      <w:pPr>
        <w:spacing w:before="156" w:after="156"/>
        <w:ind w:firstLine="422"/>
      </w:pPr>
      <w:r>
        <w:rPr>
          <w:rFonts w:hint="eastAsia"/>
          <w:b/>
        </w:rPr>
        <w:t>其他各行</w:t>
      </w:r>
      <w:r>
        <w:rPr>
          <w:rFonts w:hint="eastAsia"/>
        </w:rPr>
        <w:t>：为明细信息</w:t>
      </w:r>
    </w:p>
    <w:p>
      <w:pPr>
        <w:spacing w:before="156" w:after="156"/>
        <w:ind w:firstLine="420"/>
      </w:pPr>
      <w:r>
        <w:rPr>
          <w:rFonts w:hint="eastAsia"/>
        </w:rPr>
        <w:tab/>
      </w:r>
      <w:r>
        <w:rPr>
          <w:rFonts w:hint="eastAsia"/>
        </w:rPr>
        <w:t>交易代码(4位)|业务编号(14位，交存申请编号)|借贷标志|交易金额(20位)|手续费(</w:t>
      </w:r>
      <w:r>
        <w:t>20位</w:t>
      </w:r>
      <w:r>
        <w:rPr>
          <w:rFonts w:hint="eastAsia"/>
        </w:rPr>
        <w:t>)|监管银行代码(2位)|监管账号(30位)|预售资金监管平台流水(16位)|银联记账流水(30位)|</w:t>
      </w:r>
      <w:r>
        <w:t>POS</w:t>
      </w:r>
      <w:r>
        <w:rPr>
          <w:rFonts w:hint="eastAsia" w:ascii="宋体" w:hAnsi="宋体"/>
        </w:rPr>
        <w:t>检索参考号(</w:t>
      </w:r>
      <w:r>
        <w:rPr>
          <w:rFonts w:ascii="宋体" w:hAnsi="宋体"/>
        </w:rPr>
        <w:t>30位</w:t>
      </w:r>
      <w:r>
        <w:rPr>
          <w:rFonts w:hint="eastAsia" w:ascii="宋体" w:hAnsi="宋体"/>
        </w:rPr>
        <w:t>)</w:t>
      </w:r>
      <w:r>
        <w:rPr>
          <w:rFonts w:hint="eastAsia"/>
        </w:rPr>
        <w:t>|POS商户号(30位)|P</w:t>
      </w:r>
      <w:r>
        <w:t>OS终端号</w:t>
      </w:r>
      <w:r>
        <w:rPr>
          <w:rFonts w:hint="eastAsia"/>
        </w:rPr>
        <w:t>(30位)|记账日期(10位，YYYY-MM-DD)|</w:t>
      </w:r>
    </w:p>
    <w:p>
      <w:pPr>
        <w:spacing w:before="156" w:after="156"/>
        <w:ind w:firstLine="422"/>
        <w:rPr>
          <w:b/>
        </w:rPr>
      </w:pPr>
      <w:r>
        <w:rPr>
          <w:rFonts w:hint="eastAsia"/>
          <w:b/>
        </w:rPr>
        <w:t>特别说明：</w:t>
      </w:r>
    </w:p>
    <w:p>
      <w:pPr>
        <w:spacing w:before="156" w:after="156"/>
        <w:ind w:left="199" w:firstLine="221" w:firstLineChars="0"/>
      </w:pPr>
      <w:r>
        <w:rPr>
          <w:rFonts w:hint="eastAsia"/>
        </w:rPr>
        <w:t>1、若当日无交易，要求银联同样传送对账文件。对账文件格式如下：</w:t>
      </w:r>
    </w:p>
    <w:p>
      <w:pPr>
        <w:spacing w:before="156" w:after="156"/>
        <w:ind w:firstLine="199" w:firstLineChars="95"/>
      </w:pPr>
      <w:r>
        <w:rPr>
          <w:rFonts w:hint="eastAsia"/>
        </w:rPr>
        <w:t>0|0|</w:t>
      </w:r>
      <w:r>
        <w:t>0|</w:t>
      </w:r>
    </w:p>
    <w:p>
      <w:pPr>
        <w:spacing w:before="156" w:after="156"/>
        <w:ind w:firstLine="199" w:firstLineChars="95"/>
        <w:rPr>
          <w:rFonts w:hint="eastAsia"/>
        </w:rPr>
      </w:pPr>
      <w:r>
        <w:rPr>
          <w:rFonts w:hint="eastAsia"/>
        </w:rPr>
        <w:tab/>
      </w:r>
      <w:r>
        <w:rPr>
          <w:rFonts w:hint="eastAsia"/>
        </w:rPr>
        <w:t>2、对账原则：如果出现银联与预售资金监管平台账务不一致，以银联为准。</w:t>
      </w:r>
    </w:p>
    <w:p>
      <w:pPr>
        <w:spacing w:before="156" w:after="156"/>
        <w:ind w:firstLine="420"/>
        <w:rPr>
          <w:rFonts w:hint="eastAsia"/>
        </w:rPr>
      </w:pPr>
      <w:r>
        <w:t>3</w:t>
      </w:r>
      <w:r>
        <w:rPr>
          <w:rFonts w:hint="eastAsia"/>
        </w:rPr>
        <w:t>、明细中的记账日期作用：该日期与对账文件名中的日期一致</w:t>
      </w:r>
    </w:p>
    <w:p>
      <w:pPr>
        <w:spacing w:before="156" w:after="156"/>
        <w:ind w:firstLine="420"/>
        <w:rPr>
          <w:rFonts w:hint="eastAsia"/>
        </w:rPr>
      </w:pPr>
      <w:r>
        <w:rPr>
          <w:rFonts w:hint="eastAsia"/>
        </w:rPr>
        <w:t>4、借贷标志：</w:t>
      </w:r>
    </w:p>
    <w:p>
      <w:pPr>
        <w:spacing w:before="156" w:after="156"/>
        <w:ind w:firstLine="420"/>
        <w:rPr>
          <w:rFonts w:hint="eastAsia"/>
        </w:rPr>
      </w:pPr>
      <w:r>
        <w:rPr>
          <w:rFonts w:hint="eastAsia"/>
        </w:rPr>
        <w:t xml:space="preserve">    交存交易：送1_借</w:t>
      </w:r>
    </w:p>
    <w:p>
      <w:pPr>
        <w:spacing w:before="156" w:after="156"/>
        <w:ind w:firstLine="420"/>
      </w:pPr>
      <w:r>
        <w:t>5</w:t>
      </w:r>
      <w:r>
        <w:rPr>
          <w:rFonts w:hint="eastAsia"/>
        </w:rPr>
        <w:t>、 对账交易只送当日交易成功的账务类交易，针对冲正成功的交易不在对账文件中体现。</w:t>
      </w:r>
    </w:p>
    <w:p>
      <w:pPr>
        <w:spacing w:before="156" w:after="156"/>
        <w:ind w:firstLine="442"/>
        <w:rPr>
          <w:rFonts w:hint="eastAsia"/>
          <w:b/>
          <w:i/>
          <w:color w:val="FF0000"/>
          <w:sz w:val="22"/>
        </w:rPr>
      </w:pPr>
    </w:p>
    <w:p>
      <w:pPr>
        <w:pStyle w:val="2"/>
      </w:pPr>
      <w:bookmarkStart w:id="112" w:name="_Toc508624132"/>
      <w:bookmarkStart w:id="113" w:name="_Toc269931821"/>
      <w:bookmarkStart w:id="114" w:name="_Toc269917495"/>
      <w:r>
        <w:rPr>
          <w:rFonts w:hint="eastAsia"/>
        </w:rPr>
        <w:t>附录</w:t>
      </w:r>
      <w:bookmarkEnd w:id="112"/>
      <w:bookmarkEnd w:id="113"/>
      <w:bookmarkEnd w:id="114"/>
    </w:p>
    <w:p>
      <w:pPr>
        <w:pStyle w:val="3"/>
      </w:pPr>
      <w:bookmarkStart w:id="115" w:name="_Toc269917498"/>
      <w:bookmarkStart w:id="116" w:name="_Toc508624133"/>
      <w:bookmarkStart w:id="117" w:name="_Toc269931824"/>
      <w:r>
        <w:rPr>
          <w:rFonts w:hint="eastAsia"/>
        </w:rPr>
        <w:t>凭证格式</w:t>
      </w:r>
      <w:bookmarkEnd w:id="115"/>
      <w:bookmarkEnd w:id="116"/>
      <w:bookmarkEnd w:id="117"/>
    </w:p>
    <w:p>
      <w:pPr>
        <w:spacing w:before="156" w:after="156"/>
        <w:ind w:firstLine="480"/>
        <w:rPr>
          <w:rFonts w:hint="eastAsia"/>
          <w:color w:val="FF0000"/>
          <w:sz w:val="24"/>
        </w:rPr>
      </w:pPr>
      <w:r>
        <w:rPr>
          <w:color w:val="FF0000"/>
          <w:sz w:val="24"/>
        </w:rPr>
        <w:t>各地制度和业务存在差别</w:t>
      </w:r>
      <w:r>
        <w:rPr>
          <w:rFonts w:hint="eastAsia"/>
          <w:color w:val="FF0000"/>
          <w:sz w:val="24"/>
        </w:rPr>
        <w:t>，凭证格式存在不同，故本章仅供参考。</w:t>
      </w:r>
    </w:p>
    <w:p>
      <w:pPr>
        <w:pStyle w:val="4"/>
      </w:pPr>
      <w:bookmarkStart w:id="118" w:name="_Toc508624134"/>
      <w:r>
        <w:rPr>
          <w:rFonts w:hint="eastAsia"/>
        </w:rPr>
        <w:t>开户凭证</w:t>
      </w:r>
      <w:bookmarkEnd w:id="118"/>
    </w:p>
    <w:p>
      <w:pPr>
        <w:spacing w:before="156" w:after="156"/>
        <w:ind w:firstLine="420"/>
      </w:pPr>
      <w:r>
        <w:drawing>
          <wp:inline distT="0" distB="0" distL="114300" distR="114300">
            <wp:extent cx="5278120" cy="2721610"/>
            <wp:effectExtent l="0" t="0" r="1778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278120" cy="2721610"/>
                    </a:xfrm>
                    <a:prstGeom prst="rect">
                      <a:avLst/>
                    </a:prstGeom>
                    <a:noFill/>
                    <a:ln>
                      <a:noFill/>
                    </a:ln>
                  </pic:spPr>
                </pic:pic>
              </a:graphicData>
            </a:graphic>
          </wp:inline>
        </w:drawing>
      </w:r>
    </w:p>
    <w:p>
      <w:pPr>
        <w:spacing w:before="156" w:after="156"/>
        <w:ind w:firstLine="420"/>
      </w:pPr>
    </w:p>
    <w:p>
      <w:pPr>
        <w:spacing w:before="156" w:after="156"/>
        <w:ind w:firstLine="420"/>
      </w:pPr>
    </w:p>
    <w:p>
      <w:pPr>
        <w:spacing w:before="156" w:after="156"/>
        <w:ind w:firstLine="420"/>
      </w:pPr>
    </w:p>
    <w:p>
      <w:pPr>
        <w:spacing w:before="156" w:after="156"/>
        <w:ind w:firstLine="420"/>
        <w:rPr>
          <w:rFonts w:hint="eastAsia"/>
        </w:rPr>
      </w:pPr>
      <w:r>
        <w:rPr>
          <w:rFonts w:hint="eastAsia"/>
        </w:rPr>
        <mc:AlternateContent>
          <mc:Choice Requires="wps">
            <w:drawing>
              <wp:anchor distT="0" distB="0" distL="114300" distR="114300" simplePos="0" relativeHeight="251663360" behindDoc="0" locked="0" layoutInCell="1" allowOverlap="1">
                <wp:simplePos x="0" y="0"/>
                <wp:positionH relativeFrom="column">
                  <wp:posOffset>319405</wp:posOffset>
                </wp:positionH>
                <wp:positionV relativeFrom="paragraph">
                  <wp:posOffset>257810</wp:posOffset>
                </wp:positionV>
                <wp:extent cx="5702300" cy="0"/>
                <wp:effectExtent l="0" t="0" r="0" b="0"/>
                <wp:wrapNone/>
                <wp:docPr id="6" name="自选图形 19"/>
                <wp:cNvGraphicFramePr/>
                <a:graphic xmlns:a="http://schemas.openxmlformats.org/drawingml/2006/main">
                  <a:graphicData uri="http://schemas.microsoft.com/office/word/2010/wordprocessingShape">
                    <wps:wsp>
                      <wps:cNvCnPr/>
                      <wps:spPr>
                        <a:xfrm>
                          <a:off x="0" y="0"/>
                          <a:ext cx="57023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9" o:spid="_x0000_s1026" o:spt="32" type="#_x0000_t32" style="position:absolute;left:0pt;margin-left:25.15pt;margin-top:20.3pt;height:0pt;width:449pt;z-index:251663360;mso-width-relative:page;mso-height-relative:page;" filled="f" stroked="t" coordsize="21600,21600" o:gfxdata="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ZqQT1gAAAAgBAAAPAAAAAAAA&#10;AAEAIAAAACIAAABkcnMvZG93bnJldi54bWxQSwECFAAUAAAACACHTuJAM/PpaNsBAACWAwAADgAA&#10;AAAAAAABACAAAAAlAQAAZHJzL2Uyb0RvYy54bWxQSwUGAAAAAAYABgBZAQAAcgUAAAAA&#10;">
                <v:fill on="f" focussize="0,0"/>
                <v:stroke color="#000000" joinstyle="round"/>
                <v:imagedata o:title=""/>
                <o:lock v:ext="edit" aspectratio="f"/>
              </v:shape>
            </w:pict>
          </mc:Fallback>
        </mc:AlternateContent>
      </w:r>
    </w:p>
    <w:p>
      <w:pPr>
        <w:spacing w:before="156" w:after="156"/>
        <w:ind w:firstLine="420"/>
        <w:rPr>
          <w:rFonts w:hint="eastAsia"/>
        </w:rPr>
      </w:pPr>
    </w:p>
    <w:p>
      <w:pPr>
        <w:pStyle w:val="4"/>
        <w:ind w:firstLine="420"/>
        <w:jc w:val="left"/>
      </w:pPr>
      <w:bookmarkStart w:id="119" w:name="_Toc508624135"/>
      <w:r>
        <w:rPr>
          <w:rFonts w:hint="eastAsia"/>
        </w:rPr>
        <w:t>交存凭证</w:t>
      </w:r>
      <w:bookmarkEnd w:id="119"/>
    </w:p>
    <w:p>
      <w:pPr>
        <w:spacing w:before="156" w:after="156"/>
        <w:ind w:left="147" w:firstLine="420"/>
      </w:pPr>
      <w:r>
        <w:drawing>
          <wp:inline distT="0" distB="0" distL="114300" distR="114300">
            <wp:extent cx="5278120" cy="5249545"/>
            <wp:effectExtent l="0" t="0" r="1778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5278120" cy="5249545"/>
                    </a:xfrm>
                    <a:prstGeom prst="rect">
                      <a:avLst/>
                    </a:prstGeom>
                    <a:noFill/>
                    <a:ln>
                      <a:noFill/>
                    </a:ln>
                  </pic:spPr>
                </pic:pic>
              </a:graphicData>
            </a:graphic>
          </wp:inline>
        </w:drawing>
      </w:r>
    </w:p>
    <w:p>
      <w:pPr>
        <w:spacing w:before="156" w:after="156"/>
        <w:ind w:left="147" w:firstLine="420"/>
        <w:rPr>
          <w:rFonts w:hint="eastAsia"/>
        </w:rPr>
      </w:pPr>
    </w:p>
    <w:p>
      <w:pPr>
        <w:spacing w:before="156" w:after="156"/>
        <w:ind w:firstLine="420"/>
        <w:rPr>
          <w:rFonts w:hint="eastAsia"/>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205105</wp:posOffset>
                </wp:positionH>
                <wp:positionV relativeFrom="paragraph">
                  <wp:posOffset>231140</wp:posOffset>
                </wp:positionV>
                <wp:extent cx="5276850" cy="0"/>
                <wp:effectExtent l="0" t="0" r="0" b="0"/>
                <wp:wrapNone/>
                <wp:docPr id="1" name="自选图形 14"/>
                <wp:cNvGraphicFramePr/>
                <a:graphic xmlns:a="http://schemas.openxmlformats.org/drawingml/2006/main">
                  <a:graphicData uri="http://schemas.microsoft.com/office/word/2010/wordprocessingShape">
                    <wps:wsp>
                      <wps:cNvCnPr/>
                      <wps:spPr>
                        <a:xfrm>
                          <a:off x="0" y="0"/>
                          <a:ext cx="52768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4" o:spid="_x0000_s1026" o:spt="32" type="#_x0000_t32" style="position:absolute;left:0pt;margin-left:16.15pt;margin-top:18.2pt;height:0pt;width:415.5pt;z-index:251658240;mso-width-relative:page;mso-height-relative:page;" filled="f" stroked="t" coordsize="21600,21600" o:gfxdata="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uBZa9YAAAAIAQAADwAAAAAA&#10;AAABACAAAAAiAAAAZHJzL2Rvd25yZXYueG1sUEsBAhQAFAAAAAgAh07iQJaVVk7cAQAAlgMAAA4A&#10;AAAAAAAAAQAgAAAAJQEAAGRycy9lMm9Eb2MueG1sUEsFBgAAAAAGAAYAWQEAAHMFAAAAAA==&#10;">
                <v:fill on="f" focussize="0,0"/>
                <v:stroke color="#000000" joinstyle="round"/>
                <v:imagedata o:title=""/>
                <o:lock v:ext="edit" aspectratio="f"/>
              </v:shape>
            </w:pict>
          </mc:Fallback>
        </mc:AlternateContent>
      </w:r>
    </w:p>
    <w:p>
      <w:pPr>
        <w:pStyle w:val="4"/>
      </w:pPr>
      <w:bookmarkStart w:id="120" w:name="_Toc508624136"/>
      <w:r>
        <w:rPr>
          <w:rFonts w:hint="eastAsia"/>
        </w:rPr>
        <w:t>批量交存凭证</w:t>
      </w:r>
      <w:bookmarkEnd w:id="120"/>
    </w:p>
    <w:p>
      <w:pPr>
        <w:spacing w:before="156" w:after="156"/>
        <w:ind w:firstLine="420"/>
      </w:pPr>
      <w:r>
        <w:drawing>
          <wp:inline distT="0" distB="0" distL="114300" distR="114300">
            <wp:extent cx="5281295" cy="4681220"/>
            <wp:effectExtent l="0" t="0" r="1460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5281295" cy="4681220"/>
                    </a:xfrm>
                    <a:prstGeom prst="rect">
                      <a:avLst/>
                    </a:prstGeom>
                    <a:noFill/>
                    <a:ln>
                      <a:noFill/>
                    </a:ln>
                  </pic:spPr>
                </pic:pic>
              </a:graphicData>
            </a:graphic>
          </wp:inline>
        </w:drawing>
      </w:r>
    </w:p>
    <w:p>
      <w:pPr>
        <w:spacing w:before="156" w:after="156"/>
        <w:ind w:firstLine="420"/>
      </w:pPr>
    </w:p>
    <w:p>
      <w:pPr>
        <w:spacing w:before="156" w:after="156"/>
        <w:ind w:firstLine="420"/>
      </w:pPr>
    </w:p>
    <w:p>
      <w:pPr>
        <w:spacing w:before="156" w:after="156"/>
        <w:ind w:firstLine="420"/>
        <w:rPr>
          <w:rFonts w:hint="eastAsia"/>
        </w:rPr>
      </w:pPr>
      <w:r>
        <w:rPr>
          <w:rFonts w:hint="eastAsia"/>
        </w:rPr>
        <mc:AlternateContent>
          <mc:Choice Requires="wps">
            <w:drawing>
              <wp:anchor distT="0" distB="0" distL="114300" distR="114300" simplePos="0" relativeHeight="251659264" behindDoc="0" locked="0" layoutInCell="1" allowOverlap="1">
                <wp:simplePos x="0" y="0"/>
                <wp:positionH relativeFrom="column">
                  <wp:posOffset>-296545</wp:posOffset>
                </wp:positionH>
                <wp:positionV relativeFrom="paragraph">
                  <wp:posOffset>223520</wp:posOffset>
                </wp:positionV>
                <wp:extent cx="5899150" cy="0"/>
                <wp:effectExtent l="0" t="0" r="0" b="0"/>
                <wp:wrapNone/>
                <wp:docPr id="2" name="自选图形 15"/>
                <wp:cNvGraphicFramePr/>
                <a:graphic xmlns:a="http://schemas.openxmlformats.org/drawingml/2006/main">
                  <a:graphicData uri="http://schemas.microsoft.com/office/word/2010/wordprocessingShape">
                    <wps:wsp>
                      <wps:cNvCnPr/>
                      <wps:spPr>
                        <a:xfrm>
                          <a:off x="0" y="0"/>
                          <a:ext cx="58991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5" o:spid="_x0000_s1026" o:spt="32" type="#_x0000_t32" style="position:absolute;left:0pt;margin-left:-23.35pt;margin-top:17.6pt;height:0pt;width:464.5pt;z-index:251659264;mso-width-relative:page;mso-height-relative:page;" filled="f" stroked="t" coordsize="21600,21600" o:gfxdata="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m9mjfYAAAACQEAAA8AAAAA&#10;AAAAAQAgAAAAIgAAAGRycy9kb3ducmV2LnhtbFBLAQIUABQAAAAIAIdO4kCbHHI92wEAAJYDAAAO&#10;AAAAAAAAAAEAIAAAACcBAABkcnMvZTJvRG9jLnhtbFBLBQYAAAAABgAGAFkBAAB0BQAAAAA=&#10;">
                <v:fill on="f" focussize="0,0"/>
                <v:stroke color="#000000" joinstyle="round"/>
                <v:imagedata o:title=""/>
                <o:lock v:ext="edit" aspectratio="f"/>
              </v:shape>
            </w:pict>
          </mc:Fallback>
        </mc:AlternateContent>
      </w:r>
    </w:p>
    <w:p>
      <w:pPr>
        <w:spacing w:before="156" w:after="156"/>
        <w:ind w:firstLine="420"/>
        <w:rPr>
          <w:rFonts w:hint="eastAsia"/>
        </w:rPr>
      </w:pPr>
    </w:p>
    <w:p>
      <w:pPr>
        <w:pStyle w:val="4"/>
      </w:pPr>
      <w:bookmarkStart w:id="121" w:name="_Toc508624137"/>
      <w:r>
        <w:rPr>
          <w:rFonts w:hint="eastAsia"/>
        </w:rPr>
        <w:t>划拨凭证</w:t>
      </w:r>
      <w:bookmarkEnd w:id="121"/>
    </w:p>
    <w:p>
      <w:pPr>
        <w:spacing w:before="156" w:after="156"/>
        <w:ind w:firstLine="420"/>
      </w:pPr>
      <w:r>
        <w:drawing>
          <wp:inline distT="0" distB="0" distL="114300" distR="114300">
            <wp:extent cx="5275580" cy="3014345"/>
            <wp:effectExtent l="0" t="0" r="1270" b="146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5580" cy="3014345"/>
                    </a:xfrm>
                    <a:prstGeom prst="rect">
                      <a:avLst/>
                    </a:prstGeom>
                    <a:noFill/>
                    <a:ln>
                      <a:noFill/>
                    </a:ln>
                  </pic:spPr>
                </pic:pic>
              </a:graphicData>
            </a:graphic>
          </wp:inline>
        </w:drawing>
      </w:r>
    </w:p>
    <w:p>
      <w:pPr>
        <w:spacing w:before="156" w:after="156"/>
        <w:ind w:firstLine="420"/>
      </w:pPr>
      <w:r>
        <mc:AlternateContent>
          <mc:Choice Requires="wps">
            <w:drawing>
              <wp:anchor distT="0" distB="0" distL="114300" distR="114300" simplePos="0" relativeHeight="251660288" behindDoc="0" locked="0" layoutInCell="1" allowOverlap="1">
                <wp:simplePos x="0" y="0"/>
                <wp:positionH relativeFrom="column">
                  <wp:posOffset>255905</wp:posOffset>
                </wp:positionH>
                <wp:positionV relativeFrom="paragraph">
                  <wp:posOffset>148590</wp:posOffset>
                </wp:positionV>
                <wp:extent cx="5480050" cy="0"/>
                <wp:effectExtent l="0" t="0" r="0" b="0"/>
                <wp:wrapNone/>
                <wp:docPr id="3" name="自选图形 16"/>
                <wp:cNvGraphicFramePr/>
                <a:graphic xmlns:a="http://schemas.openxmlformats.org/drawingml/2006/main">
                  <a:graphicData uri="http://schemas.microsoft.com/office/word/2010/wordprocessingShape">
                    <wps:wsp>
                      <wps:cNvCnPr/>
                      <wps:spPr>
                        <a:xfrm>
                          <a:off x="0" y="0"/>
                          <a:ext cx="54800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6" o:spid="_x0000_s1026" o:spt="32" type="#_x0000_t32" style="position:absolute;left:0pt;margin-left:20.15pt;margin-top:11.7pt;height:0pt;width:431.5pt;z-index:251660288;mso-width-relative:page;mso-height-relative:page;" filled="f" stroked="t" coordsize="21600,21600" o:gfxdata="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trnMp1gAAAAgBAAAPAAAAAAAA&#10;AAEAIAAAACIAAABkcnMvZG93bnJldi54bWxQSwECFAAUAAAACACHTuJA4hRKWdsBAACWAwAADgAA&#10;AAAAAAABACAAAAAlAQAAZHJzL2Uyb0RvYy54bWxQSwUGAAAAAAYABgBZAQAAcgUAAAAA&#10;">
                <v:fill on="f" focussize="0,0"/>
                <v:stroke color="#000000" joinstyle="round"/>
                <v:imagedata o:title=""/>
                <o:lock v:ext="edit" aspectratio="f"/>
              </v:shape>
            </w:pict>
          </mc:Fallback>
        </mc:AlternateContent>
      </w:r>
    </w:p>
    <w:p>
      <w:pPr>
        <w:spacing w:before="156" w:after="156"/>
        <w:ind w:firstLine="420"/>
        <w:rPr>
          <w:rFonts w:hint="eastAsia"/>
        </w:rPr>
      </w:pPr>
    </w:p>
    <w:p>
      <w:pPr>
        <w:pStyle w:val="4"/>
      </w:pPr>
      <w:bookmarkStart w:id="122" w:name="_Toc508624138"/>
      <w:r>
        <w:rPr>
          <w:rFonts w:hint="eastAsia"/>
        </w:rPr>
        <w:t>错账拨款凭证</w:t>
      </w:r>
      <w:bookmarkEnd w:id="122"/>
    </w:p>
    <w:p>
      <w:pPr>
        <w:spacing w:before="156" w:after="156"/>
        <w:ind w:firstLine="420"/>
      </w:pPr>
      <w:r>
        <w:drawing>
          <wp:inline distT="0" distB="0" distL="114300" distR="114300">
            <wp:extent cx="5276850" cy="2967990"/>
            <wp:effectExtent l="0" t="0" r="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76850" cy="2967990"/>
                    </a:xfrm>
                    <a:prstGeom prst="rect">
                      <a:avLst/>
                    </a:prstGeom>
                    <a:noFill/>
                    <a:ln>
                      <a:noFill/>
                    </a:ln>
                  </pic:spPr>
                </pic:pic>
              </a:graphicData>
            </a:graphic>
          </wp:inline>
        </w:drawing>
      </w:r>
    </w:p>
    <w:p>
      <w:pPr>
        <w:spacing w:before="156" w:after="156"/>
        <w:ind w:firstLine="420"/>
      </w:pPr>
    </w:p>
    <w:p>
      <w:pPr>
        <w:spacing w:before="156" w:after="156"/>
        <w:ind w:firstLine="420"/>
      </w:pPr>
    </w:p>
    <w:p>
      <w:pPr>
        <w:spacing w:before="156" w:after="156"/>
        <w:ind w:firstLine="420"/>
        <w:rPr>
          <w:rFonts w:hint="eastAsia"/>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376555</wp:posOffset>
                </wp:positionH>
                <wp:positionV relativeFrom="paragraph">
                  <wp:posOffset>186690</wp:posOffset>
                </wp:positionV>
                <wp:extent cx="5111750" cy="0"/>
                <wp:effectExtent l="0" t="0" r="0" b="0"/>
                <wp:wrapNone/>
                <wp:docPr id="4" name="自选图形 17"/>
                <wp:cNvGraphicFramePr/>
                <a:graphic xmlns:a="http://schemas.openxmlformats.org/drawingml/2006/main">
                  <a:graphicData uri="http://schemas.microsoft.com/office/word/2010/wordprocessingShape">
                    <wps:wsp>
                      <wps:cNvCnPr/>
                      <wps:spPr>
                        <a:xfrm>
                          <a:off x="0" y="0"/>
                          <a:ext cx="51117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7" o:spid="_x0000_s1026" o:spt="32" type="#_x0000_t32" style="position:absolute;left:0pt;margin-left:29.65pt;margin-top:14.7pt;height:0pt;width:402.5pt;z-index:251661312;mso-width-relative:page;mso-height-relative:page;" filled="f" stroked="t" coordsize="21600,21600" o:gfxdata="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oqeAR1gAAAAgBAAAPAAAAAAAA&#10;AAEAIAAAACIAAABkcnMvZG93bnJldi54bWxQSwECFAAUAAAACACHTuJAs7HO6dsBAACWAwAADgAA&#10;AAAAAAABACAAAAAlAQAAZHJzL2Uyb0RvYy54bWxQSwUGAAAAAAYABgBZAQAAcgUAAAAA&#10;">
                <v:fill on="f" focussize="0,0"/>
                <v:stroke color="#000000" joinstyle="round"/>
                <v:imagedata o:title=""/>
                <o:lock v:ext="edit" aspectratio="f"/>
              </v:shape>
            </w:pict>
          </mc:Fallback>
        </mc:AlternateContent>
      </w:r>
    </w:p>
    <w:p>
      <w:pPr>
        <w:pStyle w:val="4"/>
      </w:pPr>
      <w:bookmarkStart w:id="123" w:name="_Toc508624139"/>
      <w:r>
        <w:rPr>
          <w:rFonts w:hint="eastAsia"/>
        </w:rPr>
        <w:t>监管解除凭证</w:t>
      </w:r>
      <w:bookmarkEnd w:id="123"/>
    </w:p>
    <w:p>
      <w:pPr>
        <w:spacing w:before="156" w:after="156"/>
        <w:ind w:firstLine="420"/>
      </w:pPr>
    </w:p>
    <w:p>
      <w:pPr>
        <w:spacing w:before="156" w:after="156"/>
        <w:ind w:firstLine="420"/>
      </w:pPr>
      <w:r>
        <w:drawing>
          <wp:inline distT="0" distB="0" distL="114300" distR="114300">
            <wp:extent cx="5275580" cy="3019425"/>
            <wp:effectExtent l="0" t="0" r="127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5"/>
                    <a:stretch>
                      <a:fillRect/>
                    </a:stretch>
                  </pic:blipFill>
                  <pic:spPr>
                    <a:xfrm>
                      <a:off x="0" y="0"/>
                      <a:ext cx="5275580" cy="3019425"/>
                    </a:xfrm>
                    <a:prstGeom prst="rect">
                      <a:avLst/>
                    </a:prstGeom>
                    <a:noFill/>
                    <a:ln>
                      <a:noFill/>
                    </a:ln>
                  </pic:spPr>
                </pic:pic>
              </a:graphicData>
            </a:graphic>
          </wp:inline>
        </w:drawing>
      </w:r>
    </w:p>
    <w:p>
      <w:pPr>
        <w:spacing w:before="156" w:after="156"/>
        <w:ind w:firstLine="420"/>
      </w:pPr>
      <w:r>
        <mc:AlternateContent>
          <mc:Choice Requires="wps">
            <w:drawing>
              <wp:anchor distT="0" distB="0" distL="114300" distR="114300" simplePos="0" relativeHeight="251662336" behindDoc="0" locked="0" layoutInCell="1" allowOverlap="1">
                <wp:simplePos x="0" y="0"/>
                <wp:positionH relativeFrom="column">
                  <wp:posOffset>319405</wp:posOffset>
                </wp:positionH>
                <wp:positionV relativeFrom="paragraph">
                  <wp:posOffset>162560</wp:posOffset>
                </wp:positionV>
                <wp:extent cx="5257800" cy="0"/>
                <wp:effectExtent l="0" t="0" r="0" b="0"/>
                <wp:wrapNone/>
                <wp:docPr id="5" name="自选图形 18"/>
                <wp:cNvGraphicFramePr/>
                <a:graphic xmlns:a="http://schemas.openxmlformats.org/drawingml/2006/main">
                  <a:graphicData uri="http://schemas.microsoft.com/office/word/2010/wordprocessingShape">
                    <wps:wsp>
                      <wps:cNvCnPr/>
                      <wps:spPr>
                        <a:xfrm>
                          <a:off x="0" y="0"/>
                          <a:ext cx="52578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8" o:spid="_x0000_s1026" o:spt="32" type="#_x0000_t32" style="position:absolute;left:0pt;margin-left:25.15pt;margin-top:12.8pt;height:0pt;width:414pt;z-index:251662336;mso-width-relative:page;mso-height-relative:page;" filled="f" stroked="t" coordsize="21600,21600" o:gfxdata="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i3oIItYAAAAIAQAADwAAAAAAAAAB&#10;ACAAAAAiAAAAZHJzL2Rvd25yZXYueG1sUEsBAhQAFAAAAAgAh07iQMLIZfHZAQAAlgMAAA4AAAAA&#10;AAAAAQAgAAAAJQEAAGRycy9lMm9Eb2MueG1sUEsFBgAAAAAGAAYAWQEAAHAFAAAAAA==&#10;">
                <v:fill on="f" focussize="0,0"/>
                <v:stroke color="#000000" joinstyle="round"/>
                <v:imagedata o:title=""/>
                <o:lock v:ext="edit" aspectratio="f"/>
              </v:shape>
            </w:pict>
          </mc:Fallback>
        </mc:AlternateContent>
      </w:r>
    </w:p>
    <w:p>
      <w:pPr>
        <w:spacing w:before="156" w:after="156"/>
        <w:ind w:firstLine="420"/>
        <w:rPr>
          <w:rFonts w:hint="eastAsia"/>
        </w:rPr>
      </w:pPr>
    </w:p>
    <w:p>
      <w:pPr>
        <w:spacing w:before="156" w:after="156"/>
        <w:ind w:firstLine="420"/>
        <w:rPr>
          <w:rFonts w:hint="eastAsia"/>
        </w:rPr>
      </w:pPr>
    </w:p>
    <w:p>
      <w:pPr>
        <w:spacing w:before="156" w:after="156"/>
        <w:ind w:firstLine="420"/>
        <w:rPr>
          <w:rFonts w:hint="eastAsia"/>
        </w:rPr>
      </w:pPr>
      <w:bookmarkStart w:id="124" w:name="_Toc269917501"/>
      <w:bookmarkStart w:id="125" w:name="_Toc269931827"/>
    </w:p>
    <w:p>
      <w:pPr>
        <w:pStyle w:val="4"/>
      </w:pPr>
      <w:bookmarkStart w:id="126" w:name="_Toc508624140"/>
      <w:r>
        <w:rPr>
          <w:rFonts w:hint="eastAsia"/>
        </w:rPr>
        <w:t>监管终止凭证</w:t>
      </w:r>
      <w:bookmarkEnd w:id="124"/>
      <w:bookmarkEnd w:id="125"/>
      <w:bookmarkEnd w:id="126"/>
    </w:p>
    <w:p>
      <w:pPr>
        <w:spacing w:before="156" w:after="156"/>
        <w:ind w:firstLine="420"/>
        <w:rPr>
          <w:rFonts w:hint="eastAsia"/>
        </w:rPr>
      </w:pPr>
      <w:r>
        <w:drawing>
          <wp:inline distT="0" distB="0" distL="114300" distR="114300">
            <wp:extent cx="5276215" cy="3937000"/>
            <wp:effectExtent l="0" t="0" r="63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6"/>
                    <a:stretch>
                      <a:fillRect/>
                    </a:stretch>
                  </pic:blipFill>
                  <pic:spPr>
                    <a:xfrm>
                      <a:off x="0" y="0"/>
                      <a:ext cx="5276215" cy="3937000"/>
                    </a:xfrm>
                    <a:prstGeom prst="rect">
                      <a:avLst/>
                    </a:prstGeom>
                    <a:noFill/>
                    <a:ln>
                      <a:noFill/>
                    </a:ln>
                  </pic:spPr>
                </pic:pic>
              </a:graphicData>
            </a:graphic>
          </wp:inline>
        </w:drawing>
      </w:r>
    </w:p>
    <w:p>
      <w:pPr>
        <w:pStyle w:val="3"/>
      </w:pPr>
      <w:bookmarkStart w:id="127" w:name="_Toc508624141"/>
      <w:r>
        <w:rPr>
          <w:rFonts w:hint="eastAsia"/>
        </w:rPr>
        <w:t>字典代码</w:t>
      </w:r>
      <w:bookmarkEnd w:id="127"/>
    </w:p>
    <w:tbl>
      <w:tblPr>
        <w:tblStyle w:val="2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711"/>
        <w:gridCol w:w="1059"/>
        <w:gridCol w:w="904"/>
        <w:gridCol w:w="2801"/>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restart"/>
            <w:tcBorders>
              <w:top w:val="double" w:color="auto" w:sz="4" w:space="0"/>
              <w:left w:val="double" w:color="auto" w:sz="4" w:space="0"/>
              <w:bottom w:val="single" w:color="auto" w:sz="6" w:space="0"/>
              <w:right w:val="single" w:color="auto" w:sz="6" w:space="0"/>
            </w:tcBorders>
            <w:shd w:val="clear" w:color="auto" w:fill="E6E6E6"/>
            <w:noWrap w:val="0"/>
            <w:vAlign w:val="center"/>
          </w:tcPr>
          <w:p>
            <w:pPr>
              <w:pStyle w:val="38"/>
              <w:jc w:val="center"/>
            </w:pPr>
            <w:r>
              <w:rPr>
                <w:rFonts w:hint="eastAsia"/>
              </w:rPr>
              <w:t>数据名称</w:t>
            </w:r>
          </w:p>
        </w:tc>
        <w:tc>
          <w:tcPr>
            <w:tcW w:w="711" w:type="dxa"/>
            <w:vMerge w:val="restart"/>
            <w:tcBorders>
              <w:top w:val="double" w:color="auto" w:sz="4" w:space="0"/>
              <w:left w:val="single" w:color="auto" w:sz="6" w:space="0"/>
              <w:bottom w:val="single" w:color="auto" w:sz="6" w:space="0"/>
              <w:right w:val="single" w:color="auto" w:sz="6" w:space="0"/>
            </w:tcBorders>
            <w:shd w:val="clear" w:color="auto" w:fill="E6E6E6"/>
            <w:noWrap w:val="0"/>
            <w:vAlign w:val="center"/>
          </w:tcPr>
          <w:p>
            <w:pPr>
              <w:pStyle w:val="38"/>
              <w:jc w:val="center"/>
            </w:pPr>
            <w:r>
              <w:rPr>
                <w:rFonts w:hint="eastAsia"/>
              </w:rPr>
              <w:t>长度</w:t>
            </w:r>
          </w:p>
        </w:tc>
        <w:tc>
          <w:tcPr>
            <w:tcW w:w="1059" w:type="dxa"/>
            <w:vMerge w:val="restart"/>
            <w:tcBorders>
              <w:top w:val="double" w:color="auto" w:sz="4" w:space="0"/>
              <w:left w:val="single" w:color="auto" w:sz="6" w:space="0"/>
              <w:bottom w:val="single" w:color="auto" w:sz="6" w:space="0"/>
              <w:right w:val="single" w:color="auto" w:sz="6" w:space="0"/>
            </w:tcBorders>
            <w:shd w:val="clear" w:color="auto" w:fill="E6E6E6"/>
            <w:noWrap w:val="0"/>
            <w:vAlign w:val="center"/>
          </w:tcPr>
          <w:p>
            <w:pPr>
              <w:pStyle w:val="38"/>
              <w:jc w:val="center"/>
            </w:pPr>
            <w:r>
              <w:rPr>
                <w:rFonts w:hint="eastAsia"/>
              </w:rPr>
              <w:t>含义</w:t>
            </w:r>
          </w:p>
        </w:tc>
        <w:tc>
          <w:tcPr>
            <w:tcW w:w="3705" w:type="dxa"/>
            <w:gridSpan w:val="2"/>
            <w:tcBorders>
              <w:top w:val="double" w:color="auto" w:sz="4" w:space="0"/>
              <w:left w:val="single" w:color="auto" w:sz="6" w:space="0"/>
              <w:bottom w:val="single" w:color="auto" w:sz="6" w:space="0"/>
              <w:right w:val="single" w:color="auto" w:sz="6" w:space="0"/>
            </w:tcBorders>
            <w:shd w:val="clear" w:color="auto" w:fill="E6E6E6"/>
            <w:noWrap w:val="0"/>
            <w:vAlign w:val="center"/>
          </w:tcPr>
          <w:p>
            <w:pPr>
              <w:pStyle w:val="38"/>
              <w:jc w:val="center"/>
            </w:pPr>
            <w:r>
              <w:rPr>
                <w:rFonts w:hint="eastAsia"/>
              </w:rPr>
              <w:t>字典</w:t>
            </w:r>
          </w:p>
        </w:tc>
        <w:tc>
          <w:tcPr>
            <w:tcW w:w="1407" w:type="dxa"/>
            <w:vMerge w:val="restart"/>
            <w:tcBorders>
              <w:top w:val="double" w:color="auto" w:sz="4" w:space="0"/>
              <w:left w:val="single" w:color="auto" w:sz="6" w:space="0"/>
              <w:bottom w:val="single" w:color="auto" w:sz="6" w:space="0"/>
              <w:right w:val="double" w:color="auto" w:sz="4" w:space="0"/>
            </w:tcBorders>
            <w:shd w:val="clear" w:color="auto" w:fill="E6E6E6"/>
            <w:noWrap w:val="0"/>
            <w:vAlign w:val="center"/>
          </w:tcPr>
          <w:p>
            <w:pPr>
              <w:pStyle w:val="38"/>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top w:val="single" w:color="auto" w:sz="6" w:space="0"/>
              <w:left w:val="double" w:color="auto" w:sz="4" w:space="0"/>
              <w:bottom w:val="double" w:color="auto" w:sz="4" w:space="0"/>
              <w:right w:val="single" w:color="auto" w:sz="6" w:space="0"/>
            </w:tcBorders>
            <w:shd w:val="clear" w:color="auto" w:fill="auto"/>
            <w:noWrap w:val="0"/>
            <w:vAlign w:val="center"/>
          </w:tcPr>
          <w:p>
            <w:pPr>
              <w:pStyle w:val="38"/>
              <w:jc w:val="center"/>
            </w:pPr>
          </w:p>
        </w:tc>
        <w:tc>
          <w:tcPr>
            <w:tcW w:w="711" w:type="dxa"/>
            <w:vMerge w:val="continue"/>
            <w:tcBorders>
              <w:top w:val="single" w:color="auto" w:sz="6" w:space="0"/>
              <w:left w:val="single" w:color="auto" w:sz="6" w:space="0"/>
              <w:bottom w:val="double" w:color="auto" w:sz="4" w:space="0"/>
              <w:right w:val="single" w:color="auto" w:sz="6" w:space="0"/>
            </w:tcBorders>
            <w:shd w:val="clear" w:color="auto" w:fill="auto"/>
            <w:noWrap w:val="0"/>
            <w:vAlign w:val="center"/>
          </w:tcPr>
          <w:p>
            <w:pPr>
              <w:pStyle w:val="38"/>
              <w:jc w:val="center"/>
            </w:pPr>
          </w:p>
        </w:tc>
        <w:tc>
          <w:tcPr>
            <w:tcW w:w="1059" w:type="dxa"/>
            <w:vMerge w:val="continue"/>
            <w:tcBorders>
              <w:top w:val="single" w:color="auto" w:sz="6" w:space="0"/>
              <w:left w:val="single" w:color="auto" w:sz="6" w:space="0"/>
              <w:bottom w:val="double" w:color="auto" w:sz="4" w:space="0"/>
              <w:right w:val="single" w:color="auto" w:sz="6" w:space="0"/>
            </w:tcBorders>
            <w:shd w:val="clear" w:color="auto" w:fill="auto"/>
            <w:noWrap w:val="0"/>
            <w:vAlign w:val="center"/>
          </w:tcPr>
          <w:p>
            <w:pPr>
              <w:pStyle w:val="38"/>
              <w:jc w:val="center"/>
            </w:pPr>
          </w:p>
        </w:tc>
        <w:tc>
          <w:tcPr>
            <w:tcW w:w="904" w:type="dxa"/>
            <w:tcBorders>
              <w:top w:val="single" w:color="auto" w:sz="6" w:space="0"/>
              <w:left w:val="single" w:color="auto" w:sz="6" w:space="0"/>
              <w:bottom w:val="double" w:color="auto" w:sz="4" w:space="0"/>
              <w:right w:val="single" w:color="auto" w:sz="6" w:space="0"/>
            </w:tcBorders>
            <w:shd w:val="clear" w:color="auto" w:fill="E6E6E6"/>
            <w:noWrap w:val="0"/>
            <w:vAlign w:val="center"/>
          </w:tcPr>
          <w:p>
            <w:pPr>
              <w:pStyle w:val="38"/>
              <w:jc w:val="center"/>
            </w:pPr>
            <w:r>
              <w:rPr>
                <w:rFonts w:hint="eastAsia"/>
              </w:rPr>
              <w:t>值</w:t>
            </w:r>
          </w:p>
        </w:tc>
        <w:tc>
          <w:tcPr>
            <w:tcW w:w="2801" w:type="dxa"/>
            <w:tcBorders>
              <w:top w:val="single" w:color="auto" w:sz="6" w:space="0"/>
              <w:left w:val="single" w:color="auto" w:sz="6" w:space="0"/>
              <w:bottom w:val="double" w:color="auto" w:sz="4" w:space="0"/>
              <w:right w:val="single" w:color="auto" w:sz="6" w:space="0"/>
            </w:tcBorders>
            <w:shd w:val="clear" w:color="auto" w:fill="E6E6E6"/>
            <w:noWrap w:val="0"/>
            <w:vAlign w:val="center"/>
          </w:tcPr>
          <w:p>
            <w:pPr>
              <w:pStyle w:val="38"/>
              <w:jc w:val="center"/>
            </w:pPr>
            <w:r>
              <w:rPr>
                <w:rFonts w:hint="eastAsia"/>
              </w:rPr>
              <w:t>内容</w:t>
            </w:r>
          </w:p>
        </w:tc>
        <w:tc>
          <w:tcPr>
            <w:tcW w:w="1407" w:type="dxa"/>
            <w:vMerge w:val="continue"/>
            <w:tcBorders>
              <w:top w:val="single" w:color="auto" w:sz="6" w:space="0"/>
              <w:left w:val="single" w:color="auto" w:sz="6" w:space="0"/>
              <w:bottom w:val="double" w:color="auto" w:sz="4" w:space="0"/>
              <w:right w:val="double" w:color="auto" w:sz="4" w:space="0"/>
            </w:tcBorders>
            <w:noWrap w:val="0"/>
            <w:vAlign w:val="center"/>
          </w:tcPr>
          <w:p>
            <w:pPr>
              <w:pStyle w:val="38"/>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restart"/>
            <w:tcBorders>
              <w:top w:val="double" w:color="auto" w:sz="4" w:space="0"/>
              <w:left w:val="double" w:color="auto" w:sz="4" w:space="0"/>
              <w:right w:val="single" w:color="auto" w:sz="6" w:space="0"/>
            </w:tcBorders>
            <w:noWrap w:val="0"/>
            <w:vAlign w:val="center"/>
          </w:tcPr>
          <w:p>
            <w:pPr>
              <w:pStyle w:val="38"/>
            </w:pPr>
            <w:r>
              <w:rPr>
                <w:rFonts w:hint="eastAsia"/>
              </w:rPr>
              <w:t>监管银行代码</w:t>
            </w:r>
          </w:p>
        </w:tc>
        <w:tc>
          <w:tcPr>
            <w:tcW w:w="711" w:type="dxa"/>
            <w:vMerge w:val="restart"/>
            <w:tcBorders>
              <w:top w:val="double" w:color="auto" w:sz="4" w:space="0"/>
              <w:left w:val="single" w:color="auto" w:sz="6" w:space="0"/>
              <w:right w:val="single" w:color="auto" w:sz="6" w:space="0"/>
            </w:tcBorders>
            <w:noWrap w:val="0"/>
            <w:vAlign w:val="center"/>
          </w:tcPr>
          <w:p>
            <w:pPr>
              <w:pStyle w:val="38"/>
            </w:pPr>
            <w:r>
              <w:rPr>
                <w:rFonts w:hint="eastAsia"/>
              </w:rPr>
              <w:t>2</w:t>
            </w:r>
          </w:p>
        </w:tc>
        <w:tc>
          <w:tcPr>
            <w:tcW w:w="1059" w:type="dxa"/>
            <w:vMerge w:val="restart"/>
            <w:tcBorders>
              <w:top w:val="double" w:color="auto" w:sz="4" w:space="0"/>
              <w:left w:val="single" w:color="auto" w:sz="6" w:space="0"/>
              <w:right w:val="single" w:color="auto" w:sz="6" w:space="0"/>
            </w:tcBorders>
            <w:noWrap w:val="0"/>
            <w:vAlign w:val="center"/>
          </w:tcPr>
          <w:p>
            <w:pPr>
              <w:pStyle w:val="38"/>
            </w:pPr>
          </w:p>
        </w:tc>
        <w:tc>
          <w:tcPr>
            <w:tcW w:w="904" w:type="dxa"/>
            <w:tcBorders>
              <w:top w:val="double" w:color="auto" w:sz="4" w:space="0"/>
              <w:left w:val="single" w:color="auto" w:sz="6" w:space="0"/>
              <w:bottom w:val="single" w:color="auto" w:sz="4" w:space="0"/>
              <w:right w:val="single" w:color="auto" w:sz="6" w:space="0"/>
            </w:tcBorders>
            <w:noWrap w:val="0"/>
            <w:vAlign w:val="center"/>
          </w:tcPr>
          <w:p>
            <w:pPr>
              <w:pStyle w:val="38"/>
            </w:pPr>
            <w:r>
              <w:rPr>
                <w:rFonts w:hint="eastAsia"/>
              </w:rPr>
              <w:t>01</w:t>
            </w:r>
          </w:p>
        </w:tc>
        <w:tc>
          <w:tcPr>
            <w:tcW w:w="2801" w:type="dxa"/>
            <w:tcBorders>
              <w:top w:val="double" w:color="auto" w:sz="4" w:space="0"/>
              <w:left w:val="single" w:color="auto" w:sz="6" w:space="0"/>
              <w:bottom w:val="single" w:color="auto" w:sz="4" w:space="0"/>
              <w:right w:val="single" w:color="auto" w:sz="6" w:space="0"/>
            </w:tcBorders>
            <w:noWrap w:val="0"/>
            <w:vAlign w:val="center"/>
          </w:tcPr>
          <w:p>
            <w:pPr>
              <w:pStyle w:val="38"/>
            </w:pPr>
            <w:r>
              <w:rPr>
                <w:rFonts w:hint="eastAsia"/>
              </w:rPr>
              <w:t>工行</w:t>
            </w:r>
          </w:p>
        </w:tc>
        <w:tc>
          <w:tcPr>
            <w:tcW w:w="1407" w:type="dxa"/>
            <w:tcBorders>
              <w:top w:val="doub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02</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农行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03</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建行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04</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中行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05</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交行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06</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邮储</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07</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浦发</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08</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中信</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09</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招商</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10</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兴业</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11</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光大</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12</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民生</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13</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平安</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14</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华夏</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15</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德州银行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16</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青岛银行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17</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恒丰银行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18</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渤海银行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50</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青海</w:t>
            </w:r>
            <w:r>
              <w:t>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51</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r>
              <w:rPr>
                <w:rFonts w:hint="eastAsia"/>
              </w:rPr>
              <w:t>西宁</w:t>
            </w:r>
            <w:r>
              <w:t>农商银行</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rPr>
                <w:rFonts w:hint="eastAsia"/>
              </w:rPr>
            </w:pPr>
          </w:p>
        </w:tc>
        <w:tc>
          <w:tcPr>
            <w:tcW w:w="711" w:type="dxa"/>
            <w:vMerge w:val="continue"/>
            <w:tcBorders>
              <w:left w:val="single" w:color="auto" w:sz="6" w:space="0"/>
              <w:right w:val="single" w:color="auto" w:sz="6" w:space="0"/>
            </w:tcBorders>
            <w:noWrap w:val="0"/>
            <w:vAlign w:val="center"/>
          </w:tcPr>
          <w:p>
            <w:pPr>
              <w:pStyle w:val="38"/>
              <w:rPr>
                <w:rFonts w:hint="eastAsia"/>
              </w:rPr>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rPr>
                <w:rFonts w:hint="eastAsia"/>
              </w:rPr>
            </w:pP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88" w:hRule="atLeast"/>
        </w:trPr>
        <w:tc>
          <w:tcPr>
            <w:tcW w:w="1686" w:type="dxa"/>
            <w:tcBorders>
              <w:left w:val="double" w:color="auto" w:sz="4" w:space="0"/>
              <w:right w:val="single" w:color="auto" w:sz="6" w:space="0"/>
            </w:tcBorders>
            <w:noWrap w:val="0"/>
            <w:vAlign w:val="center"/>
          </w:tcPr>
          <w:p>
            <w:pPr>
              <w:pStyle w:val="38"/>
              <w:rPr>
                <w:rFonts w:hint="eastAsia"/>
              </w:rPr>
            </w:pPr>
            <w:r>
              <w:rPr>
                <w:rFonts w:hint="eastAsia"/>
              </w:rPr>
              <w:t>城市代码</w:t>
            </w:r>
          </w:p>
        </w:tc>
        <w:tc>
          <w:tcPr>
            <w:tcW w:w="711" w:type="dxa"/>
            <w:tcBorders>
              <w:left w:val="single" w:color="auto" w:sz="6" w:space="0"/>
              <w:right w:val="single" w:color="auto" w:sz="6" w:space="0"/>
            </w:tcBorders>
            <w:noWrap w:val="0"/>
            <w:vAlign w:val="center"/>
          </w:tcPr>
          <w:p>
            <w:pPr>
              <w:pStyle w:val="38"/>
              <w:rPr>
                <w:rFonts w:hint="eastAsia"/>
              </w:rPr>
            </w:pPr>
            <w:r>
              <w:rPr>
                <w:rFonts w:hint="eastAsia"/>
              </w:rPr>
              <w:t>6</w:t>
            </w:r>
          </w:p>
        </w:tc>
        <w:tc>
          <w:tcPr>
            <w:tcW w:w="1059" w:type="dxa"/>
            <w:tcBorders>
              <w:left w:val="single" w:color="auto" w:sz="6" w:space="0"/>
              <w:right w:val="single" w:color="auto" w:sz="6" w:space="0"/>
            </w:tcBorders>
            <w:noWrap w:val="0"/>
            <w:vAlign w:val="center"/>
          </w:tcPr>
          <w:p>
            <w:pPr>
              <w:pStyle w:val="38"/>
            </w:pPr>
            <w:r>
              <w:rPr>
                <w:rFonts w:hint="eastAsia"/>
              </w:rPr>
              <w:t>国家行政区编号</w:t>
            </w:r>
          </w:p>
        </w:tc>
        <w:tc>
          <w:tcPr>
            <w:tcW w:w="5112" w:type="dxa"/>
            <w:gridSpan w:val="3"/>
            <w:tcBorders>
              <w:top w:val="single" w:color="auto" w:sz="4" w:space="0"/>
              <w:left w:val="single" w:color="auto" w:sz="6" w:space="0"/>
              <w:right w:val="double" w:color="auto" w:sz="4" w:space="0"/>
            </w:tcBorders>
            <w:noWrap w:val="0"/>
            <w:vAlign w:val="center"/>
          </w:tcPr>
          <w:p>
            <w:pPr>
              <w:pStyle w:val="38"/>
            </w:pPr>
            <w:r>
              <w:t>以</w:t>
            </w:r>
            <w:r>
              <w:rPr>
                <w:rFonts w:hint="eastAsia"/>
              </w:rPr>
              <w:t>GB</w:t>
            </w:r>
            <w:r>
              <w:t>/T 2260-2007规定的中华人民共和国行政区划代码为准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restart"/>
            <w:tcBorders>
              <w:top w:val="double" w:color="auto" w:sz="4" w:space="0"/>
              <w:left w:val="double" w:color="auto" w:sz="4" w:space="0"/>
              <w:right w:val="single" w:color="auto" w:sz="6" w:space="0"/>
            </w:tcBorders>
            <w:noWrap w:val="0"/>
            <w:vAlign w:val="center"/>
          </w:tcPr>
          <w:p>
            <w:pPr>
              <w:pStyle w:val="38"/>
            </w:pPr>
            <w:r>
              <w:rPr>
                <w:rFonts w:hint="eastAsia"/>
              </w:rPr>
              <w:t>结算方式</w:t>
            </w:r>
          </w:p>
        </w:tc>
        <w:tc>
          <w:tcPr>
            <w:tcW w:w="711" w:type="dxa"/>
            <w:vMerge w:val="restart"/>
            <w:tcBorders>
              <w:top w:val="double" w:color="auto" w:sz="4" w:space="0"/>
              <w:left w:val="single" w:color="auto" w:sz="6" w:space="0"/>
              <w:right w:val="single" w:color="auto" w:sz="6" w:space="0"/>
            </w:tcBorders>
            <w:noWrap w:val="0"/>
            <w:vAlign w:val="center"/>
          </w:tcPr>
          <w:p>
            <w:pPr>
              <w:pStyle w:val="38"/>
            </w:pPr>
            <w:r>
              <w:rPr>
                <w:rFonts w:hint="eastAsia"/>
              </w:rPr>
              <w:t>2</w:t>
            </w:r>
          </w:p>
        </w:tc>
        <w:tc>
          <w:tcPr>
            <w:tcW w:w="1059" w:type="dxa"/>
            <w:vMerge w:val="restart"/>
            <w:tcBorders>
              <w:top w:val="double" w:color="auto" w:sz="4" w:space="0"/>
              <w:left w:val="single" w:color="auto" w:sz="6" w:space="0"/>
              <w:right w:val="single" w:color="auto" w:sz="6" w:space="0"/>
            </w:tcBorders>
            <w:noWrap w:val="0"/>
            <w:vAlign w:val="center"/>
          </w:tcPr>
          <w:p>
            <w:pPr>
              <w:pStyle w:val="38"/>
            </w:pPr>
          </w:p>
        </w:tc>
        <w:tc>
          <w:tcPr>
            <w:tcW w:w="904" w:type="dxa"/>
            <w:tcBorders>
              <w:top w:val="double" w:color="auto" w:sz="4" w:space="0"/>
              <w:left w:val="single" w:color="auto" w:sz="6" w:space="0"/>
              <w:bottom w:val="single" w:color="auto" w:sz="4" w:space="0"/>
              <w:right w:val="single" w:color="auto" w:sz="6" w:space="0"/>
            </w:tcBorders>
            <w:noWrap w:val="0"/>
            <w:vAlign w:val="center"/>
          </w:tcPr>
          <w:p>
            <w:pPr>
              <w:pStyle w:val="38"/>
            </w:pPr>
            <w:r>
              <w:rPr>
                <w:rFonts w:hint="eastAsia"/>
              </w:rPr>
              <w:t>01</w:t>
            </w:r>
          </w:p>
        </w:tc>
        <w:tc>
          <w:tcPr>
            <w:tcW w:w="2801" w:type="dxa"/>
            <w:tcBorders>
              <w:top w:val="double" w:color="auto" w:sz="4" w:space="0"/>
              <w:left w:val="single" w:color="auto" w:sz="6" w:space="0"/>
              <w:bottom w:val="single" w:color="auto" w:sz="4" w:space="0"/>
              <w:right w:val="single" w:color="auto" w:sz="6" w:space="0"/>
            </w:tcBorders>
            <w:noWrap w:val="0"/>
            <w:vAlign w:val="center"/>
          </w:tcPr>
          <w:p>
            <w:pPr>
              <w:pStyle w:val="38"/>
            </w:pPr>
            <w:r>
              <w:rPr>
                <w:rFonts w:hint="eastAsia"/>
              </w:rPr>
              <w:t>现金</w:t>
            </w:r>
          </w:p>
        </w:tc>
        <w:tc>
          <w:tcPr>
            <w:tcW w:w="1407" w:type="dxa"/>
            <w:tcBorders>
              <w:top w:val="doub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pPr>
          </w:p>
        </w:tc>
        <w:tc>
          <w:tcPr>
            <w:tcW w:w="711" w:type="dxa"/>
            <w:vMerge w:val="continue"/>
            <w:tcBorders>
              <w:left w:val="single" w:color="auto" w:sz="6" w:space="0"/>
              <w:right w:val="single" w:color="auto" w:sz="6" w:space="0"/>
            </w:tcBorders>
            <w:noWrap w:val="0"/>
            <w:vAlign w:val="center"/>
          </w:tcPr>
          <w:p>
            <w:pPr>
              <w:pStyle w:val="38"/>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02</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转账</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right w:val="single" w:color="auto" w:sz="6" w:space="0"/>
            </w:tcBorders>
            <w:noWrap w:val="0"/>
            <w:vAlign w:val="center"/>
          </w:tcPr>
          <w:p>
            <w:pPr>
              <w:pStyle w:val="38"/>
            </w:pPr>
          </w:p>
        </w:tc>
        <w:tc>
          <w:tcPr>
            <w:tcW w:w="711" w:type="dxa"/>
            <w:vMerge w:val="continue"/>
            <w:tcBorders>
              <w:left w:val="single" w:color="auto" w:sz="6" w:space="0"/>
              <w:right w:val="single" w:color="auto" w:sz="6" w:space="0"/>
            </w:tcBorders>
            <w:noWrap w:val="0"/>
            <w:vAlign w:val="center"/>
          </w:tcPr>
          <w:p>
            <w:pPr>
              <w:pStyle w:val="38"/>
            </w:pPr>
          </w:p>
        </w:tc>
        <w:tc>
          <w:tcPr>
            <w:tcW w:w="1059" w:type="dxa"/>
            <w:vMerge w:val="continue"/>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03</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支票</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restart"/>
            <w:tcBorders>
              <w:left w:val="double" w:color="auto" w:sz="4" w:space="0"/>
              <w:right w:val="single" w:color="auto" w:sz="6" w:space="0"/>
            </w:tcBorders>
            <w:noWrap w:val="0"/>
            <w:vAlign w:val="center"/>
          </w:tcPr>
          <w:p>
            <w:pPr>
              <w:pStyle w:val="38"/>
            </w:pPr>
            <w:r>
              <w:rPr>
                <w:rFonts w:hint="eastAsia"/>
              </w:rPr>
              <w:t>借贷标志</w:t>
            </w:r>
          </w:p>
        </w:tc>
        <w:tc>
          <w:tcPr>
            <w:tcW w:w="711" w:type="dxa"/>
            <w:vMerge w:val="restart"/>
            <w:tcBorders>
              <w:left w:val="single" w:color="auto" w:sz="6" w:space="0"/>
              <w:right w:val="single" w:color="auto" w:sz="6" w:space="0"/>
            </w:tcBorders>
            <w:noWrap w:val="0"/>
            <w:vAlign w:val="center"/>
          </w:tcPr>
          <w:p>
            <w:pPr>
              <w:pStyle w:val="38"/>
            </w:pPr>
            <w:r>
              <w:rPr>
                <w:rFonts w:hint="eastAsia"/>
              </w:rPr>
              <w:t>1</w:t>
            </w:r>
          </w:p>
        </w:tc>
        <w:tc>
          <w:tcPr>
            <w:tcW w:w="1059" w:type="dxa"/>
            <w:vMerge w:val="restart"/>
            <w:tcBorders>
              <w:left w:val="single" w:color="auto" w:sz="6" w:space="0"/>
              <w:right w:val="single" w:color="auto" w:sz="6" w:space="0"/>
            </w:tcBorders>
            <w:noWrap w:val="0"/>
            <w:vAlign w:val="center"/>
          </w:tcPr>
          <w:p>
            <w:pPr>
              <w:pStyle w:val="38"/>
            </w:pPr>
          </w:p>
        </w:tc>
        <w:tc>
          <w:tcPr>
            <w:tcW w:w="904"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1</w:t>
            </w:r>
          </w:p>
        </w:tc>
        <w:tc>
          <w:tcPr>
            <w:tcW w:w="2801" w:type="dxa"/>
            <w:tcBorders>
              <w:top w:val="single" w:color="auto" w:sz="4" w:space="0"/>
              <w:left w:val="single" w:color="auto" w:sz="6" w:space="0"/>
              <w:bottom w:val="single" w:color="auto" w:sz="4" w:space="0"/>
              <w:right w:val="single" w:color="auto" w:sz="6" w:space="0"/>
            </w:tcBorders>
            <w:noWrap w:val="0"/>
            <w:vAlign w:val="center"/>
          </w:tcPr>
          <w:p>
            <w:pPr>
              <w:pStyle w:val="38"/>
            </w:pPr>
            <w:r>
              <w:rPr>
                <w:rFonts w:hint="eastAsia"/>
              </w:rPr>
              <w:t>借</w:t>
            </w:r>
          </w:p>
        </w:tc>
        <w:tc>
          <w:tcPr>
            <w:tcW w:w="1407" w:type="dxa"/>
            <w:tcBorders>
              <w:top w:val="single" w:color="auto" w:sz="4" w:space="0"/>
              <w:left w:val="single" w:color="auto" w:sz="6" w:space="0"/>
              <w:bottom w:val="single" w:color="auto" w:sz="4" w:space="0"/>
              <w:right w:val="double" w:color="auto" w:sz="4" w:space="0"/>
            </w:tcBorders>
            <w:noWrap w:val="0"/>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1686" w:type="dxa"/>
            <w:vMerge w:val="continue"/>
            <w:tcBorders>
              <w:left w:val="double" w:color="auto" w:sz="4" w:space="0"/>
              <w:bottom w:val="double" w:color="auto" w:sz="4" w:space="0"/>
              <w:right w:val="single" w:color="auto" w:sz="6" w:space="0"/>
            </w:tcBorders>
            <w:noWrap w:val="0"/>
            <w:vAlign w:val="center"/>
          </w:tcPr>
          <w:p>
            <w:pPr>
              <w:pStyle w:val="38"/>
            </w:pPr>
          </w:p>
        </w:tc>
        <w:tc>
          <w:tcPr>
            <w:tcW w:w="711" w:type="dxa"/>
            <w:vMerge w:val="continue"/>
            <w:tcBorders>
              <w:left w:val="single" w:color="auto" w:sz="6" w:space="0"/>
              <w:bottom w:val="double" w:color="auto" w:sz="4" w:space="0"/>
              <w:right w:val="single" w:color="auto" w:sz="6" w:space="0"/>
            </w:tcBorders>
            <w:noWrap w:val="0"/>
            <w:vAlign w:val="center"/>
          </w:tcPr>
          <w:p>
            <w:pPr>
              <w:pStyle w:val="38"/>
            </w:pPr>
          </w:p>
        </w:tc>
        <w:tc>
          <w:tcPr>
            <w:tcW w:w="1059" w:type="dxa"/>
            <w:vMerge w:val="continue"/>
            <w:tcBorders>
              <w:left w:val="single" w:color="auto" w:sz="6" w:space="0"/>
              <w:bottom w:val="double" w:color="auto" w:sz="4" w:space="0"/>
              <w:right w:val="single" w:color="auto" w:sz="6" w:space="0"/>
            </w:tcBorders>
            <w:noWrap w:val="0"/>
            <w:vAlign w:val="center"/>
          </w:tcPr>
          <w:p>
            <w:pPr>
              <w:pStyle w:val="38"/>
            </w:pPr>
          </w:p>
        </w:tc>
        <w:tc>
          <w:tcPr>
            <w:tcW w:w="904" w:type="dxa"/>
            <w:tcBorders>
              <w:top w:val="single" w:color="auto" w:sz="4" w:space="0"/>
              <w:left w:val="single" w:color="auto" w:sz="6" w:space="0"/>
              <w:bottom w:val="double" w:color="auto" w:sz="4" w:space="0"/>
              <w:right w:val="single" w:color="auto" w:sz="6" w:space="0"/>
            </w:tcBorders>
            <w:noWrap w:val="0"/>
            <w:vAlign w:val="center"/>
          </w:tcPr>
          <w:p>
            <w:pPr>
              <w:pStyle w:val="38"/>
            </w:pPr>
            <w:r>
              <w:rPr>
                <w:rFonts w:hint="eastAsia"/>
              </w:rPr>
              <w:t>2</w:t>
            </w:r>
          </w:p>
        </w:tc>
        <w:tc>
          <w:tcPr>
            <w:tcW w:w="2801" w:type="dxa"/>
            <w:tcBorders>
              <w:top w:val="single" w:color="auto" w:sz="4" w:space="0"/>
              <w:left w:val="single" w:color="auto" w:sz="6" w:space="0"/>
              <w:bottom w:val="double" w:color="auto" w:sz="4" w:space="0"/>
              <w:right w:val="single" w:color="auto" w:sz="6" w:space="0"/>
            </w:tcBorders>
            <w:noWrap w:val="0"/>
            <w:vAlign w:val="center"/>
          </w:tcPr>
          <w:p>
            <w:pPr>
              <w:pStyle w:val="38"/>
            </w:pPr>
            <w:r>
              <w:rPr>
                <w:rFonts w:hint="eastAsia"/>
              </w:rPr>
              <w:t>贷</w:t>
            </w:r>
          </w:p>
        </w:tc>
        <w:tc>
          <w:tcPr>
            <w:tcW w:w="1407" w:type="dxa"/>
            <w:tcBorders>
              <w:top w:val="single" w:color="auto" w:sz="4" w:space="0"/>
              <w:left w:val="single" w:color="auto" w:sz="6" w:space="0"/>
              <w:bottom w:val="double" w:color="auto" w:sz="4" w:space="0"/>
              <w:right w:val="double" w:color="auto" w:sz="4" w:space="0"/>
            </w:tcBorders>
            <w:noWrap w:val="0"/>
            <w:vAlign w:val="center"/>
          </w:tcPr>
          <w:p>
            <w:pPr>
              <w:pStyle w:val="38"/>
            </w:pPr>
          </w:p>
        </w:tc>
      </w:tr>
    </w:tbl>
    <w:p>
      <w:pPr>
        <w:pStyle w:val="3"/>
      </w:pPr>
      <w:bookmarkStart w:id="128" w:name="_Toc508624142"/>
      <w:r>
        <w:rPr>
          <w:rFonts w:hint="eastAsia"/>
        </w:rPr>
        <w:t>错误</w:t>
      </w:r>
      <w:r>
        <w:t>码定义</w:t>
      </w:r>
      <w:bookmarkEnd w:id="128"/>
    </w:p>
    <w:tbl>
      <w:tblPr>
        <w:tblStyle w:val="27"/>
        <w:tblW w:w="85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4301"/>
        <w:gridCol w:w="2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shd w:val="clear" w:color="auto" w:fill="D0CECE"/>
            <w:noWrap w:val="0"/>
            <w:vAlign w:val="top"/>
          </w:tcPr>
          <w:p>
            <w:pPr>
              <w:spacing w:before="156" w:after="156"/>
              <w:ind w:firstLine="0" w:firstLineChars="0"/>
              <w:rPr>
                <w:rFonts w:hint="eastAsia"/>
              </w:rPr>
            </w:pPr>
            <w:r>
              <w:rPr>
                <w:rFonts w:hint="eastAsia"/>
              </w:rPr>
              <w:t>错误码</w:t>
            </w:r>
          </w:p>
        </w:tc>
        <w:tc>
          <w:tcPr>
            <w:tcW w:w="4301" w:type="dxa"/>
            <w:shd w:val="clear" w:color="auto" w:fill="D0CECE"/>
            <w:noWrap w:val="0"/>
            <w:vAlign w:val="top"/>
          </w:tcPr>
          <w:p>
            <w:pPr>
              <w:spacing w:before="156" w:after="156"/>
              <w:ind w:firstLine="0" w:firstLineChars="0"/>
              <w:rPr>
                <w:rFonts w:hint="eastAsia"/>
              </w:rPr>
            </w:pPr>
            <w:r>
              <w:rPr>
                <w:rFonts w:hint="eastAsia"/>
              </w:rPr>
              <w:t>错误</w:t>
            </w:r>
            <w:r>
              <w:t>码含义</w:t>
            </w:r>
          </w:p>
        </w:tc>
        <w:tc>
          <w:tcPr>
            <w:tcW w:w="2843" w:type="dxa"/>
            <w:shd w:val="clear" w:color="auto" w:fill="D0CECE"/>
            <w:noWrap w:val="0"/>
            <w:vAlign w:val="top"/>
          </w:tcPr>
          <w:p>
            <w:pPr>
              <w:spacing w:before="156" w:after="156"/>
              <w:ind w:firstLine="0" w:firstLineChars="0"/>
              <w:rPr>
                <w:rFonts w:hint="eastAsia"/>
              </w:rPr>
            </w:pPr>
            <w:r>
              <w:rPr>
                <w:rFonts w:hint="eastAsia"/>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9" w:hRule="atLeast"/>
        </w:trPr>
        <w:tc>
          <w:tcPr>
            <w:tcW w:w="1384" w:type="dxa"/>
            <w:noWrap w:val="0"/>
            <w:vAlign w:val="top"/>
          </w:tcPr>
          <w:p>
            <w:pPr>
              <w:spacing w:before="156" w:after="156"/>
              <w:ind w:firstLine="420"/>
            </w:pPr>
            <w:r>
              <w:t>0000</w:t>
            </w:r>
          </w:p>
        </w:tc>
        <w:tc>
          <w:tcPr>
            <w:tcW w:w="4301" w:type="dxa"/>
            <w:noWrap w:val="0"/>
            <w:vAlign w:val="top"/>
          </w:tcPr>
          <w:p>
            <w:pPr>
              <w:spacing w:before="156" w:after="156"/>
              <w:ind w:firstLine="420"/>
              <w:rPr>
                <w:rFonts w:hint="eastAsia"/>
              </w:rPr>
            </w:pPr>
            <w:r>
              <w:rPr>
                <w:rFonts w:hint="eastAsia"/>
              </w:rPr>
              <w:t>成功</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9" w:hRule="atLeast"/>
        </w:trPr>
        <w:tc>
          <w:tcPr>
            <w:tcW w:w="1384" w:type="dxa"/>
            <w:noWrap w:val="0"/>
            <w:vAlign w:val="top"/>
          </w:tcPr>
          <w:p>
            <w:pPr>
              <w:spacing w:before="156" w:after="156"/>
              <w:ind w:firstLine="420"/>
            </w:pPr>
            <w:r>
              <w:t>1000</w:t>
            </w:r>
          </w:p>
        </w:tc>
        <w:tc>
          <w:tcPr>
            <w:tcW w:w="4301" w:type="dxa"/>
            <w:noWrap w:val="0"/>
            <w:vAlign w:val="top"/>
          </w:tcPr>
          <w:p>
            <w:pPr>
              <w:spacing w:before="156" w:after="156"/>
              <w:ind w:firstLine="420"/>
              <w:rPr>
                <w:rFonts w:hint="eastAsia"/>
              </w:rPr>
            </w:pPr>
            <w:r>
              <w:rPr>
                <w:rFonts w:hint="eastAsia"/>
              </w:rPr>
              <w:t>未找到对应的银行</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1001</w:t>
            </w:r>
          </w:p>
        </w:tc>
        <w:tc>
          <w:tcPr>
            <w:tcW w:w="4301" w:type="dxa"/>
            <w:noWrap w:val="0"/>
            <w:vAlign w:val="top"/>
          </w:tcPr>
          <w:p>
            <w:pPr>
              <w:spacing w:before="156" w:after="156"/>
              <w:ind w:firstLine="420"/>
              <w:rPr>
                <w:rFonts w:hint="eastAsia"/>
              </w:rPr>
            </w:pPr>
            <w:r>
              <w:rPr>
                <w:rFonts w:hint="eastAsia"/>
              </w:rPr>
              <w:t>银行交易已关闭</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1002</w:t>
            </w:r>
          </w:p>
        </w:tc>
        <w:tc>
          <w:tcPr>
            <w:tcW w:w="4301" w:type="dxa"/>
            <w:noWrap w:val="0"/>
            <w:vAlign w:val="top"/>
          </w:tcPr>
          <w:p>
            <w:pPr>
              <w:spacing w:before="156" w:after="156"/>
              <w:ind w:firstLine="420"/>
              <w:rPr>
                <w:rFonts w:hint="eastAsia"/>
              </w:rPr>
            </w:pPr>
            <w:r>
              <w:rPr>
                <w:rFonts w:hint="eastAsia"/>
              </w:rPr>
              <w:t>银行未投产</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1003</w:t>
            </w:r>
          </w:p>
        </w:tc>
        <w:tc>
          <w:tcPr>
            <w:tcW w:w="4301" w:type="dxa"/>
            <w:noWrap w:val="0"/>
            <w:vAlign w:val="top"/>
          </w:tcPr>
          <w:p>
            <w:pPr>
              <w:spacing w:before="156" w:after="156"/>
              <w:ind w:firstLine="420"/>
              <w:rPr>
                <w:rFonts w:hint="eastAsia"/>
              </w:rPr>
            </w:pPr>
            <w:r>
              <w:rPr>
                <w:rFonts w:hint="eastAsia"/>
              </w:rPr>
              <w:t>银行交易日期错误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1004</w:t>
            </w:r>
          </w:p>
        </w:tc>
        <w:tc>
          <w:tcPr>
            <w:tcW w:w="4301" w:type="dxa"/>
            <w:noWrap w:val="0"/>
            <w:vAlign w:val="top"/>
          </w:tcPr>
          <w:p>
            <w:pPr>
              <w:spacing w:before="156" w:after="156"/>
              <w:ind w:firstLine="420"/>
              <w:rPr>
                <w:rFonts w:hint="eastAsia"/>
              </w:rPr>
            </w:pPr>
            <w:r>
              <w:rPr>
                <w:rFonts w:hint="eastAsia"/>
              </w:rPr>
              <w:t>账户类别错误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1005</w:t>
            </w:r>
          </w:p>
        </w:tc>
        <w:tc>
          <w:tcPr>
            <w:tcW w:w="4301" w:type="dxa"/>
            <w:noWrap w:val="0"/>
            <w:vAlign w:val="top"/>
          </w:tcPr>
          <w:p>
            <w:pPr>
              <w:spacing w:before="156" w:after="156"/>
              <w:ind w:firstLine="420"/>
              <w:rPr>
                <w:rFonts w:hint="eastAsia"/>
              </w:rPr>
            </w:pPr>
            <w:r>
              <w:rPr>
                <w:rFonts w:hint="eastAsia"/>
              </w:rPr>
              <w:t>无效的开户证明</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1006</w:t>
            </w:r>
          </w:p>
        </w:tc>
        <w:tc>
          <w:tcPr>
            <w:tcW w:w="4301" w:type="dxa"/>
            <w:noWrap w:val="0"/>
            <w:vAlign w:val="top"/>
          </w:tcPr>
          <w:p>
            <w:pPr>
              <w:spacing w:before="156" w:after="156"/>
              <w:ind w:firstLine="420"/>
              <w:rPr>
                <w:rFonts w:hint="eastAsia"/>
              </w:rPr>
            </w:pPr>
            <w:r>
              <w:rPr>
                <w:rFonts w:hint="eastAsia"/>
              </w:rPr>
              <w:t>开户证明已废弃</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1007</w:t>
            </w:r>
          </w:p>
        </w:tc>
        <w:tc>
          <w:tcPr>
            <w:tcW w:w="4301" w:type="dxa"/>
            <w:noWrap w:val="0"/>
            <w:vAlign w:val="top"/>
          </w:tcPr>
          <w:p>
            <w:pPr>
              <w:spacing w:before="156" w:after="156"/>
              <w:ind w:firstLine="420"/>
              <w:rPr>
                <w:rFonts w:hint="eastAsia"/>
              </w:rPr>
            </w:pPr>
            <w:r>
              <w:rPr>
                <w:rFonts w:hint="eastAsia"/>
              </w:rPr>
              <w:t>开户证明已开户</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1008</w:t>
            </w:r>
          </w:p>
        </w:tc>
        <w:tc>
          <w:tcPr>
            <w:tcW w:w="4301" w:type="dxa"/>
            <w:noWrap w:val="0"/>
            <w:vAlign w:val="top"/>
          </w:tcPr>
          <w:p>
            <w:pPr>
              <w:spacing w:before="156" w:after="156"/>
              <w:ind w:firstLine="420"/>
              <w:rPr>
                <w:rFonts w:hint="eastAsia"/>
              </w:rPr>
            </w:pPr>
            <w:r>
              <w:rPr>
                <w:rFonts w:hint="eastAsia"/>
              </w:rPr>
              <w:t>开户证明状态非法</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1009</w:t>
            </w:r>
          </w:p>
        </w:tc>
        <w:tc>
          <w:tcPr>
            <w:tcW w:w="4301" w:type="dxa"/>
            <w:noWrap w:val="0"/>
            <w:vAlign w:val="top"/>
          </w:tcPr>
          <w:p>
            <w:pPr>
              <w:spacing w:before="156" w:after="156"/>
              <w:ind w:firstLine="420"/>
              <w:rPr>
                <w:rFonts w:hint="eastAsia"/>
              </w:rPr>
            </w:pPr>
            <w:r>
              <w:rPr>
                <w:rFonts w:hint="eastAsia"/>
              </w:rPr>
              <w:t>无效的监管协议</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1010</w:t>
            </w:r>
          </w:p>
        </w:tc>
        <w:tc>
          <w:tcPr>
            <w:tcW w:w="4301" w:type="dxa"/>
            <w:noWrap w:val="0"/>
            <w:vAlign w:val="top"/>
          </w:tcPr>
          <w:p>
            <w:pPr>
              <w:spacing w:before="156" w:after="156"/>
              <w:ind w:firstLine="420"/>
              <w:rPr>
                <w:rFonts w:hint="eastAsia"/>
              </w:rPr>
            </w:pPr>
            <w:r>
              <w:rPr>
                <w:rFonts w:hint="eastAsia"/>
              </w:rPr>
              <w:t>已终止监管监管</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1011</w:t>
            </w:r>
          </w:p>
        </w:tc>
        <w:tc>
          <w:tcPr>
            <w:tcW w:w="4301" w:type="dxa"/>
            <w:noWrap w:val="0"/>
            <w:vAlign w:val="top"/>
          </w:tcPr>
          <w:p>
            <w:pPr>
              <w:spacing w:before="156" w:after="156"/>
              <w:ind w:firstLine="420"/>
              <w:rPr>
                <w:rFonts w:hint="eastAsia"/>
              </w:rPr>
            </w:pPr>
            <w:r>
              <w:rPr>
                <w:rFonts w:hint="eastAsia"/>
              </w:rPr>
              <w:t>无效的终止证明</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1012</w:t>
            </w:r>
          </w:p>
        </w:tc>
        <w:tc>
          <w:tcPr>
            <w:tcW w:w="4301" w:type="dxa"/>
            <w:noWrap w:val="0"/>
            <w:vAlign w:val="top"/>
          </w:tcPr>
          <w:p>
            <w:pPr>
              <w:spacing w:before="156" w:after="156"/>
              <w:ind w:firstLine="420"/>
              <w:rPr>
                <w:rFonts w:hint="eastAsia"/>
              </w:rPr>
            </w:pPr>
            <w:r>
              <w:rPr>
                <w:rFonts w:hint="eastAsia"/>
              </w:rPr>
              <w:t>账户已终止</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1013</w:t>
            </w:r>
          </w:p>
        </w:tc>
        <w:tc>
          <w:tcPr>
            <w:tcW w:w="4301" w:type="dxa"/>
            <w:noWrap w:val="0"/>
            <w:vAlign w:val="top"/>
          </w:tcPr>
          <w:p>
            <w:pPr>
              <w:spacing w:before="156" w:after="156"/>
              <w:ind w:firstLine="420"/>
              <w:rPr>
                <w:rFonts w:hint="eastAsia"/>
              </w:rPr>
            </w:pPr>
            <w:r>
              <w:rPr>
                <w:rFonts w:hint="eastAsia"/>
              </w:rPr>
              <w:t>缴款申请已完成</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1014</w:t>
            </w:r>
          </w:p>
        </w:tc>
        <w:tc>
          <w:tcPr>
            <w:tcW w:w="4301" w:type="dxa"/>
            <w:noWrap w:val="0"/>
            <w:vAlign w:val="top"/>
          </w:tcPr>
          <w:p>
            <w:pPr>
              <w:spacing w:before="156" w:after="156"/>
              <w:ind w:firstLine="420"/>
              <w:rPr>
                <w:rFonts w:hint="eastAsia"/>
              </w:rPr>
            </w:pPr>
            <w:r>
              <w:rPr>
                <w:rFonts w:hint="eastAsia"/>
              </w:rPr>
              <w:t>账户状态不正常</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1015</w:t>
            </w:r>
          </w:p>
        </w:tc>
        <w:tc>
          <w:tcPr>
            <w:tcW w:w="4301" w:type="dxa"/>
            <w:noWrap w:val="0"/>
            <w:vAlign w:val="top"/>
          </w:tcPr>
          <w:p>
            <w:pPr>
              <w:spacing w:before="156" w:after="156"/>
              <w:ind w:firstLine="420"/>
              <w:rPr>
                <w:rFonts w:hint="eastAsia"/>
              </w:rPr>
            </w:pPr>
            <w:r>
              <w:rPr>
                <w:rFonts w:hint="eastAsia"/>
              </w:rPr>
              <w:t>金额不正确</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1016</w:t>
            </w:r>
          </w:p>
        </w:tc>
        <w:tc>
          <w:tcPr>
            <w:tcW w:w="4301" w:type="dxa"/>
            <w:noWrap w:val="0"/>
            <w:vAlign w:val="top"/>
          </w:tcPr>
          <w:p>
            <w:pPr>
              <w:spacing w:before="156" w:after="156"/>
              <w:ind w:firstLine="420"/>
              <w:rPr>
                <w:rFonts w:hint="eastAsia"/>
              </w:rPr>
            </w:pPr>
            <w:r>
              <w:rPr>
                <w:rFonts w:hint="eastAsia"/>
              </w:rPr>
              <w:t>需先进行验证交易</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1017</w:t>
            </w:r>
          </w:p>
        </w:tc>
        <w:tc>
          <w:tcPr>
            <w:tcW w:w="4301" w:type="dxa"/>
            <w:noWrap w:val="0"/>
            <w:vAlign w:val="top"/>
          </w:tcPr>
          <w:p>
            <w:pPr>
              <w:spacing w:before="156" w:after="156"/>
              <w:ind w:firstLine="420"/>
              <w:rPr>
                <w:rFonts w:hint="eastAsia"/>
              </w:rPr>
            </w:pPr>
            <w:r>
              <w:rPr>
                <w:rFonts w:hint="eastAsia"/>
              </w:rPr>
              <w:t>监管账户错误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1018</w:t>
            </w:r>
          </w:p>
        </w:tc>
        <w:tc>
          <w:tcPr>
            <w:tcW w:w="4301" w:type="dxa"/>
            <w:noWrap w:val="0"/>
            <w:vAlign w:val="top"/>
          </w:tcPr>
          <w:p>
            <w:pPr>
              <w:spacing w:before="156" w:after="156"/>
              <w:ind w:firstLine="420"/>
              <w:rPr>
                <w:rFonts w:hint="eastAsia"/>
              </w:rPr>
            </w:pPr>
            <w:r>
              <w:rPr>
                <w:rFonts w:hint="eastAsia"/>
              </w:rPr>
              <w:t>未找到原交易流水</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1019</w:t>
            </w:r>
          </w:p>
        </w:tc>
        <w:tc>
          <w:tcPr>
            <w:tcW w:w="4301" w:type="dxa"/>
            <w:noWrap w:val="0"/>
            <w:vAlign w:val="top"/>
          </w:tcPr>
          <w:p>
            <w:pPr>
              <w:spacing w:before="156" w:after="156"/>
              <w:ind w:firstLine="420"/>
              <w:rPr>
                <w:rFonts w:hint="eastAsia"/>
              </w:rPr>
            </w:pPr>
            <w:r>
              <w:rPr>
                <w:rFonts w:hint="eastAsia"/>
              </w:rPr>
              <w:t>原交易流水冲正已成功</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1020</w:t>
            </w:r>
          </w:p>
        </w:tc>
        <w:tc>
          <w:tcPr>
            <w:tcW w:w="4301" w:type="dxa"/>
            <w:noWrap w:val="0"/>
            <w:vAlign w:val="top"/>
          </w:tcPr>
          <w:p>
            <w:pPr>
              <w:spacing w:before="156" w:after="156"/>
              <w:ind w:firstLine="420"/>
              <w:rPr>
                <w:rFonts w:hint="eastAsia"/>
              </w:rPr>
            </w:pPr>
            <w:r>
              <w:rPr>
                <w:rFonts w:hint="eastAsia"/>
              </w:rPr>
              <w:t>原交易流水已对账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1021</w:t>
            </w:r>
          </w:p>
        </w:tc>
        <w:tc>
          <w:tcPr>
            <w:tcW w:w="4301" w:type="dxa"/>
            <w:noWrap w:val="0"/>
            <w:vAlign w:val="top"/>
          </w:tcPr>
          <w:p>
            <w:pPr>
              <w:spacing w:before="156" w:after="156"/>
              <w:ind w:firstLine="420"/>
              <w:rPr>
                <w:rFonts w:hint="eastAsia"/>
              </w:rPr>
            </w:pPr>
            <w:r>
              <w:rPr>
                <w:rFonts w:hint="eastAsia"/>
              </w:rPr>
              <w:t>银行代码错误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1022</w:t>
            </w:r>
          </w:p>
        </w:tc>
        <w:tc>
          <w:tcPr>
            <w:tcW w:w="4301" w:type="dxa"/>
            <w:noWrap w:val="0"/>
            <w:vAlign w:val="top"/>
          </w:tcPr>
          <w:p>
            <w:pPr>
              <w:spacing w:before="156" w:after="156"/>
              <w:ind w:firstLine="420"/>
              <w:rPr>
                <w:rFonts w:hint="eastAsia"/>
              </w:rPr>
            </w:pPr>
            <w:r>
              <w:rPr>
                <w:rFonts w:hint="eastAsia"/>
              </w:rPr>
              <w:t>业务编号错误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1023</w:t>
            </w:r>
          </w:p>
        </w:tc>
        <w:tc>
          <w:tcPr>
            <w:tcW w:w="4301" w:type="dxa"/>
            <w:noWrap w:val="0"/>
            <w:vAlign w:val="top"/>
          </w:tcPr>
          <w:p>
            <w:pPr>
              <w:spacing w:before="156" w:after="156"/>
              <w:ind w:firstLine="420"/>
              <w:rPr>
                <w:rFonts w:hint="eastAsia"/>
              </w:rPr>
            </w:pPr>
            <w:r>
              <w:rPr>
                <w:rFonts w:hint="eastAsia"/>
              </w:rPr>
              <w:t>支付申请已完成</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1024</w:t>
            </w:r>
          </w:p>
        </w:tc>
        <w:tc>
          <w:tcPr>
            <w:tcW w:w="4301" w:type="dxa"/>
            <w:noWrap w:val="0"/>
            <w:vAlign w:val="top"/>
          </w:tcPr>
          <w:p>
            <w:pPr>
              <w:spacing w:before="156" w:after="156"/>
              <w:ind w:firstLine="420"/>
              <w:rPr>
                <w:rFonts w:hint="eastAsia"/>
              </w:rPr>
            </w:pPr>
            <w:r>
              <w:rPr>
                <w:rFonts w:hint="eastAsia"/>
              </w:rPr>
              <w:t>支付申请已冻结</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1025</w:t>
            </w:r>
          </w:p>
        </w:tc>
        <w:tc>
          <w:tcPr>
            <w:tcW w:w="4301" w:type="dxa"/>
            <w:noWrap w:val="0"/>
            <w:vAlign w:val="top"/>
          </w:tcPr>
          <w:p>
            <w:pPr>
              <w:spacing w:before="156" w:after="156"/>
              <w:ind w:firstLine="420"/>
              <w:rPr>
                <w:rFonts w:hint="eastAsia"/>
              </w:rPr>
            </w:pPr>
            <w:r>
              <w:rPr>
                <w:rFonts w:hint="eastAsia"/>
              </w:rPr>
              <w:t>支付申请已撤销</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1026</w:t>
            </w:r>
          </w:p>
        </w:tc>
        <w:tc>
          <w:tcPr>
            <w:tcW w:w="4301" w:type="dxa"/>
            <w:noWrap w:val="0"/>
            <w:vAlign w:val="top"/>
          </w:tcPr>
          <w:p>
            <w:pPr>
              <w:spacing w:before="156" w:after="156"/>
              <w:ind w:firstLine="420"/>
              <w:rPr>
                <w:rFonts w:hint="eastAsia"/>
              </w:rPr>
            </w:pPr>
            <w:r>
              <w:rPr>
                <w:rFonts w:hint="eastAsia"/>
              </w:rPr>
              <w:t>支付凭证密码错误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1027</w:t>
            </w:r>
          </w:p>
        </w:tc>
        <w:tc>
          <w:tcPr>
            <w:tcW w:w="4301" w:type="dxa"/>
            <w:noWrap w:val="0"/>
            <w:vAlign w:val="top"/>
          </w:tcPr>
          <w:p>
            <w:pPr>
              <w:spacing w:before="156" w:after="156"/>
              <w:ind w:firstLine="420"/>
              <w:rPr>
                <w:rFonts w:hint="eastAsia"/>
              </w:rPr>
            </w:pPr>
            <w:r>
              <w:rPr>
                <w:rFonts w:hint="eastAsia"/>
              </w:rPr>
              <w:t>收款账户错误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1028</w:t>
            </w:r>
          </w:p>
        </w:tc>
        <w:tc>
          <w:tcPr>
            <w:tcW w:w="4301" w:type="dxa"/>
            <w:noWrap w:val="0"/>
            <w:vAlign w:val="top"/>
          </w:tcPr>
          <w:p>
            <w:pPr>
              <w:spacing w:before="156" w:after="156"/>
              <w:ind w:firstLine="420"/>
              <w:rPr>
                <w:rFonts w:hint="eastAsia"/>
              </w:rPr>
            </w:pPr>
            <w:r>
              <w:rPr>
                <w:rFonts w:hint="eastAsia"/>
              </w:rPr>
              <w:t>银行流水号重复</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1029</w:t>
            </w:r>
          </w:p>
        </w:tc>
        <w:tc>
          <w:tcPr>
            <w:tcW w:w="4301" w:type="dxa"/>
            <w:noWrap w:val="0"/>
            <w:vAlign w:val="top"/>
          </w:tcPr>
          <w:p>
            <w:pPr>
              <w:spacing w:before="156" w:after="156"/>
              <w:ind w:firstLine="420"/>
              <w:rPr>
                <w:rFonts w:hint="eastAsia"/>
              </w:rPr>
            </w:pPr>
            <w:r>
              <w:rPr>
                <w:rFonts w:hint="eastAsia"/>
              </w:rPr>
              <w:t>非本行业务</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1030</w:t>
            </w:r>
          </w:p>
        </w:tc>
        <w:tc>
          <w:tcPr>
            <w:tcW w:w="4301" w:type="dxa"/>
            <w:noWrap w:val="0"/>
            <w:vAlign w:val="top"/>
          </w:tcPr>
          <w:p>
            <w:pPr>
              <w:spacing w:before="156" w:after="156"/>
              <w:ind w:firstLine="420"/>
              <w:rPr>
                <w:rFonts w:hint="eastAsia"/>
              </w:rPr>
            </w:pPr>
            <w:r>
              <w:rPr>
                <w:rFonts w:hint="eastAsia"/>
              </w:rPr>
              <w:t>非按揭贷款</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1031</w:t>
            </w:r>
          </w:p>
        </w:tc>
        <w:tc>
          <w:tcPr>
            <w:tcW w:w="4301" w:type="dxa"/>
            <w:noWrap w:val="0"/>
            <w:vAlign w:val="top"/>
          </w:tcPr>
          <w:p>
            <w:pPr>
              <w:spacing w:before="156" w:after="156"/>
              <w:ind w:firstLine="420"/>
              <w:rPr>
                <w:rFonts w:hint="eastAsia"/>
              </w:rPr>
            </w:pPr>
            <w:r>
              <w:rPr>
                <w:rFonts w:hint="eastAsia"/>
              </w:rPr>
              <w:t>首付未交</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1032</w:t>
            </w:r>
          </w:p>
        </w:tc>
        <w:tc>
          <w:tcPr>
            <w:tcW w:w="4301" w:type="dxa"/>
            <w:noWrap w:val="0"/>
            <w:vAlign w:val="top"/>
          </w:tcPr>
          <w:p>
            <w:pPr>
              <w:spacing w:before="156" w:after="156"/>
              <w:ind w:firstLine="420"/>
              <w:rPr>
                <w:rFonts w:hint="eastAsia"/>
              </w:rPr>
            </w:pPr>
            <w:r>
              <w:rPr>
                <w:rFonts w:hint="eastAsia"/>
              </w:rPr>
              <w:t>合同存在未完成的交易</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1033</w:t>
            </w:r>
          </w:p>
        </w:tc>
        <w:tc>
          <w:tcPr>
            <w:tcW w:w="4301" w:type="dxa"/>
            <w:noWrap w:val="0"/>
            <w:vAlign w:val="top"/>
          </w:tcPr>
          <w:p>
            <w:pPr>
              <w:spacing w:before="156" w:after="156"/>
              <w:ind w:firstLine="420"/>
              <w:rPr>
                <w:rFonts w:hint="eastAsia"/>
              </w:rPr>
            </w:pPr>
            <w:r>
              <w:rPr>
                <w:rFonts w:hint="eastAsia"/>
              </w:rPr>
              <w:t>按揭已入账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1034</w:t>
            </w:r>
          </w:p>
        </w:tc>
        <w:tc>
          <w:tcPr>
            <w:tcW w:w="4301" w:type="dxa"/>
            <w:noWrap w:val="0"/>
            <w:vAlign w:val="top"/>
          </w:tcPr>
          <w:p>
            <w:pPr>
              <w:spacing w:before="156" w:after="156"/>
              <w:ind w:firstLine="420"/>
              <w:rPr>
                <w:rFonts w:hint="eastAsia"/>
              </w:rPr>
            </w:pPr>
            <w:r>
              <w:rPr>
                <w:rFonts w:hint="eastAsia"/>
              </w:rPr>
              <w:t>账户余额不足</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1035</w:t>
            </w:r>
          </w:p>
        </w:tc>
        <w:tc>
          <w:tcPr>
            <w:tcW w:w="4301" w:type="dxa"/>
            <w:noWrap w:val="0"/>
            <w:vAlign w:val="top"/>
          </w:tcPr>
          <w:p>
            <w:pPr>
              <w:spacing w:before="156" w:after="156"/>
              <w:ind w:firstLine="420"/>
              <w:rPr>
                <w:rFonts w:hint="eastAsia"/>
              </w:rPr>
            </w:pPr>
            <w:r>
              <w:rPr>
                <w:rFonts w:hint="eastAsia"/>
              </w:rPr>
              <w:t>账户已存在</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1036</w:t>
            </w:r>
          </w:p>
        </w:tc>
        <w:tc>
          <w:tcPr>
            <w:tcW w:w="4301" w:type="dxa"/>
            <w:noWrap w:val="0"/>
            <w:vAlign w:val="top"/>
          </w:tcPr>
          <w:p>
            <w:pPr>
              <w:spacing w:before="156" w:after="156"/>
              <w:ind w:firstLine="420"/>
              <w:rPr>
                <w:rFonts w:hint="eastAsia"/>
              </w:rPr>
            </w:pPr>
            <w:r>
              <w:rPr>
                <w:rFonts w:hint="eastAsia"/>
              </w:rPr>
              <w:t>对账文件不存在</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1037</w:t>
            </w:r>
          </w:p>
        </w:tc>
        <w:tc>
          <w:tcPr>
            <w:tcW w:w="4301" w:type="dxa"/>
            <w:noWrap w:val="0"/>
            <w:vAlign w:val="top"/>
          </w:tcPr>
          <w:p>
            <w:pPr>
              <w:spacing w:before="156" w:after="156"/>
              <w:ind w:firstLine="420"/>
              <w:rPr>
                <w:rFonts w:hint="eastAsia"/>
              </w:rPr>
            </w:pPr>
            <w:r>
              <w:rPr>
                <w:rFonts w:hint="eastAsia"/>
              </w:rPr>
              <w:t>余额文件不存在</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1038</w:t>
            </w:r>
          </w:p>
        </w:tc>
        <w:tc>
          <w:tcPr>
            <w:tcW w:w="4301" w:type="dxa"/>
            <w:noWrap w:val="0"/>
            <w:vAlign w:val="top"/>
          </w:tcPr>
          <w:p>
            <w:pPr>
              <w:spacing w:before="156" w:after="156"/>
              <w:ind w:firstLine="420"/>
              <w:rPr>
                <w:rFonts w:hint="eastAsia"/>
              </w:rPr>
            </w:pPr>
            <w:r>
              <w:rPr>
                <w:rFonts w:hint="eastAsia"/>
              </w:rPr>
              <w:t>对账文件格式不正确</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1039</w:t>
            </w:r>
          </w:p>
        </w:tc>
        <w:tc>
          <w:tcPr>
            <w:tcW w:w="4301" w:type="dxa"/>
            <w:noWrap w:val="0"/>
            <w:vAlign w:val="top"/>
          </w:tcPr>
          <w:p>
            <w:pPr>
              <w:spacing w:before="156" w:after="156"/>
              <w:ind w:firstLine="420"/>
              <w:rPr>
                <w:rFonts w:hint="eastAsia"/>
              </w:rPr>
            </w:pPr>
            <w:r>
              <w:rPr>
                <w:rFonts w:hint="eastAsia"/>
              </w:rPr>
              <w:t>余额文件格式不正确</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1040</w:t>
            </w:r>
          </w:p>
        </w:tc>
        <w:tc>
          <w:tcPr>
            <w:tcW w:w="4301" w:type="dxa"/>
            <w:noWrap w:val="0"/>
            <w:vAlign w:val="top"/>
          </w:tcPr>
          <w:p>
            <w:pPr>
              <w:spacing w:before="156" w:after="156"/>
              <w:ind w:firstLine="420"/>
              <w:rPr>
                <w:rFonts w:hint="eastAsia"/>
              </w:rPr>
            </w:pPr>
            <w:r>
              <w:rPr>
                <w:rFonts w:hint="eastAsia"/>
              </w:rPr>
              <w:t>对账文件汇总金额和明细金额的和不一致</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1041</w:t>
            </w:r>
          </w:p>
        </w:tc>
        <w:tc>
          <w:tcPr>
            <w:tcW w:w="4301" w:type="dxa"/>
            <w:noWrap w:val="0"/>
            <w:vAlign w:val="top"/>
          </w:tcPr>
          <w:p>
            <w:pPr>
              <w:spacing w:before="156" w:after="156"/>
              <w:ind w:firstLine="420"/>
              <w:rPr>
                <w:rFonts w:hint="eastAsia"/>
              </w:rPr>
            </w:pPr>
            <w:r>
              <w:rPr>
                <w:rFonts w:hint="eastAsia"/>
              </w:rPr>
              <w:t>对账文件汇总笔数和明细笔数的和不一致</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1042</w:t>
            </w:r>
          </w:p>
        </w:tc>
        <w:tc>
          <w:tcPr>
            <w:tcW w:w="4301" w:type="dxa"/>
            <w:noWrap w:val="0"/>
            <w:vAlign w:val="top"/>
          </w:tcPr>
          <w:p>
            <w:pPr>
              <w:spacing w:before="156" w:after="156"/>
              <w:ind w:firstLine="420"/>
              <w:rPr>
                <w:rFonts w:hint="eastAsia"/>
              </w:rPr>
            </w:pPr>
            <w:r>
              <w:rPr>
                <w:rFonts w:hint="eastAsia"/>
              </w:rPr>
              <w:t>余额文件账户不全</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1043</w:t>
            </w:r>
          </w:p>
        </w:tc>
        <w:tc>
          <w:tcPr>
            <w:tcW w:w="4301" w:type="dxa"/>
            <w:noWrap w:val="0"/>
            <w:vAlign w:val="top"/>
          </w:tcPr>
          <w:p>
            <w:pPr>
              <w:spacing w:before="156" w:after="156"/>
              <w:ind w:firstLine="420"/>
              <w:rPr>
                <w:rFonts w:hint="eastAsia"/>
              </w:rPr>
            </w:pPr>
            <w:r>
              <w:rPr>
                <w:rFonts w:hint="eastAsia"/>
              </w:rPr>
              <w:t>当日已完成已对账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1044</w:t>
            </w:r>
          </w:p>
        </w:tc>
        <w:tc>
          <w:tcPr>
            <w:tcW w:w="4301" w:type="dxa"/>
            <w:noWrap w:val="0"/>
            <w:vAlign w:val="top"/>
          </w:tcPr>
          <w:p>
            <w:pPr>
              <w:spacing w:before="156" w:after="156"/>
              <w:ind w:firstLine="420"/>
              <w:rPr>
                <w:rFonts w:hint="eastAsia"/>
              </w:rPr>
            </w:pPr>
            <w:r>
              <w:rPr>
                <w:rFonts w:hint="eastAsia"/>
              </w:rPr>
              <w:t>该银行交易模式非银行接口</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1045</w:t>
            </w:r>
          </w:p>
        </w:tc>
        <w:tc>
          <w:tcPr>
            <w:tcW w:w="4301" w:type="dxa"/>
            <w:noWrap w:val="0"/>
            <w:vAlign w:val="top"/>
          </w:tcPr>
          <w:p>
            <w:pPr>
              <w:spacing w:before="156" w:after="156"/>
              <w:ind w:firstLine="420"/>
              <w:rPr>
                <w:rFonts w:hint="eastAsia"/>
              </w:rPr>
            </w:pPr>
            <w:r>
              <w:rPr>
                <w:rFonts w:hint="eastAsia"/>
              </w:rPr>
              <w:t>原交易模式非业务确认交易</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1046</w:t>
            </w:r>
          </w:p>
        </w:tc>
        <w:tc>
          <w:tcPr>
            <w:tcW w:w="4301" w:type="dxa"/>
            <w:noWrap w:val="0"/>
            <w:vAlign w:val="top"/>
          </w:tcPr>
          <w:p>
            <w:pPr>
              <w:spacing w:before="156" w:after="156"/>
              <w:ind w:firstLine="420"/>
              <w:rPr>
                <w:rFonts w:hint="eastAsia"/>
              </w:rPr>
            </w:pPr>
            <w:r>
              <w:rPr>
                <w:rFonts w:hint="eastAsia"/>
              </w:rPr>
              <w:t>原交易模式非业务确认交易</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1047</w:t>
            </w:r>
          </w:p>
        </w:tc>
        <w:tc>
          <w:tcPr>
            <w:tcW w:w="4301" w:type="dxa"/>
            <w:noWrap w:val="0"/>
            <w:vAlign w:val="top"/>
          </w:tcPr>
          <w:p>
            <w:pPr>
              <w:spacing w:before="156" w:after="156"/>
              <w:ind w:firstLine="420"/>
              <w:rPr>
                <w:rFonts w:hint="eastAsia"/>
              </w:rPr>
            </w:pPr>
            <w:r>
              <w:rPr>
                <w:rFonts w:hint="eastAsia"/>
              </w:rPr>
              <w:t>当日尚未完成对账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1048</w:t>
            </w:r>
          </w:p>
        </w:tc>
        <w:tc>
          <w:tcPr>
            <w:tcW w:w="4301" w:type="dxa"/>
            <w:noWrap w:val="0"/>
            <w:vAlign w:val="top"/>
          </w:tcPr>
          <w:p>
            <w:pPr>
              <w:spacing w:before="156" w:after="156"/>
              <w:ind w:firstLine="420"/>
              <w:rPr>
                <w:rFonts w:hint="eastAsia"/>
              </w:rPr>
            </w:pPr>
            <w:r>
              <w:rPr>
                <w:rFonts w:hint="eastAsia"/>
              </w:rPr>
              <w:t>该银行交易模式非银行客户端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1049</w:t>
            </w:r>
          </w:p>
        </w:tc>
        <w:tc>
          <w:tcPr>
            <w:tcW w:w="4301" w:type="dxa"/>
            <w:noWrap w:val="0"/>
            <w:vAlign w:val="top"/>
          </w:tcPr>
          <w:p>
            <w:pPr>
              <w:spacing w:before="156" w:after="156"/>
              <w:ind w:firstLine="420"/>
              <w:rPr>
                <w:rFonts w:hint="eastAsia"/>
              </w:rPr>
            </w:pPr>
            <w:r>
              <w:rPr>
                <w:rFonts w:hint="eastAsia"/>
              </w:rPr>
              <w:t>已完成日终核对</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1050</w:t>
            </w:r>
          </w:p>
        </w:tc>
        <w:tc>
          <w:tcPr>
            <w:tcW w:w="4301" w:type="dxa"/>
            <w:noWrap w:val="0"/>
            <w:vAlign w:val="top"/>
          </w:tcPr>
          <w:p>
            <w:pPr>
              <w:spacing w:before="156" w:after="156"/>
              <w:ind w:firstLine="420"/>
              <w:rPr>
                <w:rFonts w:hint="eastAsia"/>
              </w:rPr>
            </w:pPr>
            <w:r>
              <w:rPr>
                <w:rFonts w:hint="eastAsia"/>
              </w:rPr>
              <w:t>该银行交易未核对</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1051</w:t>
            </w:r>
          </w:p>
        </w:tc>
        <w:tc>
          <w:tcPr>
            <w:tcW w:w="4301" w:type="dxa"/>
            <w:noWrap w:val="0"/>
            <w:vAlign w:val="top"/>
          </w:tcPr>
          <w:p>
            <w:pPr>
              <w:spacing w:before="156" w:after="156"/>
              <w:ind w:firstLine="420"/>
              <w:rPr>
                <w:rFonts w:hint="eastAsia"/>
              </w:rPr>
            </w:pPr>
            <w:r>
              <w:rPr>
                <w:rFonts w:hint="eastAsia"/>
              </w:rPr>
              <w:t>该银行交易交易来源不符合要求</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1052</w:t>
            </w:r>
          </w:p>
        </w:tc>
        <w:tc>
          <w:tcPr>
            <w:tcW w:w="4301" w:type="dxa"/>
            <w:noWrap w:val="0"/>
            <w:vAlign w:val="top"/>
          </w:tcPr>
          <w:p>
            <w:pPr>
              <w:spacing w:before="156" w:after="156"/>
              <w:ind w:firstLine="420"/>
              <w:rPr>
                <w:rFonts w:hint="eastAsia"/>
              </w:rPr>
            </w:pPr>
            <w:r>
              <w:rPr>
                <w:rFonts w:hint="eastAsia"/>
              </w:rPr>
              <w:t>已完成日终结算</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1053</w:t>
            </w:r>
          </w:p>
        </w:tc>
        <w:tc>
          <w:tcPr>
            <w:tcW w:w="4301" w:type="dxa"/>
            <w:noWrap w:val="0"/>
            <w:vAlign w:val="top"/>
          </w:tcPr>
          <w:p>
            <w:pPr>
              <w:spacing w:before="156" w:after="156"/>
              <w:ind w:firstLine="420"/>
              <w:rPr>
                <w:rFonts w:hint="eastAsia"/>
              </w:rPr>
            </w:pPr>
            <w:r>
              <w:rPr>
                <w:rFonts w:hint="eastAsia"/>
              </w:rPr>
              <w:t>监管户的余额没有维护完整</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1054</w:t>
            </w:r>
          </w:p>
        </w:tc>
        <w:tc>
          <w:tcPr>
            <w:tcW w:w="4301" w:type="dxa"/>
            <w:noWrap w:val="0"/>
            <w:vAlign w:val="top"/>
          </w:tcPr>
          <w:p>
            <w:pPr>
              <w:spacing w:before="156" w:after="156"/>
              <w:ind w:firstLine="420"/>
              <w:rPr>
                <w:rFonts w:hint="eastAsia"/>
              </w:rPr>
            </w:pPr>
            <w:r>
              <w:rPr>
                <w:rFonts w:hint="eastAsia"/>
              </w:rPr>
              <w:t>银行端 没有做日结初始化</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1055</w:t>
            </w:r>
          </w:p>
        </w:tc>
        <w:tc>
          <w:tcPr>
            <w:tcW w:w="4301" w:type="dxa"/>
            <w:noWrap w:val="0"/>
            <w:vAlign w:val="top"/>
          </w:tcPr>
          <w:p>
            <w:pPr>
              <w:spacing w:before="156" w:after="156"/>
              <w:ind w:firstLine="420"/>
              <w:rPr>
                <w:rFonts w:hint="eastAsia"/>
              </w:rPr>
            </w:pPr>
            <w:r>
              <w:rPr>
                <w:rFonts w:hint="eastAsia"/>
              </w:rPr>
              <w:t>主管单位已完成当日的对账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1056</w:t>
            </w:r>
          </w:p>
        </w:tc>
        <w:tc>
          <w:tcPr>
            <w:tcW w:w="4301" w:type="dxa"/>
            <w:noWrap w:val="0"/>
            <w:vAlign w:val="top"/>
          </w:tcPr>
          <w:p>
            <w:pPr>
              <w:spacing w:before="156" w:after="156"/>
              <w:ind w:firstLine="420"/>
              <w:rPr>
                <w:rFonts w:hint="eastAsia"/>
              </w:rPr>
            </w:pPr>
            <w:r>
              <w:rPr>
                <w:rFonts w:hint="eastAsia"/>
              </w:rPr>
              <w:t>银行未完成日结处理</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1057</w:t>
            </w:r>
          </w:p>
        </w:tc>
        <w:tc>
          <w:tcPr>
            <w:tcW w:w="4301" w:type="dxa"/>
            <w:noWrap w:val="0"/>
            <w:vAlign w:val="top"/>
          </w:tcPr>
          <w:p>
            <w:pPr>
              <w:spacing w:before="156" w:after="156"/>
              <w:ind w:firstLine="420"/>
              <w:rPr>
                <w:rFonts w:hint="eastAsia"/>
              </w:rPr>
            </w:pPr>
            <w:r>
              <w:rPr>
                <w:rFonts w:hint="eastAsia"/>
              </w:rPr>
              <w:t>调账已经完成</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1058</w:t>
            </w:r>
          </w:p>
        </w:tc>
        <w:tc>
          <w:tcPr>
            <w:tcW w:w="4301" w:type="dxa"/>
            <w:noWrap w:val="0"/>
            <w:vAlign w:val="top"/>
          </w:tcPr>
          <w:p>
            <w:pPr>
              <w:spacing w:before="156" w:after="156"/>
              <w:ind w:firstLine="420"/>
              <w:rPr>
                <w:rFonts w:hint="eastAsia"/>
              </w:rPr>
            </w:pPr>
            <w:r>
              <w:rPr>
                <w:rFonts w:hint="eastAsia"/>
              </w:rPr>
              <w:t>调整类型为冲正</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1059</w:t>
            </w:r>
          </w:p>
        </w:tc>
        <w:tc>
          <w:tcPr>
            <w:tcW w:w="4301" w:type="dxa"/>
            <w:noWrap w:val="0"/>
            <w:vAlign w:val="top"/>
          </w:tcPr>
          <w:p>
            <w:pPr>
              <w:spacing w:before="156" w:after="156"/>
              <w:ind w:firstLine="420"/>
              <w:rPr>
                <w:rFonts w:hint="eastAsia"/>
              </w:rPr>
            </w:pPr>
            <w:r>
              <w:rPr>
                <w:rFonts w:hint="eastAsia"/>
              </w:rPr>
              <w:t>调整类型为补账</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1060</w:t>
            </w:r>
          </w:p>
        </w:tc>
        <w:tc>
          <w:tcPr>
            <w:tcW w:w="4301" w:type="dxa"/>
            <w:noWrap w:val="0"/>
            <w:vAlign w:val="top"/>
          </w:tcPr>
          <w:p>
            <w:pPr>
              <w:spacing w:before="156" w:after="156"/>
              <w:ind w:firstLine="420"/>
              <w:rPr>
                <w:rFonts w:hint="eastAsia"/>
              </w:rPr>
            </w:pPr>
            <w:r>
              <w:rPr>
                <w:rFonts w:hint="eastAsia"/>
              </w:rPr>
              <w:t>支付凭证未找到</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1061</w:t>
            </w:r>
          </w:p>
        </w:tc>
        <w:tc>
          <w:tcPr>
            <w:tcW w:w="4301" w:type="dxa"/>
            <w:noWrap w:val="0"/>
            <w:vAlign w:val="top"/>
          </w:tcPr>
          <w:p>
            <w:pPr>
              <w:spacing w:before="156" w:after="156"/>
              <w:ind w:firstLine="420"/>
              <w:rPr>
                <w:rFonts w:hint="eastAsia"/>
              </w:rPr>
            </w:pPr>
            <w:r>
              <w:rPr>
                <w:rFonts w:hint="eastAsia"/>
              </w:rPr>
              <w:t>冻结账户余额错误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1062</w:t>
            </w:r>
          </w:p>
        </w:tc>
        <w:tc>
          <w:tcPr>
            <w:tcW w:w="4301" w:type="dxa"/>
            <w:noWrap w:val="0"/>
            <w:vAlign w:val="top"/>
          </w:tcPr>
          <w:p>
            <w:pPr>
              <w:spacing w:before="156" w:after="156"/>
              <w:ind w:firstLine="420"/>
              <w:rPr>
                <w:rFonts w:hint="eastAsia"/>
              </w:rPr>
            </w:pPr>
            <w:r>
              <w:rPr>
                <w:rFonts w:hint="eastAsia"/>
              </w:rPr>
              <w:t>解冻账户余额错误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1063</w:t>
            </w:r>
          </w:p>
        </w:tc>
        <w:tc>
          <w:tcPr>
            <w:tcW w:w="4301" w:type="dxa"/>
            <w:noWrap w:val="0"/>
            <w:vAlign w:val="top"/>
          </w:tcPr>
          <w:p>
            <w:pPr>
              <w:spacing w:before="156" w:after="156"/>
              <w:ind w:firstLine="420"/>
              <w:rPr>
                <w:rFonts w:hint="eastAsia"/>
              </w:rPr>
            </w:pPr>
            <w:r>
              <w:rPr>
                <w:rFonts w:hint="eastAsia"/>
              </w:rPr>
              <w:t>非原pos商户</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1064</w:t>
            </w:r>
          </w:p>
        </w:tc>
        <w:tc>
          <w:tcPr>
            <w:tcW w:w="4301" w:type="dxa"/>
            <w:noWrap w:val="0"/>
            <w:vAlign w:val="top"/>
          </w:tcPr>
          <w:p>
            <w:pPr>
              <w:spacing w:before="156" w:after="156"/>
              <w:ind w:firstLine="420"/>
              <w:rPr>
                <w:rFonts w:hint="eastAsia"/>
              </w:rPr>
            </w:pPr>
            <w:r>
              <w:rPr>
                <w:rFonts w:hint="eastAsia"/>
              </w:rPr>
              <w:t>非原pos终端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1065</w:t>
            </w:r>
          </w:p>
        </w:tc>
        <w:tc>
          <w:tcPr>
            <w:tcW w:w="4301" w:type="dxa"/>
            <w:noWrap w:val="0"/>
            <w:vAlign w:val="top"/>
          </w:tcPr>
          <w:p>
            <w:pPr>
              <w:spacing w:before="156" w:after="156"/>
              <w:ind w:firstLine="420"/>
              <w:rPr>
                <w:rFonts w:hint="eastAsia"/>
              </w:rPr>
            </w:pPr>
            <w:r>
              <w:rPr>
                <w:rFonts w:hint="eastAsia"/>
              </w:rPr>
              <w:t>非原交易发起方</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1066</w:t>
            </w:r>
          </w:p>
        </w:tc>
        <w:tc>
          <w:tcPr>
            <w:tcW w:w="4301" w:type="dxa"/>
            <w:noWrap w:val="0"/>
            <w:vAlign w:val="top"/>
          </w:tcPr>
          <w:p>
            <w:pPr>
              <w:spacing w:before="156" w:after="156"/>
              <w:ind w:firstLine="420"/>
              <w:rPr>
                <w:rFonts w:hint="eastAsia"/>
              </w:rPr>
            </w:pPr>
            <w:r>
              <w:rPr>
                <w:rFonts w:hint="eastAsia"/>
              </w:rPr>
              <w:t>金额不一致</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7777</w:t>
            </w:r>
          </w:p>
        </w:tc>
        <w:tc>
          <w:tcPr>
            <w:tcW w:w="4301" w:type="dxa"/>
            <w:noWrap w:val="0"/>
            <w:vAlign w:val="top"/>
          </w:tcPr>
          <w:p>
            <w:pPr>
              <w:spacing w:before="156" w:after="156"/>
              <w:ind w:firstLine="420"/>
              <w:rPr>
                <w:rFonts w:hint="eastAsia"/>
              </w:rPr>
            </w:pPr>
            <w:r>
              <w:rPr>
                <w:rFonts w:hint="eastAsia"/>
              </w:rPr>
              <w:t>计算重点资金异常</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7778</w:t>
            </w:r>
          </w:p>
        </w:tc>
        <w:tc>
          <w:tcPr>
            <w:tcW w:w="4301" w:type="dxa"/>
            <w:noWrap w:val="0"/>
            <w:vAlign w:val="top"/>
          </w:tcPr>
          <w:p>
            <w:pPr>
              <w:spacing w:before="156" w:after="156"/>
              <w:ind w:firstLine="420"/>
              <w:rPr>
                <w:rFonts w:hint="eastAsia"/>
              </w:rPr>
            </w:pPr>
            <w:r>
              <w:rPr>
                <w:rFonts w:hint="eastAsia"/>
              </w:rPr>
              <w:t>拨款时终止监管失败</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9001</w:t>
            </w:r>
          </w:p>
        </w:tc>
        <w:tc>
          <w:tcPr>
            <w:tcW w:w="4301" w:type="dxa"/>
            <w:noWrap w:val="0"/>
            <w:vAlign w:val="top"/>
          </w:tcPr>
          <w:p>
            <w:pPr>
              <w:spacing w:before="156" w:after="156"/>
              <w:ind w:firstLine="420"/>
              <w:rPr>
                <w:rFonts w:hint="eastAsia"/>
              </w:rPr>
            </w:pPr>
            <w:r>
              <w:rPr>
                <w:rFonts w:hint="eastAsia"/>
              </w:rPr>
              <w:t>pos商户未绑定监管账号或绑定不正常</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9006</w:t>
            </w:r>
          </w:p>
        </w:tc>
        <w:tc>
          <w:tcPr>
            <w:tcW w:w="4301" w:type="dxa"/>
            <w:noWrap w:val="0"/>
            <w:vAlign w:val="top"/>
          </w:tcPr>
          <w:p>
            <w:pPr>
              <w:spacing w:before="156" w:after="156"/>
              <w:ind w:firstLine="420"/>
              <w:rPr>
                <w:rFonts w:hint="eastAsia"/>
              </w:rPr>
            </w:pPr>
            <w:r>
              <w:rPr>
                <w:rFonts w:hint="eastAsia"/>
              </w:rPr>
              <w:t>交易类型错误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9900</w:t>
            </w:r>
          </w:p>
        </w:tc>
        <w:tc>
          <w:tcPr>
            <w:tcW w:w="4301" w:type="dxa"/>
            <w:noWrap w:val="0"/>
            <w:vAlign w:val="top"/>
          </w:tcPr>
          <w:p>
            <w:pPr>
              <w:spacing w:before="156" w:after="156"/>
              <w:ind w:firstLine="420"/>
              <w:rPr>
                <w:rFonts w:hint="eastAsia"/>
              </w:rPr>
            </w:pPr>
            <w:r>
              <w:rPr>
                <w:rFonts w:hint="eastAsia"/>
              </w:rPr>
              <w:t>数据格式不正确</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9901</w:t>
            </w:r>
          </w:p>
        </w:tc>
        <w:tc>
          <w:tcPr>
            <w:tcW w:w="4301" w:type="dxa"/>
            <w:noWrap w:val="0"/>
            <w:vAlign w:val="top"/>
          </w:tcPr>
          <w:p>
            <w:pPr>
              <w:spacing w:before="156" w:after="156"/>
              <w:ind w:firstLine="420"/>
              <w:rPr>
                <w:rFonts w:hint="eastAsia"/>
              </w:rPr>
            </w:pPr>
            <w:r>
              <w:rPr>
                <w:rFonts w:hint="eastAsia"/>
              </w:rPr>
              <w:t>数据错误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9902</w:t>
            </w:r>
          </w:p>
        </w:tc>
        <w:tc>
          <w:tcPr>
            <w:tcW w:w="4301" w:type="dxa"/>
            <w:noWrap w:val="0"/>
            <w:vAlign w:val="top"/>
          </w:tcPr>
          <w:p>
            <w:pPr>
              <w:spacing w:before="156" w:after="156"/>
              <w:ind w:firstLine="420"/>
              <w:rPr>
                <w:rFonts w:hint="eastAsia"/>
              </w:rPr>
            </w:pPr>
            <w:r>
              <w:rPr>
                <w:rFonts w:hint="eastAsia"/>
              </w:rPr>
              <w:t>业务状态不正常</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9903</w:t>
            </w:r>
          </w:p>
        </w:tc>
        <w:tc>
          <w:tcPr>
            <w:tcW w:w="4301" w:type="dxa"/>
            <w:noWrap w:val="0"/>
            <w:vAlign w:val="top"/>
          </w:tcPr>
          <w:p>
            <w:pPr>
              <w:spacing w:before="156" w:after="156"/>
              <w:ind w:firstLine="420"/>
              <w:rPr>
                <w:rFonts w:hint="eastAsia"/>
              </w:rPr>
            </w:pPr>
            <w:r>
              <w:rPr>
                <w:rFonts w:hint="eastAsia"/>
              </w:rPr>
              <w:t>业务编号错误,或业务不存在</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9904</w:t>
            </w:r>
          </w:p>
        </w:tc>
        <w:tc>
          <w:tcPr>
            <w:tcW w:w="4301" w:type="dxa"/>
            <w:noWrap w:val="0"/>
            <w:vAlign w:val="top"/>
          </w:tcPr>
          <w:p>
            <w:pPr>
              <w:spacing w:before="156" w:after="156"/>
              <w:ind w:firstLine="420"/>
              <w:rPr>
                <w:rFonts w:hint="eastAsia"/>
              </w:rPr>
            </w:pPr>
            <w:r>
              <w:rPr>
                <w:rFonts w:hint="eastAsia"/>
              </w:rPr>
              <w:t>交易记录数据不正常</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9905</w:t>
            </w:r>
          </w:p>
        </w:tc>
        <w:tc>
          <w:tcPr>
            <w:tcW w:w="4301" w:type="dxa"/>
            <w:noWrap w:val="0"/>
            <w:vAlign w:val="top"/>
          </w:tcPr>
          <w:p>
            <w:pPr>
              <w:spacing w:before="156" w:after="156"/>
              <w:ind w:firstLine="420"/>
              <w:rPr>
                <w:rFonts w:hint="eastAsia"/>
              </w:rPr>
            </w:pPr>
            <w:r>
              <w:rPr>
                <w:rFonts w:hint="eastAsia"/>
              </w:rPr>
              <w:t>交易已过期</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9906</w:t>
            </w:r>
          </w:p>
        </w:tc>
        <w:tc>
          <w:tcPr>
            <w:tcW w:w="4301" w:type="dxa"/>
            <w:noWrap w:val="0"/>
            <w:vAlign w:val="top"/>
          </w:tcPr>
          <w:p>
            <w:pPr>
              <w:spacing w:before="156" w:after="156"/>
              <w:ind w:firstLine="420"/>
              <w:rPr>
                <w:rFonts w:hint="eastAsia"/>
              </w:rPr>
            </w:pPr>
            <w:r>
              <w:rPr>
                <w:rFonts w:hint="eastAsia"/>
              </w:rPr>
              <w:t>贷款金额大于剩余应交金额</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9906</w:t>
            </w:r>
          </w:p>
        </w:tc>
        <w:tc>
          <w:tcPr>
            <w:tcW w:w="4301" w:type="dxa"/>
            <w:noWrap w:val="0"/>
            <w:vAlign w:val="top"/>
          </w:tcPr>
          <w:p>
            <w:pPr>
              <w:spacing w:before="156" w:after="156"/>
              <w:ind w:firstLine="420"/>
              <w:rPr>
                <w:rFonts w:hint="eastAsia"/>
              </w:rPr>
            </w:pPr>
            <w:r>
              <w:rPr>
                <w:rFonts w:hint="eastAsia"/>
              </w:rPr>
              <w:t>贷款金额大于剩余应交金额</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9907</w:t>
            </w:r>
          </w:p>
        </w:tc>
        <w:tc>
          <w:tcPr>
            <w:tcW w:w="4301" w:type="dxa"/>
            <w:noWrap w:val="0"/>
            <w:vAlign w:val="top"/>
          </w:tcPr>
          <w:p>
            <w:pPr>
              <w:spacing w:before="156" w:after="156"/>
              <w:ind w:firstLine="420"/>
              <w:rPr>
                <w:rFonts w:hint="eastAsia"/>
              </w:rPr>
            </w:pPr>
            <w:r>
              <w:rPr>
                <w:rFonts w:hint="eastAsia"/>
              </w:rPr>
              <w:t>未找到该合同信息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9908</w:t>
            </w:r>
          </w:p>
        </w:tc>
        <w:tc>
          <w:tcPr>
            <w:tcW w:w="4301" w:type="dxa"/>
            <w:noWrap w:val="0"/>
            <w:vAlign w:val="top"/>
          </w:tcPr>
          <w:p>
            <w:pPr>
              <w:spacing w:before="156" w:after="156"/>
              <w:ind w:firstLine="420"/>
              <w:rPr>
                <w:rFonts w:hint="eastAsia"/>
              </w:rPr>
            </w:pPr>
            <w:r>
              <w:rPr>
                <w:rFonts w:hint="eastAsia"/>
              </w:rPr>
              <w:t>未找到楼幢信息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9909</w:t>
            </w:r>
          </w:p>
        </w:tc>
        <w:tc>
          <w:tcPr>
            <w:tcW w:w="4301" w:type="dxa"/>
            <w:noWrap w:val="0"/>
            <w:vAlign w:val="top"/>
          </w:tcPr>
          <w:p>
            <w:pPr>
              <w:spacing w:before="156" w:after="156"/>
              <w:ind w:firstLine="420"/>
              <w:rPr>
                <w:rFonts w:hint="eastAsia"/>
              </w:rPr>
            </w:pPr>
            <w:r>
              <w:rPr>
                <w:rFonts w:hint="eastAsia"/>
              </w:rPr>
              <w:t>贷款金额小于0</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9910</w:t>
            </w:r>
          </w:p>
        </w:tc>
        <w:tc>
          <w:tcPr>
            <w:tcW w:w="4301" w:type="dxa"/>
            <w:noWrap w:val="0"/>
            <w:vAlign w:val="top"/>
          </w:tcPr>
          <w:p>
            <w:pPr>
              <w:spacing w:before="156" w:after="156"/>
              <w:ind w:firstLine="420"/>
              <w:rPr>
                <w:rFonts w:hint="eastAsia"/>
              </w:rPr>
            </w:pPr>
            <w:r>
              <w:rPr>
                <w:rFonts w:hint="eastAsia"/>
              </w:rPr>
              <w:t>未找到账户信息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9911</w:t>
            </w:r>
          </w:p>
        </w:tc>
        <w:tc>
          <w:tcPr>
            <w:tcW w:w="4301" w:type="dxa"/>
            <w:noWrap w:val="0"/>
            <w:vAlign w:val="top"/>
          </w:tcPr>
          <w:p>
            <w:pPr>
              <w:spacing w:before="156" w:after="156"/>
              <w:ind w:firstLine="420"/>
              <w:rPr>
                <w:rFonts w:hint="eastAsia"/>
              </w:rPr>
            </w:pPr>
            <w:r>
              <w:rPr>
                <w:rFonts w:hint="eastAsia"/>
              </w:rPr>
              <w:t>该账户已终止监管</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9921</w:t>
            </w:r>
          </w:p>
        </w:tc>
        <w:tc>
          <w:tcPr>
            <w:tcW w:w="4301" w:type="dxa"/>
            <w:noWrap w:val="0"/>
            <w:vAlign w:val="top"/>
          </w:tcPr>
          <w:p>
            <w:pPr>
              <w:spacing w:before="156" w:after="156"/>
              <w:ind w:firstLine="420"/>
              <w:rPr>
                <w:rFonts w:hint="eastAsia"/>
              </w:rPr>
            </w:pPr>
            <w:r>
              <w:rPr>
                <w:rFonts w:hint="eastAsia"/>
              </w:rPr>
              <w:t>合同已撤销</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9955</w:t>
            </w:r>
          </w:p>
        </w:tc>
        <w:tc>
          <w:tcPr>
            <w:tcW w:w="4301" w:type="dxa"/>
            <w:noWrap w:val="0"/>
            <w:vAlign w:val="top"/>
          </w:tcPr>
          <w:p>
            <w:pPr>
              <w:spacing w:before="156" w:after="156"/>
              <w:ind w:firstLine="420"/>
              <w:rPr>
                <w:rFonts w:hint="eastAsia"/>
              </w:rPr>
            </w:pPr>
            <w:r>
              <w:rPr>
                <w:rFonts w:hint="eastAsia"/>
              </w:rPr>
              <w:t>计算资金情况缺少必要值</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9997</w:t>
            </w:r>
          </w:p>
        </w:tc>
        <w:tc>
          <w:tcPr>
            <w:tcW w:w="4301" w:type="dxa"/>
            <w:noWrap w:val="0"/>
            <w:vAlign w:val="top"/>
          </w:tcPr>
          <w:p>
            <w:pPr>
              <w:spacing w:before="156" w:after="156"/>
              <w:ind w:firstLine="420"/>
              <w:rPr>
                <w:rFonts w:hint="eastAsia"/>
              </w:rPr>
            </w:pPr>
            <w:r>
              <w:rPr>
                <w:rFonts w:hint="eastAsia"/>
              </w:rPr>
              <w:t>监管账户余额不足</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9998</w:t>
            </w:r>
          </w:p>
        </w:tc>
        <w:tc>
          <w:tcPr>
            <w:tcW w:w="4301" w:type="dxa"/>
            <w:noWrap w:val="0"/>
            <w:vAlign w:val="top"/>
          </w:tcPr>
          <w:p>
            <w:pPr>
              <w:spacing w:before="156" w:after="156"/>
              <w:ind w:firstLine="420"/>
              <w:rPr>
                <w:rFonts w:hint="eastAsia"/>
              </w:rPr>
            </w:pPr>
            <w:r>
              <w:rPr>
                <w:rFonts w:hint="eastAsia"/>
              </w:rPr>
              <w:t>交易码错误</w:t>
            </w:r>
          </w:p>
        </w:tc>
        <w:tc>
          <w:tcPr>
            <w:tcW w:w="2843" w:type="dxa"/>
            <w:noWrap w:val="0"/>
            <w:vAlign w:val="top"/>
          </w:tcPr>
          <w:p>
            <w:pPr>
              <w:spacing w:before="156" w:after="156"/>
              <w:ind w:firstLine="0" w:firstLineChars="0"/>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0" w:hRule="atLeast"/>
        </w:trPr>
        <w:tc>
          <w:tcPr>
            <w:tcW w:w="1384" w:type="dxa"/>
            <w:noWrap w:val="0"/>
            <w:vAlign w:val="top"/>
          </w:tcPr>
          <w:p>
            <w:pPr>
              <w:spacing w:before="156" w:after="156"/>
              <w:ind w:firstLine="420"/>
            </w:pPr>
            <w:r>
              <w:t>9999</w:t>
            </w:r>
          </w:p>
        </w:tc>
        <w:tc>
          <w:tcPr>
            <w:tcW w:w="4301" w:type="dxa"/>
            <w:noWrap w:val="0"/>
            <w:vAlign w:val="top"/>
          </w:tcPr>
          <w:p>
            <w:pPr>
              <w:spacing w:before="156" w:after="156"/>
              <w:ind w:firstLine="420"/>
            </w:pPr>
            <w:r>
              <w:rPr>
                <w:rFonts w:hint="eastAsia"/>
              </w:rPr>
              <w:t>系统错误,内部出现异常</w:t>
            </w:r>
          </w:p>
        </w:tc>
        <w:tc>
          <w:tcPr>
            <w:tcW w:w="2843" w:type="dxa"/>
            <w:noWrap w:val="0"/>
            <w:vAlign w:val="top"/>
          </w:tcPr>
          <w:p>
            <w:pPr>
              <w:spacing w:before="156" w:after="156"/>
              <w:ind w:firstLine="0" w:firstLineChars="0"/>
              <w:rPr>
                <w:rFonts w:hint="eastAsia"/>
              </w:rPr>
            </w:pPr>
          </w:p>
        </w:tc>
      </w:tr>
    </w:tbl>
    <w:p>
      <w:pPr>
        <w:spacing w:before="156" w:after="156"/>
        <w:ind w:firstLine="420"/>
        <w:rPr>
          <w:rFonts w:hint="eastAsia"/>
        </w:rPr>
      </w:pPr>
    </w:p>
    <w:p>
      <w:pPr>
        <w:spacing w:before="156" w:after="156"/>
        <w:ind w:firstLine="420"/>
        <w:rPr>
          <w:rFonts w:hint="eastAsia"/>
        </w:rPr>
      </w:pPr>
    </w:p>
    <w:p>
      <w:pPr>
        <w:pStyle w:val="34"/>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00" w:usb3="00000000" w:csb0="00040000"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120" w:after="120"/>
      <w:ind w:firstLine="0" w:firstLineChars="0"/>
    </w:pPr>
    <w:r>
      <w:rPr>
        <w:rFonts w:hint="eastAsia"/>
        <w:kern w:val="0"/>
        <w:szCs w:val="21"/>
      </w:rPr>
      <w:tab/>
    </w:r>
    <w:r>
      <w:rPr>
        <w:rFonts w:hint="eastAsia"/>
        <w:kern w:val="0"/>
        <w:szCs w:val="21"/>
      </w:rPr>
      <w:tab/>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50</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51</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120" w:after="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0" w:firstLineChars="0"/>
      <w:jc w:val="both"/>
    </w:pPr>
    <w:r>
      <w:rPr>
        <w:rFonts w:hint="eastAsia"/>
      </w:rPr>
      <w:t>预售资金监管承办银行接口说明书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000002"/>
    <w:multiLevelType w:val="multilevel"/>
    <w:tmpl w:val="00000002"/>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5"/>
    <w:multiLevelType w:val="multilevel"/>
    <w:tmpl w:val="00000005"/>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12"/>
    <w:multiLevelType w:val="multilevel"/>
    <w:tmpl w:val="00000012"/>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6"/>
    <w:multiLevelType w:val="multilevel"/>
    <w:tmpl w:val="00000016"/>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9"/>
    <w:multiLevelType w:val="multilevel"/>
    <w:tmpl w:val="0000001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20"/>
    <w:multiLevelType w:val="multilevel"/>
    <w:tmpl w:val="0000002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2A"/>
    <w:multiLevelType w:val="multilevel"/>
    <w:tmpl w:val="0000002A"/>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2B"/>
    <w:multiLevelType w:val="multilevel"/>
    <w:tmpl w:val="0000002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462330"/>
    <w:multiLevelType w:val="multilevel"/>
    <w:tmpl w:val="0046233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D80BED"/>
    <w:multiLevelType w:val="multilevel"/>
    <w:tmpl w:val="00D80BE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38668F8"/>
    <w:multiLevelType w:val="multilevel"/>
    <w:tmpl w:val="038668F8"/>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40D10D3"/>
    <w:multiLevelType w:val="multilevel"/>
    <w:tmpl w:val="040D10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09B17872"/>
    <w:multiLevelType w:val="multilevel"/>
    <w:tmpl w:val="09B17872"/>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9C45389"/>
    <w:multiLevelType w:val="multilevel"/>
    <w:tmpl w:val="09C4538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5">
    <w:nsid w:val="10135AB6"/>
    <w:multiLevelType w:val="multilevel"/>
    <w:tmpl w:val="10135AB6"/>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123B04F4"/>
    <w:multiLevelType w:val="multilevel"/>
    <w:tmpl w:val="123B04F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7">
    <w:nsid w:val="12DA790B"/>
    <w:multiLevelType w:val="multilevel"/>
    <w:tmpl w:val="12DA790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15576F1B"/>
    <w:multiLevelType w:val="multilevel"/>
    <w:tmpl w:val="15576F1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5756198"/>
    <w:multiLevelType w:val="multilevel"/>
    <w:tmpl w:val="157561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65B47CD"/>
    <w:multiLevelType w:val="multilevel"/>
    <w:tmpl w:val="165B47C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1737422F"/>
    <w:multiLevelType w:val="multilevel"/>
    <w:tmpl w:val="17374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184B1CC4"/>
    <w:multiLevelType w:val="multilevel"/>
    <w:tmpl w:val="184B1CC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23">
    <w:nsid w:val="1AD45ED9"/>
    <w:multiLevelType w:val="multilevel"/>
    <w:tmpl w:val="1AD45ED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1AD5110B"/>
    <w:multiLevelType w:val="multilevel"/>
    <w:tmpl w:val="1AD511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1C2C7A4B"/>
    <w:multiLevelType w:val="multilevel"/>
    <w:tmpl w:val="1C2C7A4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1FA700C4"/>
    <w:multiLevelType w:val="multilevel"/>
    <w:tmpl w:val="1FA700C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22374E6A"/>
    <w:multiLevelType w:val="multilevel"/>
    <w:tmpl w:val="22374E6A"/>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28">
    <w:nsid w:val="227F151E"/>
    <w:multiLevelType w:val="multilevel"/>
    <w:tmpl w:val="227F151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9">
    <w:nsid w:val="2410348C"/>
    <w:multiLevelType w:val="multilevel"/>
    <w:tmpl w:val="2410348C"/>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251144D7"/>
    <w:multiLevelType w:val="multilevel"/>
    <w:tmpl w:val="251144D7"/>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1">
    <w:nsid w:val="25833F10"/>
    <w:multiLevelType w:val="multilevel"/>
    <w:tmpl w:val="25833F1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27F3524C"/>
    <w:multiLevelType w:val="multilevel"/>
    <w:tmpl w:val="27F3524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BD660B4"/>
    <w:multiLevelType w:val="multilevel"/>
    <w:tmpl w:val="2BD660B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4">
    <w:nsid w:val="340C66AF"/>
    <w:multiLevelType w:val="multilevel"/>
    <w:tmpl w:val="340C66AF"/>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342659A3"/>
    <w:multiLevelType w:val="multilevel"/>
    <w:tmpl w:val="342659A3"/>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6">
    <w:nsid w:val="34612AB7"/>
    <w:multiLevelType w:val="multilevel"/>
    <w:tmpl w:val="34612AB7"/>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7">
    <w:nsid w:val="353F5DAB"/>
    <w:multiLevelType w:val="multilevel"/>
    <w:tmpl w:val="353F5DA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8">
    <w:nsid w:val="38B41F30"/>
    <w:multiLevelType w:val="multilevel"/>
    <w:tmpl w:val="38B41F3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3A940B3D"/>
    <w:multiLevelType w:val="multilevel"/>
    <w:tmpl w:val="3A940B3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0">
    <w:nsid w:val="3AAD516A"/>
    <w:multiLevelType w:val="multilevel"/>
    <w:tmpl w:val="3AAD516A"/>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3C4021CA"/>
    <w:multiLevelType w:val="multilevel"/>
    <w:tmpl w:val="3C4021CA"/>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3D536353"/>
    <w:multiLevelType w:val="multilevel"/>
    <w:tmpl w:val="3D536353"/>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43">
    <w:nsid w:val="3DFD41A7"/>
    <w:multiLevelType w:val="multilevel"/>
    <w:tmpl w:val="3DFD41A7"/>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3E161A74"/>
    <w:multiLevelType w:val="multilevel"/>
    <w:tmpl w:val="3E161A7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45">
    <w:nsid w:val="414C458A"/>
    <w:multiLevelType w:val="multilevel"/>
    <w:tmpl w:val="414C45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44437AF8"/>
    <w:multiLevelType w:val="multilevel"/>
    <w:tmpl w:val="44437AF8"/>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47">
    <w:nsid w:val="446F172B"/>
    <w:multiLevelType w:val="multilevel"/>
    <w:tmpl w:val="446F172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454771D2"/>
    <w:multiLevelType w:val="multilevel"/>
    <w:tmpl w:val="454771D2"/>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49">
    <w:nsid w:val="45E6518D"/>
    <w:multiLevelType w:val="multilevel"/>
    <w:tmpl w:val="45E6518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0">
    <w:nsid w:val="4619605F"/>
    <w:multiLevelType w:val="multilevel"/>
    <w:tmpl w:val="4619605F"/>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1">
    <w:nsid w:val="494F2F83"/>
    <w:multiLevelType w:val="multilevel"/>
    <w:tmpl w:val="494F2F83"/>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2">
    <w:nsid w:val="4C61778B"/>
    <w:multiLevelType w:val="multilevel"/>
    <w:tmpl w:val="4C61778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3">
    <w:nsid w:val="4C9701DD"/>
    <w:multiLevelType w:val="multilevel"/>
    <w:tmpl w:val="4C9701D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4">
    <w:nsid w:val="4D5A3DDB"/>
    <w:multiLevelType w:val="multilevel"/>
    <w:tmpl w:val="4D5A3DD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5">
    <w:nsid w:val="4E3175C6"/>
    <w:multiLevelType w:val="multilevel"/>
    <w:tmpl w:val="4E3175C6"/>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6">
    <w:nsid w:val="53AD6999"/>
    <w:multiLevelType w:val="multilevel"/>
    <w:tmpl w:val="53AD699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7">
    <w:nsid w:val="53BA3B37"/>
    <w:multiLevelType w:val="multilevel"/>
    <w:tmpl w:val="53BA3B37"/>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557D7110"/>
    <w:multiLevelType w:val="multilevel"/>
    <w:tmpl w:val="557D711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9">
    <w:nsid w:val="55D5201D"/>
    <w:multiLevelType w:val="multilevel"/>
    <w:tmpl w:val="55D5201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0">
    <w:nsid w:val="58F16526"/>
    <w:multiLevelType w:val="multilevel"/>
    <w:tmpl w:val="58F16526"/>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5B1E685E"/>
    <w:multiLevelType w:val="multilevel"/>
    <w:tmpl w:val="5B1E685E"/>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2">
    <w:nsid w:val="5BE80CCF"/>
    <w:multiLevelType w:val="multilevel"/>
    <w:tmpl w:val="5BE80CCF"/>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3">
    <w:nsid w:val="5C3D5C8D"/>
    <w:multiLevelType w:val="multilevel"/>
    <w:tmpl w:val="5C3D5C8D"/>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4">
    <w:nsid w:val="5C434A49"/>
    <w:multiLevelType w:val="multilevel"/>
    <w:tmpl w:val="5C434A4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5">
    <w:nsid w:val="5E7F6965"/>
    <w:multiLevelType w:val="multilevel"/>
    <w:tmpl w:val="5E7F6965"/>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66">
    <w:nsid w:val="61CB7FD9"/>
    <w:multiLevelType w:val="multilevel"/>
    <w:tmpl w:val="61CB7FD9"/>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67">
    <w:nsid w:val="636C60FC"/>
    <w:multiLevelType w:val="multilevel"/>
    <w:tmpl w:val="636C60FC"/>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68">
    <w:nsid w:val="67EA4299"/>
    <w:multiLevelType w:val="multilevel"/>
    <w:tmpl w:val="67EA4299"/>
    <w:lvl w:ilvl="0" w:tentative="0">
      <w:start w:val="1"/>
      <w:numFmt w:val="decimal"/>
      <w:pStyle w:val="2"/>
      <w:lvlText w:val="第%1章 "/>
      <w:lvlJc w:val="center"/>
      <w:pPr>
        <w:tabs>
          <w:tab w:val="left" w:pos="0"/>
        </w:tabs>
        <w:ind w:left="425" w:hanging="137"/>
      </w:pPr>
      <w:rPr>
        <w:rFonts w:hint="eastAsia" w:eastAsia="黑体"/>
        <w:b/>
        <w:i w:val="0"/>
        <w:sz w:val="30"/>
      </w:rPr>
    </w:lvl>
    <w:lvl w:ilvl="1" w:tentative="0">
      <w:start w:val="1"/>
      <w:numFmt w:val="decimal"/>
      <w:pStyle w:val="3"/>
      <w:lvlText w:val="%1.%2 "/>
      <w:lvlJc w:val="left"/>
      <w:pPr>
        <w:tabs>
          <w:tab w:val="left" w:pos="426"/>
        </w:tabs>
        <w:ind w:left="993" w:hanging="567"/>
      </w:pPr>
      <w:rPr>
        <w:rFonts w:hint="eastAsia" w:eastAsia="宋体"/>
        <w:b/>
        <w:i w:val="0"/>
        <w:iCs w:val="0"/>
        <w:caps w:val="0"/>
        <w:smallCaps w:val="0"/>
        <w:strike w:val="0"/>
        <w:dstrike w:val="0"/>
        <w:outline w:val="0"/>
        <w:shadow w:val="0"/>
        <w:emboss w:val="0"/>
        <w:imprint w:val="0"/>
        <w:vanish w:val="0"/>
        <w:spacing w:val="0"/>
        <w:position w:val="0"/>
        <w:sz w:val="28"/>
        <w:u w:val="none"/>
        <w:vertAlign w:val="baseline"/>
      </w:rPr>
    </w:lvl>
    <w:lvl w:ilvl="2" w:tentative="0">
      <w:start w:val="1"/>
      <w:numFmt w:val="decimal"/>
      <w:pStyle w:val="4"/>
      <w:lvlText w:val="%1.%2.%3"/>
      <w:lvlJc w:val="left"/>
      <w:pPr>
        <w:tabs>
          <w:tab w:val="left" w:pos="0"/>
        </w:tabs>
        <w:ind w:left="567" w:hanging="567"/>
      </w:pPr>
      <w:rPr>
        <w:rFonts w:hint="eastAsia" w:eastAsia="宋体"/>
        <w:b/>
        <w:i w:val="0"/>
        <w:sz w:val="24"/>
      </w:rPr>
    </w:lvl>
    <w:lvl w:ilvl="3" w:tentative="0">
      <w:start w:val="1"/>
      <w:numFmt w:val="decimal"/>
      <w:pStyle w:val="5"/>
      <w:lvlText w:val="%1.%2.%3.%4"/>
      <w:lvlJc w:val="left"/>
      <w:pPr>
        <w:tabs>
          <w:tab w:val="left" w:pos="0"/>
        </w:tabs>
        <w:ind w:left="680" w:hanging="340"/>
      </w:pPr>
      <w:rPr>
        <w:rFonts w:hint="eastAsia" w:ascii="宋体" w:hAnsi="宋体" w:eastAsia="宋体"/>
        <w:b/>
        <w:i w:val="0"/>
        <w:sz w:val="21"/>
      </w:rPr>
    </w:lvl>
    <w:lvl w:ilvl="4" w:tentative="0">
      <w:start w:val="1"/>
      <w:numFmt w:val="decimal"/>
      <w:lvlText w:val="%1.%2.%3.%4.%5"/>
      <w:lvlJc w:val="left"/>
      <w:pPr>
        <w:tabs>
          <w:tab w:val="left" w:pos="0"/>
        </w:tabs>
        <w:ind w:left="2551" w:hanging="850"/>
      </w:pPr>
      <w:rPr>
        <w:rFonts w:hint="eastAsia"/>
      </w:rPr>
    </w:lvl>
    <w:lvl w:ilvl="5" w:tentative="0">
      <w:start w:val="1"/>
      <w:numFmt w:val="decimal"/>
      <w:lvlText w:val="%1.%2.%3.%4.%5.%6"/>
      <w:lvlJc w:val="left"/>
      <w:pPr>
        <w:tabs>
          <w:tab w:val="left" w:pos="0"/>
        </w:tabs>
        <w:ind w:left="3260" w:hanging="1134"/>
      </w:pPr>
      <w:rPr>
        <w:rFonts w:hint="eastAsia"/>
      </w:rPr>
    </w:lvl>
    <w:lvl w:ilvl="6" w:tentative="0">
      <w:start w:val="1"/>
      <w:numFmt w:val="decimal"/>
      <w:lvlText w:val="%1.%2.%3.%4.%5.%6.%7"/>
      <w:lvlJc w:val="left"/>
      <w:pPr>
        <w:tabs>
          <w:tab w:val="left" w:pos="0"/>
        </w:tabs>
        <w:ind w:left="3827" w:hanging="1276"/>
      </w:pPr>
      <w:rPr>
        <w:rFonts w:hint="eastAsia"/>
      </w:rPr>
    </w:lvl>
    <w:lvl w:ilvl="7" w:tentative="0">
      <w:start w:val="1"/>
      <w:numFmt w:val="decimal"/>
      <w:lvlText w:val="%1.%2.%3.%4.%5.%6.%7.%8"/>
      <w:lvlJc w:val="left"/>
      <w:pPr>
        <w:tabs>
          <w:tab w:val="left" w:pos="0"/>
        </w:tabs>
        <w:ind w:left="4394" w:hanging="1418"/>
      </w:pPr>
      <w:rPr>
        <w:rFonts w:hint="eastAsia"/>
      </w:rPr>
    </w:lvl>
    <w:lvl w:ilvl="8" w:tentative="0">
      <w:start w:val="1"/>
      <w:numFmt w:val="decimal"/>
      <w:lvlText w:val="%1.%2.%3.%4.%5.%6.%7.%8.%9"/>
      <w:lvlJc w:val="left"/>
      <w:pPr>
        <w:tabs>
          <w:tab w:val="left" w:pos="0"/>
        </w:tabs>
        <w:ind w:left="5102" w:hanging="1700"/>
      </w:pPr>
      <w:rPr>
        <w:rFonts w:hint="eastAsia"/>
      </w:rPr>
    </w:lvl>
  </w:abstractNum>
  <w:abstractNum w:abstractNumId="69">
    <w:nsid w:val="6AC44160"/>
    <w:multiLevelType w:val="multilevel"/>
    <w:tmpl w:val="6AC44160"/>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70">
    <w:nsid w:val="6F5260ED"/>
    <w:multiLevelType w:val="multilevel"/>
    <w:tmpl w:val="6F5260ED"/>
    <w:lvl w:ilvl="0" w:tentative="0">
      <w:start w:val="1"/>
      <w:numFmt w:val="bullet"/>
      <w:lvlText w:val=""/>
      <w:lvlJc w:val="left"/>
      <w:pPr>
        <w:ind w:left="1669" w:hanging="420"/>
      </w:pPr>
      <w:rPr>
        <w:rFonts w:hint="default" w:ascii="Wingdings" w:hAnsi="Wingdings"/>
      </w:rPr>
    </w:lvl>
    <w:lvl w:ilvl="1" w:tentative="0">
      <w:start w:val="1"/>
      <w:numFmt w:val="bullet"/>
      <w:lvlText w:val=""/>
      <w:lvlJc w:val="left"/>
      <w:pPr>
        <w:ind w:left="2089" w:hanging="420"/>
      </w:pPr>
      <w:rPr>
        <w:rFonts w:hint="default" w:ascii="Wingdings" w:hAnsi="Wingdings"/>
      </w:rPr>
    </w:lvl>
    <w:lvl w:ilvl="2" w:tentative="0">
      <w:start w:val="1"/>
      <w:numFmt w:val="bullet"/>
      <w:lvlText w:val=""/>
      <w:lvlJc w:val="left"/>
      <w:pPr>
        <w:ind w:left="2509" w:hanging="420"/>
      </w:pPr>
      <w:rPr>
        <w:rFonts w:hint="default" w:ascii="Wingdings" w:hAnsi="Wingdings"/>
      </w:rPr>
    </w:lvl>
    <w:lvl w:ilvl="3" w:tentative="0">
      <w:start w:val="1"/>
      <w:numFmt w:val="bullet"/>
      <w:lvlText w:val=""/>
      <w:lvlJc w:val="left"/>
      <w:pPr>
        <w:ind w:left="2929" w:hanging="420"/>
      </w:pPr>
      <w:rPr>
        <w:rFonts w:hint="default" w:ascii="Wingdings" w:hAnsi="Wingdings"/>
      </w:rPr>
    </w:lvl>
    <w:lvl w:ilvl="4" w:tentative="0">
      <w:start w:val="1"/>
      <w:numFmt w:val="bullet"/>
      <w:lvlText w:val=""/>
      <w:lvlJc w:val="left"/>
      <w:pPr>
        <w:ind w:left="3349" w:hanging="420"/>
      </w:pPr>
      <w:rPr>
        <w:rFonts w:hint="default" w:ascii="Wingdings" w:hAnsi="Wingdings"/>
      </w:rPr>
    </w:lvl>
    <w:lvl w:ilvl="5" w:tentative="0">
      <w:start w:val="1"/>
      <w:numFmt w:val="bullet"/>
      <w:lvlText w:val=""/>
      <w:lvlJc w:val="left"/>
      <w:pPr>
        <w:ind w:left="3769" w:hanging="420"/>
      </w:pPr>
      <w:rPr>
        <w:rFonts w:hint="default" w:ascii="Wingdings" w:hAnsi="Wingdings"/>
      </w:rPr>
    </w:lvl>
    <w:lvl w:ilvl="6" w:tentative="0">
      <w:start w:val="1"/>
      <w:numFmt w:val="bullet"/>
      <w:lvlText w:val=""/>
      <w:lvlJc w:val="left"/>
      <w:pPr>
        <w:ind w:left="4189" w:hanging="420"/>
      </w:pPr>
      <w:rPr>
        <w:rFonts w:hint="default" w:ascii="Wingdings" w:hAnsi="Wingdings"/>
      </w:rPr>
    </w:lvl>
    <w:lvl w:ilvl="7" w:tentative="0">
      <w:start w:val="1"/>
      <w:numFmt w:val="bullet"/>
      <w:lvlText w:val=""/>
      <w:lvlJc w:val="left"/>
      <w:pPr>
        <w:ind w:left="4609" w:hanging="420"/>
      </w:pPr>
      <w:rPr>
        <w:rFonts w:hint="default" w:ascii="Wingdings" w:hAnsi="Wingdings"/>
      </w:rPr>
    </w:lvl>
    <w:lvl w:ilvl="8" w:tentative="0">
      <w:start w:val="1"/>
      <w:numFmt w:val="bullet"/>
      <w:lvlText w:val=""/>
      <w:lvlJc w:val="left"/>
      <w:pPr>
        <w:ind w:left="5029" w:hanging="420"/>
      </w:pPr>
      <w:rPr>
        <w:rFonts w:hint="default" w:ascii="Wingdings" w:hAnsi="Wingdings"/>
      </w:rPr>
    </w:lvl>
  </w:abstractNum>
  <w:abstractNum w:abstractNumId="71">
    <w:nsid w:val="7052523B"/>
    <w:multiLevelType w:val="multilevel"/>
    <w:tmpl w:val="7052523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2">
    <w:nsid w:val="710C3B41"/>
    <w:multiLevelType w:val="multilevel"/>
    <w:tmpl w:val="710C3B41"/>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73">
    <w:nsid w:val="716E50C7"/>
    <w:multiLevelType w:val="multilevel"/>
    <w:tmpl w:val="716E50C7"/>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4">
    <w:nsid w:val="723B1E07"/>
    <w:multiLevelType w:val="multilevel"/>
    <w:tmpl w:val="723B1E07"/>
    <w:lvl w:ilvl="0" w:tentative="0">
      <w:start w:val="1"/>
      <w:numFmt w:val="bullet"/>
      <w:pStyle w:val="35"/>
      <w:lvlText w:val=""/>
      <w:lvlJc w:val="left"/>
      <w:pPr>
        <w:tabs>
          <w:tab w:val="left" w:pos="374"/>
        </w:tabs>
        <w:ind w:left="374" w:hanging="374"/>
      </w:pPr>
      <w:rPr>
        <w:rFonts w:hint="default" w:ascii="Wingdings" w:hAnsi="Wingdings"/>
        <w:b/>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5">
    <w:nsid w:val="72F029A0"/>
    <w:multiLevelType w:val="multilevel"/>
    <w:tmpl w:val="72F029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77930E24"/>
    <w:multiLevelType w:val="multilevel"/>
    <w:tmpl w:val="77930E24"/>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7">
    <w:nsid w:val="79F911CA"/>
    <w:multiLevelType w:val="multilevel"/>
    <w:tmpl w:val="79F911CA"/>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8">
    <w:nsid w:val="7A6004F6"/>
    <w:multiLevelType w:val="multilevel"/>
    <w:tmpl w:val="7A6004F6"/>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9">
    <w:nsid w:val="7D9764AB"/>
    <w:multiLevelType w:val="multilevel"/>
    <w:tmpl w:val="7D9764AB"/>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0">
    <w:nsid w:val="7F5E7FB8"/>
    <w:multiLevelType w:val="multilevel"/>
    <w:tmpl w:val="7F5E7FB8"/>
    <w:lvl w:ilvl="0" w:tentative="0">
      <w:start w:val="1"/>
      <w:numFmt w:val="decimalZero"/>
      <w:lvlText w:val="%1"/>
      <w:lvlJc w:val="center"/>
      <w:pPr>
        <w:tabs>
          <w:tab w:val="left" w:pos="170"/>
        </w:tabs>
        <w:ind w:left="0" w:firstLine="0"/>
      </w:pPr>
      <w:rPr>
        <w:rFonts w:hint="default" w:ascii="Verdana" w:hAnsi="Verdana"/>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num w:numId="1">
    <w:abstractNumId w:val="68"/>
  </w:num>
  <w:num w:numId="2">
    <w:abstractNumId w:val="74"/>
  </w:num>
  <w:num w:numId="3">
    <w:abstractNumId w:val="28"/>
  </w:num>
  <w:num w:numId="4">
    <w:abstractNumId w:val="32"/>
  </w:num>
  <w:num w:numId="5">
    <w:abstractNumId w:val="75"/>
  </w:num>
  <w:num w:numId="6">
    <w:abstractNumId w:val="59"/>
  </w:num>
  <w:num w:numId="7">
    <w:abstractNumId w:val="12"/>
  </w:num>
  <w:num w:numId="8">
    <w:abstractNumId w:val="21"/>
  </w:num>
  <w:num w:numId="9">
    <w:abstractNumId w:val="24"/>
  </w:num>
  <w:num w:numId="10">
    <w:abstractNumId w:val="3"/>
  </w:num>
  <w:num w:numId="11">
    <w:abstractNumId w:val="5"/>
  </w:num>
  <w:num w:numId="12">
    <w:abstractNumId w:val="4"/>
  </w:num>
  <w:num w:numId="13">
    <w:abstractNumId w:val="50"/>
  </w:num>
  <w:num w:numId="14">
    <w:abstractNumId w:val="60"/>
  </w:num>
  <w:num w:numId="15">
    <w:abstractNumId w:val="43"/>
  </w:num>
  <w:num w:numId="16">
    <w:abstractNumId w:val="10"/>
  </w:num>
  <w:num w:numId="17">
    <w:abstractNumId w:val="58"/>
  </w:num>
  <w:num w:numId="18">
    <w:abstractNumId w:val="65"/>
  </w:num>
  <w:num w:numId="19">
    <w:abstractNumId w:val="80"/>
  </w:num>
  <w:num w:numId="20">
    <w:abstractNumId w:val="7"/>
  </w:num>
  <w:num w:numId="21">
    <w:abstractNumId w:val="0"/>
  </w:num>
  <w:num w:numId="22">
    <w:abstractNumId w:val="52"/>
  </w:num>
  <w:num w:numId="23">
    <w:abstractNumId w:val="6"/>
  </w:num>
  <w:num w:numId="24">
    <w:abstractNumId w:val="2"/>
  </w:num>
  <w:num w:numId="25">
    <w:abstractNumId w:val="8"/>
  </w:num>
  <w:num w:numId="26">
    <w:abstractNumId w:val="1"/>
  </w:num>
  <w:num w:numId="27">
    <w:abstractNumId w:val="22"/>
  </w:num>
  <w:num w:numId="28">
    <w:abstractNumId w:val="37"/>
  </w:num>
  <w:num w:numId="29">
    <w:abstractNumId w:val="42"/>
  </w:num>
  <w:num w:numId="30">
    <w:abstractNumId w:val="57"/>
  </w:num>
  <w:num w:numId="31">
    <w:abstractNumId w:val="71"/>
  </w:num>
  <w:num w:numId="32">
    <w:abstractNumId w:val="78"/>
  </w:num>
  <w:num w:numId="33">
    <w:abstractNumId w:val="41"/>
  </w:num>
  <w:num w:numId="34">
    <w:abstractNumId w:val="76"/>
  </w:num>
  <w:num w:numId="35">
    <w:abstractNumId w:val="25"/>
  </w:num>
  <w:num w:numId="36">
    <w:abstractNumId w:val="73"/>
  </w:num>
  <w:num w:numId="37">
    <w:abstractNumId w:val="40"/>
  </w:num>
  <w:num w:numId="38">
    <w:abstractNumId w:val="11"/>
  </w:num>
  <w:num w:numId="39">
    <w:abstractNumId w:val="18"/>
  </w:num>
  <w:num w:numId="40">
    <w:abstractNumId w:val="29"/>
  </w:num>
  <w:num w:numId="41">
    <w:abstractNumId w:val="56"/>
  </w:num>
  <w:num w:numId="42">
    <w:abstractNumId w:val="64"/>
  </w:num>
  <w:num w:numId="43">
    <w:abstractNumId w:val="17"/>
  </w:num>
  <w:num w:numId="44">
    <w:abstractNumId w:val="66"/>
  </w:num>
  <w:num w:numId="45">
    <w:abstractNumId w:val="54"/>
  </w:num>
  <w:num w:numId="46">
    <w:abstractNumId w:val="67"/>
  </w:num>
  <w:num w:numId="47">
    <w:abstractNumId w:val="44"/>
  </w:num>
  <w:num w:numId="48">
    <w:abstractNumId w:val="14"/>
  </w:num>
  <w:num w:numId="49">
    <w:abstractNumId w:val="55"/>
  </w:num>
  <w:num w:numId="50">
    <w:abstractNumId w:val="51"/>
  </w:num>
  <w:num w:numId="51">
    <w:abstractNumId w:val="53"/>
  </w:num>
  <w:num w:numId="52">
    <w:abstractNumId w:val="48"/>
  </w:num>
  <w:num w:numId="53">
    <w:abstractNumId w:val="35"/>
  </w:num>
  <w:num w:numId="54">
    <w:abstractNumId w:val="33"/>
  </w:num>
  <w:num w:numId="55">
    <w:abstractNumId w:val="36"/>
  </w:num>
  <w:num w:numId="56">
    <w:abstractNumId w:val="46"/>
  </w:num>
  <w:num w:numId="57">
    <w:abstractNumId w:val="69"/>
  </w:num>
  <w:num w:numId="58">
    <w:abstractNumId w:val="49"/>
  </w:num>
  <w:num w:numId="59">
    <w:abstractNumId w:val="27"/>
  </w:num>
  <w:num w:numId="60">
    <w:abstractNumId w:val="47"/>
  </w:num>
  <w:num w:numId="61">
    <w:abstractNumId w:val="77"/>
  </w:num>
  <w:num w:numId="62">
    <w:abstractNumId w:val="20"/>
  </w:num>
  <w:num w:numId="63">
    <w:abstractNumId w:val="70"/>
  </w:num>
  <w:num w:numId="64">
    <w:abstractNumId w:val="45"/>
  </w:num>
  <w:num w:numId="65">
    <w:abstractNumId w:val="62"/>
  </w:num>
  <w:num w:numId="66">
    <w:abstractNumId w:val="19"/>
  </w:num>
  <w:num w:numId="67">
    <w:abstractNumId w:val="39"/>
  </w:num>
  <w:num w:numId="68">
    <w:abstractNumId w:val="61"/>
  </w:num>
  <w:num w:numId="69">
    <w:abstractNumId w:val="63"/>
  </w:num>
  <w:num w:numId="70">
    <w:abstractNumId w:val="23"/>
  </w:num>
  <w:num w:numId="71">
    <w:abstractNumId w:val="9"/>
  </w:num>
  <w:num w:numId="72">
    <w:abstractNumId w:val="15"/>
  </w:num>
  <w:num w:numId="73">
    <w:abstractNumId w:val="16"/>
  </w:num>
  <w:num w:numId="74">
    <w:abstractNumId w:val="30"/>
  </w:num>
  <w:num w:numId="75">
    <w:abstractNumId w:val="72"/>
  </w:num>
  <w:num w:numId="76">
    <w:abstractNumId w:val="34"/>
  </w:num>
  <w:num w:numId="77">
    <w:abstractNumId w:val="31"/>
  </w:num>
  <w:num w:numId="78">
    <w:abstractNumId w:val="38"/>
  </w:num>
  <w:num w:numId="79">
    <w:abstractNumId w:val="26"/>
  </w:num>
  <w:num w:numId="80">
    <w:abstractNumId w:val="13"/>
  </w:num>
  <w:num w:numId="81">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D83"/>
    <w:rsid w:val="000002AC"/>
    <w:rsid w:val="00000EAB"/>
    <w:rsid w:val="0000213E"/>
    <w:rsid w:val="00002442"/>
    <w:rsid w:val="0000247C"/>
    <w:rsid w:val="00003649"/>
    <w:rsid w:val="00004876"/>
    <w:rsid w:val="00005410"/>
    <w:rsid w:val="00005951"/>
    <w:rsid w:val="00005AB3"/>
    <w:rsid w:val="00005BAD"/>
    <w:rsid w:val="00010CEC"/>
    <w:rsid w:val="0001190C"/>
    <w:rsid w:val="00013380"/>
    <w:rsid w:val="000145FF"/>
    <w:rsid w:val="00014E96"/>
    <w:rsid w:val="0001644D"/>
    <w:rsid w:val="0001729F"/>
    <w:rsid w:val="00022E6A"/>
    <w:rsid w:val="00023022"/>
    <w:rsid w:val="000235E3"/>
    <w:rsid w:val="000252D3"/>
    <w:rsid w:val="000316DC"/>
    <w:rsid w:val="0003215B"/>
    <w:rsid w:val="000349F6"/>
    <w:rsid w:val="000378FA"/>
    <w:rsid w:val="000422FF"/>
    <w:rsid w:val="00043EC7"/>
    <w:rsid w:val="000444DC"/>
    <w:rsid w:val="000454D8"/>
    <w:rsid w:val="00045574"/>
    <w:rsid w:val="0004662D"/>
    <w:rsid w:val="000473D7"/>
    <w:rsid w:val="0004792D"/>
    <w:rsid w:val="00047D43"/>
    <w:rsid w:val="000504AE"/>
    <w:rsid w:val="000508E1"/>
    <w:rsid w:val="000511C0"/>
    <w:rsid w:val="0005136C"/>
    <w:rsid w:val="0005141D"/>
    <w:rsid w:val="0005181A"/>
    <w:rsid w:val="00053409"/>
    <w:rsid w:val="000538F5"/>
    <w:rsid w:val="00056E90"/>
    <w:rsid w:val="000578FC"/>
    <w:rsid w:val="00057FB1"/>
    <w:rsid w:val="0006027F"/>
    <w:rsid w:val="0006252C"/>
    <w:rsid w:val="00062664"/>
    <w:rsid w:val="0006343B"/>
    <w:rsid w:val="000641AB"/>
    <w:rsid w:val="000649C2"/>
    <w:rsid w:val="0006657A"/>
    <w:rsid w:val="0007013B"/>
    <w:rsid w:val="00070654"/>
    <w:rsid w:val="0007094F"/>
    <w:rsid w:val="0007097A"/>
    <w:rsid w:val="00070D17"/>
    <w:rsid w:val="00072583"/>
    <w:rsid w:val="00073647"/>
    <w:rsid w:val="00073D4A"/>
    <w:rsid w:val="00073DB4"/>
    <w:rsid w:val="00075D58"/>
    <w:rsid w:val="0007742B"/>
    <w:rsid w:val="00077C7A"/>
    <w:rsid w:val="00080AA4"/>
    <w:rsid w:val="00081269"/>
    <w:rsid w:val="0008177A"/>
    <w:rsid w:val="00084DE5"/>
    <w:rsid w:val="000872F5"/>
    <w:rsid w:val="00093818"/>
    <w:rsid w:val="00095123"/>
    <w:rsid w:val="00095BC8"/>
    <w:rsid w:val="000A0A5C"/>
    <w:rsid w:val="000A0D10"/>
    <w:rsid w:val="000A1985"/>
    <w:rsid w:val="000A3CD3"/>
    <w:rsid w:val="000A6CCA"/>
    <w:rsid w:val="000B2FF4"/>
    <w:rsid w:val="000B34F5"/>
    <w:rsid w:val="000B37BB"/>
    <w:rsid w:val="000B58E7"/>
    <w:rsid w:val="000C0EA8"/>
    <w:rsid w:val="000C1324"/>
    <w:rsid w:val="000C18A6"/>
    <w:rsid w:val="000C2717"/>
    <w:rsid w:val="000C413C"/>
    <w:rsid w:val="000C4EB7"/>
    <w:rsid w:val="000C4FCF"/>
    <w:rsid w:val="000C6746"/>
    <w:rsid w:val="000C6C8F"/>
    <w:rsid w:val="000C776D"/>
    <w:rsid w:val="000D10F3"/>
    <w:rsid w:val="000D1163"/>
    <w:rsid w:val="000D141B"/>
    <w:rsid w:val="000D1AA7"/>
    <w:rsid w:val="000D7BE6"/>
    <w:rsid w:val="000E0EBD"/>
    <w:rsid w:val="000E107B"/>
    <w:rsid w:val="000E531D"/>
    <w:rsid w:val="000E6DB0"/>
    <w:rsid w:val="000F1CB0"/>
    <w:rsid w:val="000F1F9B"/>
    <w:rsid w:val="000F2547"/>
    <w:rsid w:val="000F2DBD"/>
    <w:rsid w:val="000F2FB6"/>
    <w:rsid w:val="000F35F4"/>
    <w:rsid w:val="000F48F4"/>
    <w:rsid w:val="000F4946"/>
    <w:rsid w:val="000F7F04"/>
    <w:rsid w:val="0010343B"/>
    <w:rsid w:val="00104F42"/>
    <w:rsid w:val="00106068"/>
    <w:rsid w:val="0010623E"/>
    <w:rsid w:val="00111596"/>
    <w:rsid w:val="0011540A"/>
    <w:rsid w:val="00120712"/>
    <w:rsid w:val="00121580"/>
    <w:rsid w:val="00121A99"/>
    <w:rsid w:val="00122660"/>
    <w:rsid w:val="00123C59"/>
    <w:rsid w:val="0012756D"/>
    <w:rsid w:val="00130A69"/>
    <w:rsid w:val="00131262"/>
    <w:rsid w:val="00135E80"/>
    <w:rsid w:val="00136C8E"/>
    <w:rsid w:val="00136F6B"/>
    <w:rsid w:val="0013710B"/>
    <w:rsid w:val="00137A44"/>
    <w:rsid w:val="0014008D"/>
    <w:rsid w:val="00141C20"/>
    <w:rsid w:val="00141FC9"/>
    <w:rsid w:val="001442A0"/>
    <w:rsid w:val="00146FE5"/>
    <w:rsid w:val="00147787"/>
    <w:rsid w:val="00147CB1"/>
    <w:rsid w:val="001541C2"/>
    <w:rsid w:val="00154915"/>
    <w:rsid w:val="0015616C"/>
    <w:rsid w:val="001562A2"/>
    <w:rsid w:val="001579B9"/>
    <w:rsid w:val="00157AEC"/>
    <w:rsid w:val="0016017B"/>
    <w:rsid w:val="001606AB"/>
    <w:rsid w:val="00160A9F"/>
    <w:rsid w:val="00161338"/>
    <w:rsid w:val="001613DA"/>
    <w:rsid w:val="001619BF"/>
    <w:rsid w:val="001629A0"/>
    <w:rsid w:val="00162B17"/>
    <w:rsid w:val="00162B76"/>
    <w:rsid w:val="00163F46"/>
    <w:rsid w:val="00164E63"/>
    <w:rsid w:val="00165730"/>
    <w:rsid w:val="00165DB6"/>
    <w:rsid w:val="00166048"/>
    <w:rsid w:val="0016718F"/>
    <w:rsid w:val="00171F9C"/>
    <w:rsid w:val="001722C2"/>
    <w:rsid w:val="00172D26"/>
    <w:rsid w:val="001732D3"/>
    <w:rsid w:val="00173A96"/>
    <w:rsid w:val="00174294"/>
    <w:rsid w:val="001750F8"/>
    <w:rsid w:val="00176A48"/>
    <w:rsid w:val="00177DAB"/>
    <w:rsid w:val="00180D96"/>
    <w:rsid w:val="001811A8"/>
    <w:rsid w:val="001849C5"/>
    <w:rsid w:val="00184F08"/>
    <w:rsid w:val="00185645"/>
    <w:rsid w:val="00185707"/>
    <w:rsid w:val="00186868"/>
    <w:rsid w:val="00191B11"/>
    <w:rsid w:val="0019214D"/>
    <w:rsid w:val="00193376"/>
    <w:rsid w:val="00193F9E"/>
    <w:rsid w:val="001941B5"/>
    <w:rsid w:val="00194929"/>
    <w:rsid w:val="001A19C1"/>
    <w:rsid w:val="001A22FD"/>
    <w:rsid w:val="001A2AC4"/>
    <w:rsid w:val="001A4DF5"/>
    <w:rsid w:val="001A5023"/>
    <w:rsid w:val="001A52A5"/>
    <w:rsid w:val="001A53AF"/>
    <w:rsid w:val="001B38C2"/>
    <w:rsid w:val="001B5D4A"/>
    <w:rsid w:val="001B5F92"/>
    <w:rsid w:val="001B7C5F"/>
    <w:rsid w:val="001C2257"/>
    <w:rsid w:val="001C2ADE"/>
    <w:rsid w:val="001C5B1C"/>
    <w:rsid w:val="001C75F0"/>
    <w:rsid w:val="001C7F0D"/>
    <w:rsid w:val="001D007F"/>
    <w:rsid w:val="001D133B"/>
    <w:rsid w:val="001D24AB"/>
    <w:rsid w:val="001D3708"/>
    <w:rsid w:val="001D3709"/>
    <w:rsid w:val="001D3B3F"/>
    <w:rsid w:val="001D4B57"/>
    <w:rsid w:val="001D5996"/>
    <w:rsid w:val="001D6E1B"/>
    <w:rsid w:val="001D70EF"/>
    <w:rsid w:val="001D75C8"/>
    <w:rsid w:val="001D7A0C"/>
    <w:rsid w:val="001E0872"/>
    <w:rsid w:val="001E0FA3"/>
    <w:rsid w:val="001E1757"/>
    <w:rsid w:val="001E19F3"/>
    <w:rsid w:val="001E56F0"/>
    <w:rsid w:val="001E59C3"/>
    <w:rsid w:val="001E5D74"/>
    <w:rsid w:val="001E7AEB"/>
    <w:rsid w:val="001E7C99"/>
    <w:rsid w:val="001F2C61"/>
    <w:rsid w:val="001F3D5E"/>
    <w:rsid w:val="001F40F4"/>
    <w:rsid w:val="001F560F"/>
    <w:rsid w:val="001F618D"/>
    <w:rsid w:val="001F730C"/>
    <w:rsid w:val="00203AE6"/>
    <w:rsid w:val="002077CD"/>
    <w:rsid w:val="00207E51"/>
    <w:rsid w:val="00210B19"/>
    <w:rsid w:val="00210BF6"/>
    <w:rsid w:val="00211B94"/>
    <w:rsid w:val="00211F6F"/>
    <w:rsid w:val="00212C81"/>
    <w:rsid w:val="00215622"/>
    <w:rsid w:val="002164CC"/>
    <w:rsid w:val="00216A3F"/>
    <w:rsid w:val="00220B61"/>
    <w:rsid w:val="00220CA9"/>
    <w:rsid w:val="00221516"/>
    <w:rsid w:val="002223DE"/>
    <w:rsid w:val="00223CFF"/>
    <w:rsid w:val="002243DC"/>
    <w:rsid w:val="00224B8E"/>
    <w:rsid w:val="00226C29"/>
    <w:rsid w:val="00230A7A"/>
    <w:rsid w:val="002319F6"/>
    <w:rsid w:val="0023209F"/>
    <w:rsid w:val="00241EAE"/>
    <w:rsid w:val="00241F43"/>
    <w:rsid w:val="00241FDC"/>
    <w:rsid w:val="00251270"/>
    <w:rsid w:val="00251363"/>
    <w:rsid w:val="00255CB4"/>
    <w:rsid w:val="00255E2E"/>
    <w:rsid w:val="0025602A"/>
    <w:rsid w:val="0025706B"/>
    <w:rsid w:val="00257C23"/>
    <w:rsid w:val="00257EE7"/>
    <w:rsid w:val="002605C4"/>
    <w:rsid w:val="00262271"/>
    <w:rsid w:val="00266198"/>
    <w:rsid w:val="00266C16"/>
    <w:rsid w:val="00267B72"/>
    <w:rsid w:val="00270A1D"/>
    <w:rsid w:val="00271939"/>
    <w:rsid w:val="0027290E"/>
    <w:rsid w:val="00272FD9"/>
    <w:rsid w:val="002737B1"/>
    <w:rsid w:val="002801B0"/>
    <w:rsid w:val="002804E0"/>
    <w:rsid w:val="00280751"/>
    <w:rsid w:val="00281823"/>
    <w:rsid w:val="0028411D"/>
    <w:rsid w:val="0028537B"/>
    <w:rsid w:val="00292986"/>
    <w:rsid w:val="0029470F"/>
    <w:rsid w:val="002A26F7"/>
    <w:rsid w:val="002A2827"/>
    <w:rsid w:val="002A3213"/>
    <w:rsid w:val="002A47FA"/>
    <w:rsid w:val="002B0122"/>
    <w:rsid w:val="002B1D13"/>
    <w:rsid w:val="002B210F"/>
    <w:rsid w:val="002B4AE6"/>
    <w:rsid w:val="002C1634"/>
    <w:rsid w:val="002C1FEC"/>
    <w:rsid w:val="002C2B06"/>
    <w:rsid w:val="002C316B"/>
    <w:rsid w:val="002C4059"/>
    <w:rsid w:val="002C418F"/>
    <w:rsid w:val="002C5A2C"/>
    <w:rsid w:val="002C68C8"/>
    <w:rsid w:val="002D0BB9"/>
    <w:rsid w:val="002D2949"/>
    <w:rsid w:val="002D548A"/>
    <w:rsid w:val="002D609C"/>
    <w:rsid w:val="002E25F6"/>
    <w:rsid w:val="002E4EAA"/>
    <w:rsid w:val="002E6896"/>
    <w:rsid w:val="002F028E"/>
    <w:rsid w:val="002F13F4"/>
    <w:rsid w:val="002F2F4E"/>
    <w:rsid w:val="002F3CF6"/>
    <w:rsid w:val="002F3D5E"/>
    <w:rsid w:val="002F7922"/>
    <w:rsid w:val="002F79BF"/>
    <w:rsid w:val="00301B64"/>
    <w:rsid w:val="0030373A"/>
    <w:rsid w:val="003042CE"/>
    <w:rsid w:val="00304BC2"/>
    <w:rsid w:val="0030629B"/>
    <w:rsid w:val="00306A63"/>
    <w:rsid w:val="0031135F"/>
    <w:rsid w:val="00312B8C"/>
    <w:rsid w:val="00312BFC"/>
    <w:rsid w:val="003139E5"/>
    <w:rsid w:val="00313D42"/>
    <w:rsid w:val="0031403B"/>
    <w:rsid w:val="00314A1F"/>
    <w:rsid w:val="00314A41"/>
    <w:rsid w:val="00315568"/>
    <w:rsid w:val="00315901"/>
    <w:rsid w:val="0031680C"/>
    <w:rsid w:val="0031697D"/>
    <w:rsid w:val="003170F9"/>
    <w:rsid w:val="0032238C"/>
    <w:rsid w:val="00324215"/>
    <w:rsid w:val="00326EE9"/>
    <w:rsid w:val="00327EBE"/>
    <w:rsid w:val="003315E4"/>
    <w:rsid w:val="003323EA"/>
    <w:rsid w:val="00332DB5"/>
    <w:rsid w:val="003343D0"/>
    <w:rsid w:val="0033498D"/>
    <w:rsid w:val="00335317"/>
    <w:rsid w:val="0033658F"/>
    <w:rsid w:val="00336C62"/>
    <w:rsid w:val="00341A00"/>
    <w:rsid w:val="003449D5"/>
    <w:rsid w:val="00347021"/>
    <w:rsid w:val="003505A3"/>
    <w:rsid w:val="003533D3"/>
    <w:rsid w:val="00353416"/>
    <w:rsid w:val="003551F6"/>
    <w:rsid w:val="003555FF"/>
    <w:rsid w:val="00356A8D"/>
    <w:rsid w:val="00362CB6"/>
    <w:rsid w:val="00363B43"/>
    <w:rsid w:val="00363CAC"/>
    <w:rsid w:val="00367635"/>
    <w:rsid w:val="00367B4F"/>
    <w:rsid w:val="003701CB"/>
    <w:rsid w:val="00370C8B"/>
    <w:rsid w:val="00370F25"/>
    <w:rsid w:val="00371613"/>
    <w:rsid w:val="003726C0"/>
    <w:rsid w:val="00374197"/>
    <w:rsid w:val="00376762"/>
    <w:rsid w:val="00380345"/>
    <w:rsid w:val="00381721"/>
    <w:rsid w:val="003824DB"/>
    <w:rsid w:val="00382702"/>
    <w:rsid w:val="00386405"/>
    <w:rsid w:val="00387F4B"/>
    <w:rsid w:val="0039003B"/>
    <w:rsid w:val="00390A6E"/>
    <w:rsid w:val="0039130A"/>
    <w:rsid w:val="003928A1"/>
    <w:rsid w:val="00392D99"/>
    <w:rsid w:val="003952DF"/>
    <w:rsid w:val="003961F1"/>
    <w:rsid w:val="00396E85"/>
    <w:rsid w:val="003976E9"/>
    <w:rsid w:val="003A3951"/>
    <w:rsid w:val="003A6892"/>
    <w:rsid w:val="003B13FF"/>
    <w:rsid w:val="003B244A"/>
    <w:rsid w:val="003B3CC8"/>
    <w:rsid w:val="003B520E"/>
    <w:rsid w:val="003B677F"/>
    <w:rsid w:val="003B7D25"/>
    <w:rsid w:val="003C0718"/>
    <w:rsid w:val="003C2382"/>
    <w:rsid w:val="003C30AB"/>
    <w:rsid w:val="003C336E"/>
    <w:rsid w:val="003C5855"/>
    <w:rsid w:val="003C6064"/>
    <w:rsid w:val="003D26E5"/>
    <w:rsid w:val="003D7384"/>
    <w:rsid w:val="003D79DF"/>
    <w:rsid w:val="003E0007"/>
    <w:rsid w:val="003E05FC"/>
    <w:rsid w:val="003E0850"/>
    <w:rsid w:val="003E18D7"/>
    <w:rsid w:val="003E23CE"/>
    <w:rsid w:val="003F1056"/>
    <w:rsid w:val="003F12AA"/>
    <w:rsid w:val="003F2193"/>
    <w:rsid w:val="003F2476"/>
    <w:rsid w:val="003F4002"/>
    <w:rsid w:val="003F4FF7"/>
    <w:rsid w:val="003F590D"/>
    <w:rsid w:val="003F622C"/>
    <w:rsid w:val="003F642C"/>
    <w:rsid w:val="00400546"/>
    <w:rsid w:val="00400F02"/>
    <w:rsid w:val="004035ED"/>
    <w:rsid w:val="00406F6D"/>
    <w:rsid w:val="00407C17"/>
    <w:rsid w:val="004151A5"/>
    <w:rsid w:val="00417AD8"/>
    <w:rsid w:val="00417C33"/>
    <w:rsid w:val="00421147"/>
    <w:rsid w:val="0042284D"/>
    <w:rsid w:val="00423063"/>
    <w:rsid w:val="00424FB6"/>
    <w:rsid w:val="00426968"/>
    <w:rsid w:val="00426DBA"/>
    <w:rsid w:val="00427312"/>
    <w:rsid w:val="0043015F"/>
    <w:rsid w:val="004322DB"/>
    <w:rsid w:val="004344FF"/>
    <w:rsid w:val="004363B6"/>
    <w:rsid w:val="00437485"/>
    <w:rsid w:val="004418C3"/>
    <w:rsid w:val="00441A1B"/>
    <w:rsid w:val="00444B28"/>
    <w:rsid w:val="00446B0B"/>
    <w:rsid w:val="00450DF5"/>
    <w:rsid w:val="00453B8E"/>
    <w:rsid w:val="00454619"/>
    <w:rsid w:val="00455C8C"/>
    <w:rsid w:val="00455D4D"/>
    <w:rsid w:val="004619C8"/>
    <w:rsid w:val="00462373"/>
    <w:rsid w:val="0046288F"/>
    <w:rsid w:val="0046384A"/>
    <w:rsid w:val="004648AB"/>
    <w:rsid w:val="00464AD1"/>
    <w:rsid w:val="004662E1"/>
    <w:rsid w:val="00466919"/>
    <w:rsid w:val="00467E63"/>
    <w:rsid w:val="00470508"/>
    <w:rsid w:val="00470877"/>
    <w:rsid w:val="004734B0"/>
    <w:rsid w:val="00473563"/>
    <w:rsid w:val="00476F56"/>
    <w:rsid w:val="00477323"/>
    <w:rsid w:val="004803F5"/>
    <w:rsid w:val="00482358"/>
    <w:rsid w:val="00482415"/>
    <w:rsid w:val="00484256"/>
    <w:rsid w:val="004844D8"/>
    <w:rsid w:val="00486737"/>
    <w:rsid w:val="00487F2D"/>
    <w:rsid w:val="00490F31"/>
    <w:rsid w:val="00491138"/>
    <w:rsid w:val="00494B61"/>
    <w:rsid w:val="004954C9"/>
    <w:rsid w:val="004975E4"/>
    <w:rsid w:val="0049770D"/>
    <w:rsid w:val="004A2F56"/>
    <w:rsid w:val="004A3926"/>
    <w:rsid w:val="004A3C24"/>
    <w:rsid w:val="004A405C"/>
    <w:rsid w:val="004B076A"/>
    <w:rsid w:val="004B14B0"/>
    <w:rsid w:val="004B4009"/>
    <w:rsid w:val="004B6762"/>
    <w:rsid w:val="004B7E3B"/>
    <w:rsid w:val="004C0C21"/>
    <w:rsid w:val="004C420F"/>
    <w:rsid w:val="004C5BB0"/>
    <w:rsid w:val="004C5E3F"/>
    <w:rsid w:val="004C5EDE"/>
    <w:rsid w:val="004C67D9"/>
    <w:rsid w:val="004D04A8"/>
    <w:rsid w:val="004D2989"/>
    <w:rsid w:val="004D4B05"/>
    <w:rsid w:val="004D7E0B"/>
    <w:rsid w:val="004E16E0"/>
    <w:rsid w:val="004E2CC7"/>
    <w:rsid w:val="004E2D99"/>
    <w:rsid w:val="004E3160"/>
    <w:rsid w:val="004E4C1F"/>
    <w:rsid w:val="004E5DCA"/>
    <w:rsid w:val="004E751F"/>
    <w:rsid w:val="004E7555"/>
    <w:rsid w:val="004F0497"/>
    <w:rsid w:val="004F13BC"/>
    <w:rsid w:val="004F399C"/>
    <w:rsid w:val="004F4381"/>
    <w:rsid w:val="004F460E"/>
    <w:rsid w:val="004F5679"/>
    <w:rsid w:val="004F5D5D"/>
    <w:rsid w:val="004F7EDD"/>
    <w:rsid w:val="005003B4"/>
    <w:rsid w:val="00500479"/>
    <w:rsid w:val="0050233F"/>
    <w:rsid w:val="00502777"/>
    <w:rsid w:val="00511B98"/>
    <w:rsid w:val="00511F3F"/>
    <w:rsid w:val="00511F95"/>
    <w:rsid w:val="00513B66"/>
    <w:rsid w:val="005141B9"/>
    <w:rsid w:val="00517D40"/>
    <w:rsid w:val="0052161B"/>
    <w:rsid w:val="005226C4"/>
    <w:rsid w:val="00523464"/>
    <w:rsid w:val="00530720"/>
    <w:rsid w:val="00531946"/>
    <w:rsid w:val="00532F45"/>
    <w:rsid w:val="005339FD"/>
    <w:rsid w:val="00533A10"/>
    <w:rsid w:val="005357DB"/>
    <w:rsid w:val="0053713D"/>
    <w:rsid w:val="00537CCC"/>
    <w:rsid w:val="0054020C"/>
    <w:rsid w:val="0054030F"/>
    <w:rsid w:val="00542992"/>
    <w:rsid w:val="00544362"/>
    <w:rsid w:val="00545CB9"/>
    <w:rsid w:val="00546654"/>
    <w:rsid w:val="00546C99"/>
    <w:rsid w:val="005517C7"/>
    <w:rsid w:val="005535A8"/>
    <w:rsid w:val="00555F45"/>
    <w:rsid w:val="00556D5C"/>
    <w:rsid w:val="00557BB0"/>
    <w:rsid w:val="00560952"/>
    <w:rsid w:val="00561064"/>
    <w:rsid w:val="005636C5"/>
    <w:rsid w:val="0056464E"/>
    <w:rsid w:val="00564E91"/>
    <w:rsid w:val="0056545B"/>
    <w:rsid w:val="005669A2"/>
    <w:rsid w:val="0057163E"/>
    <w:rsid w:val="00571C38"/>
    <w:rsid w:val="0057359F"/>
    <w:rsid w:val="00573955"/>
    <w:rsid w:val="0057739B"/>
    <w:rsid w:val="005773AC"/>
    <w:rsid w:val="005779FF"/>
    <w:rsid w:val="005818AE"/>
    <w:rsid w:val="005818D2"/>
    <w:rsid w:val="005821AD"/>
    <w:rsid w:val="005846E7"/>
    <w:rsid w:val="00587E13"/>
    <w:rsid w:val="00590967"/>
    <w:rsid w:val="0059248A"/>
    <w:rsid w:val="00593492"/>
    <w:rsid w:val="00597093"/>
    <w:rsid w:val="005A1114"/>
    <w:rsid w:val="005A20CF"/>
    <w:rsid w:val="005A2A48"/>
    <w:rsid w:val="005A2C31"/>
    <w:rsid w:val="005A3CB4"/>
    <w:rsid w:val="005A4BD1"/>
    <w:rsid w:val="005A6DD5"/>
    <w:rsid w:val="005A6FCA"/>
    <w:rsid w:val="005B202C"/>
    <w:rsid w:val="005B3946"/>
    <w:rsid w:val="005B6029"/>
    <w:rsid w:val="005B7704"/>
    <w:rsid w:val="005C1A0A"/>
    <w:rsid w:val="005C2AFC"/>
    <w:rsid w:val="005C6A84"/>
    <w:rsid w:val="005D0866"/>
    <w:rsid w:val="005D1167"/>
    <w:rsid w:val="005D1754"/>
    <w:rsid w:val="005D1B5F"/>
    <w:rsid w:val="005D20DF"/>
    <w:rsid w:val="005D29EB"/>
    <w:rsid w:val="005D3285"/>
    <w:rsid w:val="005D3E60"/>
    <w:rsid w:val="005D5639"/>
    <w:rsid w:val="005D64CB"/>
    <w:rsid w:val="005D6594"/>
    <w:rsid w:val="005D6DC9"/>
    <w:rsid w:val="005E109F"/>
    <w:rsid w:val="005E17C0"/>
    <w:rsid w:val="005E1C62"/>
    <w:rsid w:val="005E6479"/>
    <w:rsid w:val="005F04CA"/>
    <w:rsid w:val="005F06EB"/>
    <w:rsid w:val="005F19A8"/>
    <w:rsid w:val="005F19B0"/>
    <w:rsid w:val="005F6001"/>
    <w:rsid w:val="00600258"/>
    <w:rsid w:val="0060344C"/>
    <w:rsid w:val="006046C4"/>
    <w:rsid w:val="00605F66"/>
    <w:rsid w:val="006109DC"/>
    <w:rsid w:val="00611BD3"/>
    <w:rsid w:val="00613589"/>
    <w:rsid w:val="00617F5A"/>
    <w:rsid w:val="0062145A"/>
    <w:rsid w:val="006220A5"/>
    <w:rsid w:val="0062355C"/>
    <w:rsid w:val="006246CF"/>
    <w:rsid w:val="00625876"/>
    <w:rsid w:val="00627D34"/>
    <w:rsid w:val="00630999"/>
    <w:rsid w:val="00633D33"/>
    <w:rsid w:val="0063403E"/>
    <w:rsid w:val="006348B7"/>
    <w:rsid w:val="0063506D"/>
    <w:rsid w:val="00635709"/>
    <w:rsid w:val="00636688"/>
    <w:rsid w:val="0063714E"/>
    <w:rsid w:val="00640BF8"/>
    <w:rsid w:val="00641503"/>
    <w:rsid w:val="006450B3"/>
    <w:rsid w:val="0064554D"/>
    <w:rsid w:val="006456AB"/>
    <w:rsid w:val="00652680"/>
    <w:rsid w:val="00654D06"/>
    <w:rsid w:val="0066079B"/>
    <w:rsid w:val="006617AE"/>
    <w:rsid w:val="006627D0"/>
    <w:rsid w:val="00663FCE"/>
    <w:rsid w:val="00665805"/>
    <w:rsid w:val="0066647F"/>
    <w:rsid w:val="0066729C"/>
    <w:rsid w:val="00667E1C"/>
    <w:rsid w:val="00667EA6"/>
    <w:rsid w:val="00670C27"/>
    <w:rsid w:val="006737C6"/>
    <w:rsid w:val="0067475A"/>
    <w:rsid w:val="0068137C"/>
    <w:rsid w:val="006840E7"/>
    <w:rsid w:val="0068461D"/>
    <w:rsid w:val="0068734D"/>
    <w:rsid w:val="00687C20"/>
    <w:rsid w:val="0069112A"/>
    <w:rsid w:val="00691BB9"/>
    <w:rsid w:val="00692655"/>
    <w:rsid w:val="00692FA5"/>
    <w:rsid w:val="00694556"/>
    <w:rsid w:val="00695603"/>
    <w:rsid w:val="00695918"/>
    <w:rsid w:val="00696E9E"/>
    <w:rsid w:val="006A2923"/>
    <w:rsid w:val="006A3113"/>
    <w:rsid w:val="006A3A24"/>
    <w:rsid w:val="006A3DBD"/>
    <w:rsid w:val="006B167E"/>
    <w:rsid w:val="006B1B11"/>
    <w:rsid w:val="006B2D43"/>
    <w:rsid w:val="006B3603"/>
    <w:rsid w:val="006B45FA"/>
    <w:rsid w:val="006B7298"/>
    <w:rsid w:val="006C0EDA"/>
    <w:rsid w:val="006C3141"/>
    <w:rsid w:val="006C5F46"/>
    <w:rsid w:val="006C659B"/>
    <w:rsid w:val="006C7443"/>
    <w:rsid w:val="006C7D8A"/>
    <w:rsid w:val="006D083D"/>
    <w:rsid w:val="006D288B"/>
    <w:rsid w:val="006D5101"/>
    <w:rsid w:val="006D6447"/>
    <w:rsid w:val="006D78D7"/>
    <w:rsid w:val="006D7A12"/>
    <w:rsid w:val="006D7E04"/>
    <w:rsid w:val="006E0625"/>
    <w:rsid w:val="006E3E3B"/>
    <w:rsid w:val="006E4310"/>
    <w:rsid w:val="006E48DA"/>
    <w:rsid w:val="006E5714"/>
    <w:rsid w:val="006E5907"/>
    <w:rsid w:val="006F0279"/>
    <w:rsid w:val="006F088B"/>
    <w:rsid w:val="006F16FB"/>
    <w:rsid w:val="006F1E6C"/>
    <w:rsid w:val="006F2B12"/>
    <w:rsid w:val="006F2FF3"/>
    <w:rsid w:val="006F7722"/>
    <w:rsid w:val="00701CC3"/>
    <w:rsid w:val="00701D2A"/>
    <w:rsid w:val="00702296"/>
    <w:rsid w:val="007048D9"/>
    <w:rsid w:val="00705DEE"/>
    <w:rsid w:val="00712878"/>
    <w:rsid w:val="00712C0D"/>
    <w:rsid w:val="00713763"/>
    <w:rsid w:val="0071464A"/>
    <w:rsid w:val="00716098"/>
    <w:rsid w:val="007207A3"/>
    <w:rsid w:val="00721193"/>
    <w:rsid w:val="00721592"/>
    <w:rsid w:val="00724C16"/>
    <w:rsid w:val="00724E0C"/>
    <w:rsid w:val="0072552E"/>
    <w:rsid w:val="00726729"/>
    <w:rsid w:val="0072690B"/>
    <w:rsid w:val="00726E7C"/>
    <w:rsid w:val="007275E4"/>
    <w:rsid w:val="007310D5"/>
    <w:rsid w:val="00731765"/>
    <w:rsid w:val="00731A64"/>
    <w:rsid w:val="00734113"/>
    <w:rsid w:val="00734BBF"/>
    <w:rsid w:val="0073597B"/>
    <w:rsid w:val="00740F43"/>
    <w:rsid w:val="007417B9"/>
    <w:rsid w:val="0074183E"/>
    <w:rsid w:val="00742485"/>
    <w:rsid w:val="00744B56"/>
    <w:rsid w:val="00744E8C"/>
    <w:rsid w:val="0074573D"/>
    <w:rsid w:val="00745B80"/>
    <w:rsid w:val="00746B23"/>
    <w:rsid w:val="00747431"/>
    <w:rsid w:val="00751C7A"/>
    <w:rsid w:val="007521EA"/>
    <w:rsid w:val="007541A7"/>
    <w:rsid w:val="0075470E"/>
    <w:rsid w:val="007548A4"/>
    <w:rsid w:val="00754B5C"/>
    <w:rsid w:val="0075571F"/>
    <w:rsid w:val="00761F2C"/>
    <w:rsid w:val="0076217F"/>
    <w:rsid w:val="00762DE3"/>
    <w:rsid w:val="007656CD"/>
    <w:rsid w:val="00766FCF"/>
    <w:rsid w:val="00767078"/>
    <w:rsid w:val="007712D2"/>
    <w:rsid w:val="00773378"/>
    <w:rsid w:val="0077360B"/>
    <w:rsid w:val="00773969"/>
    <w:rsid w:val="0077440C"/>
    <w:rsid w:val="007750FE"/>
    <w:rsid w:val="00775607"/>
    <w:rsid w:val="00775E11"/>
    <w:rsid w:val="00775F1B"/>
    <w:rsid w:val="0077603D"/>
    <w:rsid w:val="00776AF6"/>
    <w:rsid w:val="00780E72"/>
    <w:rsid w:val="0078114F"/>
    <w:rsid w:val="007816AA"/>
    <w:rsid w:val="00783052"/>
    <w:rsid w:val="007878BF"/>
    <w:rsid w:val="007878E5"/>
    <w:rsid w:val="007906A2"/>
    <w:rsid w:val="00791594"/>
    <w:rsid w:val="00791B0A"/>
    <w:rsid w:val="0079239B"/>
    <w:rsid w:val="00792F26"/>
    <w:rsid w:val="007930CD"/>
    <w:rsid w:val="00793C62"/>
    <w:rsid w:val="007A6632"/>
    <w:rsid w:val="007A768D"/>
    <w:rsid w:val="007A781C"/>
    <w:rsid w:val="007B106E"/>
    <w:rsid w:val="007B3456"/>
    <w:rsid w:val="007B4A8E"/>
    <w:rsid w:val="007B548A"/>
    <w:rsid w:val="007B66D4"/>
    <w:rsid w:val="007C0133"/>
    <w:rsid w:val="007C03C0"/>
    <w:rsid w:val="007C0AB0"/>
    <w:rsid w:val="007C0E16"/>
    <w:rsid w:val="007C367D"/>
    <w:rsid w:val="007C4712"/>
    <w:rsid w:val="007C49FA"/>
    <w:rsid w:val="007C55F7"/>
    <w:rsid w:val="007C5C98"/>
    <w:rsid w:val="007C6CDD"/>
    <w:rsid w:val="007D1933"/>
    <w:rsid w:val="007D1C95"/>
    <w:rsid w:val="007D1D4B"/>
    <w:rsid w:val="007D2981"/>
    <w:rsid w:val="007D3426"/>
    <w:rsid w:val="007D37B9"/>
    <w:rsid w:val="007D3D77"/>
    <w:rsid w:val="007D5C73"/>
    <w:rsid w:val="007D626C"/>
    <w:rsid w:val="007D706F"/>
    <w:rsid w:val="007D7565"/>
    <w:rsid w:val="007D756D"/>
    <w:rsid w:val="007D760E"/>
    <w:rsid w:val="007D782C"/>
    <w:rsid w:val="007D794D"/>
    <w:rsid w:val="007E1546"/>
    <w:rsid w:val="007E371D"/>
    <w:rsid w:val="007E51A3"/>
    <w:rsid w:val="007E5B64"/>
    <w:rsid w:val="007F131F"/>
    <w:rsid w:val="007F1359"/>
    <w:rsid w:val="007F1831"/>
    <w:rsid w:val="007F49BA"/>
    <w:rsid w:val="007F56C8"/>
    <w:rsid w:val="00800B5D"/>
    <w:rsid w:val="00802861"/>
    <w:rsid w:val="00802C2D"/>
    <w:rsid w:val="0080381B"/>
    <w:rsid w:val="008047BE"/>
    <w:rsid w:val="00804F4D"/>
    <w:rsid w:val="00805139"/>
    <w:rsid w:val="00805FBF"/>
    <w:rsid w:val="00806502"/>
    <w:rsid w:val="008067A1"/>
    <w:rsid w:val="00807681"/>
    <w:rsid w:val="0081245B"/>
    <w:rsid w:val="00813E41"/>
    <w:rsid w:val="00814A69"/>
    <w:rsid w:val="008173D8"/>
    <w:rsid w:val="008203DE"/>
    <w:rsid w:val="008203F3"/>
    <w:rsid w:val="00822798"/>
    <w:rsid w:val="008230BC"/>
    <w:rsid w:val="008237EE"/>
    <w:rsid w:val="00825A59"/>
    <w:rsid w:val="00825C2C"/>
    <w:rsid w:val="0082752E"/>
    <w:rsid w:val="008278AE"/>
    <w:rsid w:val="008322C8"/>
    <w:rsid w:val="00832896"/>
    <w:rsid w:val="00832BC6"/>
    <w:rsid w:val="00833F97"/>
    <w:rsid w:val="00834A53"/>
    <w:rsid w:val="0083507A"/>
    <w:rsid w:val="00835106"/>
    <w:rsid w:val="008351F3"/>
    <w:rsid w:val="00835E57"/>
    <w:rsid w:val="008364EB"/>
    <w:rsid w:val="00842732"/>
    <w:rsid w:val="0084546E"/>
    <w:rsid w:val="00845D5B"/>
    <w:rsid w:val="00850BA7"/>
    <w:rsid w:val="00851058"/>
    <w:rsid w:val="00853AEA"/>
    <w:rsid w:val="00855CDC"/>
    <w:rsid w:val="008570FB"/>
    <w:rsid w:val="00857FF1"/>
    <w:rsid w:val="00862242"/>
    <w:rsid w:val="0086449D"/>
    <w:rsid w:val="00867DC1"/>
    <w:rsid w:val="008701AD"/>
    <w:rsid w:val="008701C1"/>
    <w:rsid w:val="008702E1"/>
    <w:rsid w:val="00870799"/>
    <w:rsid w:val="00873955"/>
    <w:rsid w:val="008756D4"/>
    <w:rsid w:val="00876ED5"/>
    <w:rsid w:val="0088031D"/>
    <w:rsid w:val="00880D9B"/>
    <w:rsid w:val="00881057"/>
    <w:rsid w:val="008811B4"/>
    <w:rsid w:val="00881A80"/>
    <w:rsid w:val="0088453C"/>
    <w:rsid w:val="008849AE"/>
    <w:rsid w:val="00885DCD"/>
    <w:rsid w:val="00887D24"/>
    <w:rsid w:val="00890380"/>
    <w:rsid w:val="00891342"/>
    <w:rsid w:val="00891F66"/>
    <w:rsid w:val="0089278B"/>
    <w:rsid w:val="008A0D6A"/>
    <w:rsid w:val="008A3219"/>
    <w:rsid w:val="008A3A8D"/>
    <w:rsid w:val="008A3DE4"/>
    <w:rsid w:val="008A52F3"/>
    <w:rsid w:val="008A7165"/>
    <w:rsid w:val="008B0315"/>
    <w:rsid w:val="008B06EF"/>
    <w:rsid w:val="008B0A55"/>
    <w:rsid w:val="008B0CF5"/>
    <w:rsid w:val="008B2F75"/>
    <w:rsid w:val="008B387D"/>
    <w:rsid w:val="008B445B"/>
    <w:rsid w:val="008B5215"/>
    <w:rsid w:val="008B65E7"/>
    <w:rsid w:val="008C0354"/>
    <w:rsid w:val="008C07D4"/>
    <w:rsid w:val="008C2BD9"/>
    <w:rsid w:val="008C508E"/>
    <w:rsid w:val="008C7BA9"/>
    <w:rsid w:val="008D0348"/>
    <w:rsid w:val="008D253B"/>
    <w:rsid w:val="008D2698"/>
    <w:rsid w:val="008D3974"/>
    <w:rsid w:val="008D53CE"/>
    <w:rsid w:val="008E06DD"/>
    <w:rsid w:val="008E36AA"/>
    <w:rsid w:val="008E7C4E"/>
    <w:rsid w:val="008F0B04"/>
    <w:rsid w:val="008F1724"/>
    <w:rsid w:val="008F2CDB"/>
    <w:rsid w:val="008F3243"/>
    <w:rsid w:val="008F45E9"/>
    <w:rsid w:val="008F6A83"/>
    <w:rsid w:val="008F6AE5"/>
    <w:rsid w:val="008F6B74"/>
    <w:rsid w:val="008F6B77"/>
    <w:rsid w:val="008F729F"/>
    <w:rsid w:val="0090395A"/>
    <w:rsid w:val="00903AF3"/>
    <w:rsid w:val="00904FCC"/>
    <w:rsid w:val="00904FED"/>
    <w:rsid w:val="0090596F"/>
    <w:rsid w:val="0091037F"/>
    <w:rsid w:val="00911956"/>
    <w:rsid w:val="00911BCE"/>
    <w:rsid w:val="00912778"/>
    <w:rsid w:val="00915136"/>
    <w:rsid w:val="00915B3E"/>
    <w:rsid w:val="00917650"/>
    <w:rsid w:val="009278EB"/>
    <w:rsid w:val="00931E07"/>
    <w:rsid w:val="00932FD7"/>
    <w:rsid w:val="00933643"/>
    <w:rsid w:val="00934FC2"/>
    <w:rsid w:val="00935265"/>
    <w:rsid w:val="009359D6"/>
    <w:rsid w:val="009419EB"/>
    <w:rsid w:val="00944ABB"/>
    <w:rsid w:val="009456E4"/>
    <w:rsid w:val="00945C94"/>
    <w:rsid w:val="00945E66"/>
    <w:rsid w:val="00952709"/>
    <w:rsid w:val="00952B70"/>
    <w:rsid w:val="00953A6C"/>
    <w:rsid w:val="009634D6"/>
    <w:rsid w:val="009643CA"/>
    <w:rsid w:val="00964A45"/>
    <w:rsid w:val="00966FA5"/>
    <w:rsid w:val="009705C5"/>
    <w:rsid w:val="00973759"/>
    <w:rsid w:val="00977DDA"/>
    <w:rsid w:val="00977F32"/>
    <w:rsid w:val="00981765"/>
    <w:rsid w:val="00981EA5"/>
    <w:rsid w:val="00983AF2"/>
    <w:rsid w:val="00985888"/>
    <w:rsid w:val="00986028"/>
    <w:rsid w:val="009861E7"/>
    <w:rsid w:val="00987623"/>
    <w:rsid w:val="009925A3"/>
    <w:rsid w:val="00994F36"/>
    <w:rsid w:val="00997560"/>
    <w:rsid w:val="009A2D5C"/>
    <w:rsid w:val="009A3578"/>
    <w:rsid w:val="009A4A0A"/>
    <w:rsid w:val="009A4F27"/>
    <w:rsid w:val="009B056F"/>
    <w:rsid w:val="009B1A29"/>
    <w:rsid w:val="009B6C49"/>
    <w:rsid w:val="009B7B43"/>
    <w:rsid w:val="009B7EFC"/>
    <w:rsid w:val="009C032E"/>
    <w:rsid w:val="009C11CD"/>
    <w:rsid w:val="009C3676"/>
    <w:rsid w:val="009C37A5"/>
    <w:rsid w:val="009C4336"/>
    <w:rsid w:val="009C56E2"/>
    <w:rsid w:val="009C5C0D"/>
    <w:rsid w:val="009C7665"/>
    <w:rsid w:val="009D1443"/>
    <w:rsid w:val="009D20DF"/>
    <w:rsid w:val="009D3E78"/>
    <w:rsid w:val="009D4769"/>
    <w:rsid w:val="009D49A9"/>
    <w:rsid w:val="009D5340"/>
    <w:rsid w:val="009D5377"/>
    <w:rsid w:val="009D54F7"/>
    <w:rsid w:val="009D6228"/>
    <w:rsid w:val="009D634F"/>
    <w:rsid w:val="009D6837"/>
    <w:rsid w:val="009D6874"/>
    <w:rsid w:val="009D703E"/>
    <w:rsid w:val="009E21C2"/>
    <w:rsid w:val="009E23DB"/>
    <w:rsid w:val="009E2773"/>
    <w:rsid w:val="009E3D12"/>
    <w:rsid w:val="009E5521"/>
    <w:rsid w:val="009E6147"/>
    <w:rsid w:val="009F101D"/>
    <w:rsid w:val="009F1191"/>
    <w:rsid w:val="009F1BA6"/>
    <w:rsid w:val="009F77F2"/>
    <w:rsid w:val="009F7DBA"/>
    <w:rsid w:val="00A024D7"/>
    <w:rsid w:val="00A04692"/>
    <w:rsid w:val="00A05446"/>
    <w:rsid w:val="00A13596"/>
    <w:rsid w:val="00A153CE"/>
    <w:rsid w:val="00A16B6D"/>
    <w:rsid w:val="00A20820"/>
    <w:rsid w:val="00A2268B"/>
    <w:rsid w:val="00A23E92"/>
    <w:rsid w:val="00A246A9"/>
    <w:rsid w:val="00A25132"/>
    <w:rsid w:val="00A25A1E"/>
    <w:rsid w:val="00A31445"/>
    <w:rsid w:val="00A34F45"/>
    <w:rsid w:val="00A34F84"/>
    <w:rsid w:val="00A36C62"/>
    <w:rsid w:val="00A37519"/>
    <w:rsid w:val="00A43A29"/>
    <w:rsid w:val="00A44256"/>
    <w:rsid w:val="00A45ADF"/>
    <w:rsid w:val="00A465E3"/>
    <w:rsid w:val="00A469DA"/>
    <w:rsid w:val="00A50485"/>
    <w:rsid w:val="00A50B6B"/>
    <w:rsid w:val="00A50C41"/>
    <w:rsid w:val="00A51B04"/>
    <w:rsid w:val="00A51E32"/>
    <w:rsid w:val="00A525E6"/>
    <w:rsid w:val="00A5396E"/>
    <w:rsid w:val="00A55D47"/>
    <w:rsid w:val="00A56A72"/>
    <w:rsid w:val="00A61A8B"/>
    <w:rsid w:val="00A61A8E"/>
    <w:rsid w:val="00A64FEB"/>
    <w:rsid w:val="00A651BD"/>
    <w:rsid w:val="00A6557F"/>
    <w:rsid w:val="00A65E4D"/>
    <w:rsid w:val="00A665DA"/>
    <w:rsid w:val="00A70037"/>
    <w:rsid w:val="00A70C84"/>
    <w:rsid w:val="00A7135B"/>
    <w:rsid w:val="00A73498"/>
    <w:rsid w:val="00A740BB"/>
    <w:rsid w:val="00A74A64"/>
    <w:rsid w:val="00A74A82"/>
    <w:rsid w:val="00A7665D"/>
    <w:rsid w:val="00A77175"/>
    <w:rsid w:val="00A8023B"/>
    <w:rsid w:val="00A814C5"/>
    <w:rsid w:val="00A822AA"/>
    <w:rsid w:val="00A82EC7"/>
    <w:rsid w:val="00A84543"/>
    <w:rsid w:val="00A847CE"/>
    <w:rsid w:val="00A84AB8"/>
    <w:rsid w:val="00A876BE"/>
    <w:rsid w:val="00A87F7D"/>
    <w:rsid w:val="00A87FF7"/>
    <w:rsid w:val="00A924B8"/>
    <w:rsid w:val="00A9435A"/>
    <w:rsid w:val="00A96881"/>
    <w:rsid w:val="00AA2026"/>
    <w:rsid w:val="00AA3A17"/>
    <w:rsid w:val="00AA3C52"/>
    <w:rsid w:val="00AB03F3"/>
    <w:rsid w:val="00AB061D"/>
    <w:rsid w:val="00AB1FE6"/>
    <w:rsid w:val="00AB7AF5"/>
    <w:rsid w:val="00AC06C7"/>
    <w:rsid w:val="00AC50F4"/>
    <w:rsid w:val="00AC5359"/>
    <w:rsid w:val="00AC5BAF"/>
    <w:rsid w:val="00AC6428"/>
    <w:rsid w:val="00AD05B8"/>
    <w:rsid w:val="00AD1484"/>
    <w:rsid w:val="00AD3C5B"/>
    <w:rsid w:val="00AD3E4A"/>
    <w:rsid w:val="00AD58C8"/>
    <w:rsid w:val="00AD5C8D"/>
    <w:rsid w:val="00AD6E6A"/>
    <w:rsid w:val="00AD7667"/>
    <w:rsid w:val="00AD76DA"/>
    <w:rsid w:val="00AD7F13"/>
    <w:rsid w:val="00AE027A"/>
    <w:rsid w:val="00AE08CC"/>
    <w:rsid w:val="00AE1A4F"/>
    <w:rsid w:val="00AE4CFF"/>
    <w:rsid w:val="00AE6090"/>
    <w:rsid w:val="00AE6C4D"/>
    <w:rsid w:val="00AE6F53"/>
    <w:rsid w:val="00AE78ED"/>
    <w:rsid w:val="00AE7E86"/>
    <w:rsid w:val="00AF25E0"/>
    <w:rsid w:val="00AF3034"/>
    <w:rsid w:val="00AF358D"/>
    <w:rsid w:val="00AF409D"/>
    <w:rsid w:val="00AF4115"/>
    <w:rsid w:val="00AF4265"/>
    <w:rsid w:val="00AF6ADF"/>
    <w:rsid w:val="00B00806"/>
    <w:rsid w:val="00B04DD4"/>
    <w:rsid w:val="00B05F86"/>
    <w:rsid w:val="00B1019C"/>
    <w:rsid w:val="00B10BBF"/>
    <w:rsid w:val="00B11A21"/>
    <w:rsid w:val="00B131C9"/>
    <w:rsid w:val="00B134F7"/>
    <w:rsid w:val="00B135CC"/>
    <w:rsid w:val="00B138EE"/>
    <w:rsid w:val="00B178E7"/>
    <w:rsid w:val="00B20341"/>
    <w:rsid w:val="00B22F21"/>
    <w:rsid w:val="00B236EA"/>
    <w:rsid w:val="00B254D9"/>
    <w:rsid w:val="00B310DD"/>
    <w:rsid w:val="00B33C04"/>
    <w:rsid w:val="00B34A4B"/>
    <w:rsid w:val="00B36556"/>
    <w:rsid w:val="00B455DB"/>
    <w:rsid w:val="00B45D45"/>
    <w:rsid w:val="00B45FAE"/>
    <w:rsid w:val="00B47A60"/>
    <w:rsid w:val="00B51DD9"/>
    <w:rsid w:val="00B54085"/>
    <w:rsid w:val="00B55F4E"/>
    <w:rsid w:val="00B57ECD"/>
    <w:rsid w:val="00B60D9D"/>
    <w:rsid w:val="00B61380"/>
    <w:rsid w:val="00B62E3F"/>
    <w:rsid w:val="00B64238"/>
    <w:rsid w:val="00B648BC"/>
    <w:rsid w:val="00B64E5E"/>
    <w:rsid w:val="00B66744"/>
    <w:rsid w:val="00B74E98"/>
    <w:rsid w:val="00B77E06"/>
    <w:rsid w:val="00B80318"/>
    <w:rsid w:val="00B809DF"/>
    <w:rsid w:val="00B825F7"/>
    <w:rsid w:val="00B826C9"/>
    <w:rsid w:val="00B83194"/>
    <w:rsid w:val="00B83649"/>
    <w:rsid w:val="00B839DE"/>
    <w:rsid w:val="00B8417F"/>
    <w:rsid w:val="00B845B5"/>
    <w:rsid w:val="00B85460"/>
    <w:rsid w:val="00B87807"/>
    <w:rsid w:val="00B87A05"/>
    <w:rsid w:val="00B906EA"/>
    <w:rsid w:val="00B91D72"/>
    <w:rsid w:val="00B92239"/>
    <w:rsid w:val="00B925E4"/>
    <w:rsid w:val="00B9324C"/>
    <w:rsid w:val="00B94CFD"/>
    <w:rsid w:val="00B95155"/>
    <w:rsid w:val="00B95755"/>
    <w:rsid w:val="00B969B7"/>
    <w:rsid w:val="00B96E38"/>
    <w:rsid w:val="00B96E8C"/>
    <w:rsid w:val="00B975E0"/>
    <w:rsid w:val="00BA0243"/>
    <w:rsid w:val="00BA0FF3"/>
    <w:rsid w:val="00BA2C7B"/>
    <w:rsid w:val="00BA4DC1"/>
    <w:rsid w:val="00BA5B24"/>
    <w:rsid w:val="00BA5D83"/>
    <w:rsid w:val="00BA7803"/>
    <w:rsid w:val="00BB1B5C"/>
    <w:rsid w:val="00BB4C3F"/>
    <w:rsid w:val="00BC0260"/>
    <w:rsid w:val="00BC0B4E"/>
    <w:rsid w:val="00BC4DDF"/>
    <w:rsid w:val="00BC705F"/>
    <w:rsid w:val="00BC77B0"/>
    <w:rsid w:val="00BD0473"/>
    <w:rsid w:val="00BD141D"/>
    <w:rsid w:val="00BD17FC"/>
    <w:rsid w:val="00BD246C"/>
    <w:rsid w:val="00BD6DBE"/>
    <w:rsid w:val="00BE09F8"/>
    <w:rsid w:val="00BE11B8"/>
    <w:rsid w:val="00BE181D"/>
    <w:rsid w:val="00BE23AF"/>
    <w:rsid w:val="00BE27FC"/>
    <w:rsid w:val="00BE2A95"/>
    <w:rsid w:val="00BE4FD2"/>
    <w:rsid w:val="00BE5662"/>
    <w:rsid w:val="00BE57D3"/>
    <w:rsid w:val="00BE664D"/>
    <w:rsid w:val="00BF05FE"/>
    <w:rsid w:val="00BF0EE9"/>
    <w:rsid w:val="00BF364A"/>
    <w:rsid w:val="00BF3FC6"/>
    <w:rsid w:val="00BF640F"/>
    <w:rsid w:val="00BF7D40"/>
    <w:rsid w:val="00C0047C"/>
    <w:rsid w:val="00C01837"/>
    <w:rsid w:val="00C0450B"/>
    <w:rsid w:val="00C04EC0"/>
    <w:rsid w:val="00C0570B"/>
    <w:rsid w:val="00C05A94"/>
    <w:rsid w:val="00C05B09"/>
    <w:rsid w:val="00C0613C"/>
    <w:rsid w:val="00C0701E"/>
    <w:rsid w:val="00C10EF3"/>
    <w:rsid w:val="00C110CC"/>
    <w:rsid w:val="00C112AD"/>
    <w:rsid w:val="00C12846"/>
    <w:rsid w:val="00C136FF"/>
    <w:rsid w:val="00C14181"/>
    <w:rsid w:val="00C24C7F"/>
    <w:rsid w:val="00C263E4"/>
    <w:rsid w:val="00C26905"/>
    <w:rsid w:val="00C2717E"/>
    <w:rsid w:val="00C274E6"/>
    <w:rsid w:val="00C27CA3"/>
    <w:rsid w:val="00C30623"/>
    <w:rsid w:val="00C361B4"/>
    <w:rsid w:val="00C403B1"/>
    <w:rsid w:val="00C404DB"/>
    <w:rsid w:val="00C41FD6"/>
    <w:rsid w:val="00C42375"/>
    <w:rsid w:val="00C42630"/>
    <w:rsid w:val="00C42B7C"/>
    <w:rsid w:val="00C43EB4"/>
    <w:rsid w:val="00C44905"/>
    <w:rsid w:val="00C44A74"/>
    <w:rsid w:val="00C44F1C"/>
    <w:rsid w:val="00C46AF6"/>
    <w:rsid w:val="00C5039D"/>
    <w:rsid w:val="00C50C87"/>
    <w:rsid w:val="00C51F19"/>
    <w:rsid w:val="00C54D78"/>
    <w:rsid w:val="00C57AB2"/>
    <w:rsid w:val="00C606C5"/>
    <w:rsid w:val="00C615EB"/>
    <w:rsid w:val="00C62455"/>
    <w:rsid w:val="00C63BEB"/>
    <w:rsid w:val="00C65598"/>
    <w:rsid w:val="00C71487"/>
    <w:rsid w:val="00C728D1"/>
    <w:rsid w:val="00C74122"/>
    <w:rsid w:val="00C7540D"/>
    <w:rsid w:val="00C77BAA"/>
    <w:rsid w:val="00C814BD"/>
    <w:rsid w:val="00C83EF2"/>
    <w:rsid w:val="00C865C2"/>
    <w:rsid w:val="00C9021E"/>
    <w:rsid w:val="00C923D6"/>
    <w:rsid w:val="00C92F75"/>
    <w:rsid w:val="00C94111"/>
    <w:rsid w:val="00C96CE6"/>
    <w:rsid w:val="00C97491"/>
    <w:rsid w:val="00CA0969"/>
    <w:rsid w:val="00CA13A2"/>
    <w:rsid w:val="00CA2E13"/>
    <w:rsid w:val="00CA3E2C"/>
    <w:rsid w:val="00CA4C36"/>
    <w:rsid w:val="00CA5B88"/>
    <w:rsid w:val="00CA69AF"/>
    <w:rsid w:val="00CA6C8A"/>
    <w:rsid w:val="00CB3A9B"/>
    <w:rsid w:val="00CB6D27"/>
    <w:rsid w:val="00CC51AF"/>
    <w:rsid w:val="00CC5871"/>
    <w:rsid w:val="00CC6034"/>
    <w:rsid w:val="00CD0DF7"/>
    <w:rsid w:val="00CD2069"/>
    <w:rsid w:val="00CD2095"/>
    <w:rsid w:val="00CD3442"/>
    <w:rsid w:val="00CD4F8A"/>
    <w:rsid w:val="00CD5F4E"/>
    <w:rsid w:val="00CD6C6C"/>
    <w:rsid w:val="00CE1166"/>
    <w:rsid w:val="00CE30AD"/>
    <w:rsid w:val="00CE3B2B"/>
    <w:rsid w:val="00CE6D60"/>
    <w:rsid w:val="00CE784C"/>
    <w:rsid w:val="00CF01F5"/>
    <w:rsid w:val="00CF53E5"/>
    <w:rsid w:val="00CF6665"/>
    <w:rsid w:val="00CF68CE"/>
    <w:rsid w:val="00CF6DC8"/>
    <w:rsid w:val="00CF7DD1"/>
    <w:rsid w:val="00D01BAE"/>
    <w:rsid w:val="00D01FDF"/>
    <w:rsid w:val="00D021A3"/>
    <w:rsid w:val="00D0256E"/>
    <w:rsid w:val="00D039CF"/>
    <w:rsid w:val="00D04EC5"/>
    <w:rsid w:val="00D06BB2"/>
    <w:rsid w:val="00D10D84"/>
    <w:rsid w:val="00D12F00"/>
    <w:rsid w:val="00D16172"/>
    <w:rsid w:val="00D161D7"/>
    <w:rsid w:val="00D169C5"/>
    <w:rsid w:val="00D213AB"/>
    <w:rsid w:val="00D21D60"/>
    <w:rsid w:val="00D22A83"/>
    <w:rsid w:val="00D2349C"/>
    <w:rsid w:val="00D235E4"/>
    <w:rsid w:val="00D23DAF"/>
    <w:rsid w:val="00D2420F"/>
    <w:rsid w:val="00D26B65"/>
    <w:rsid w:val="00D27532"/>
    <w:rsid w:val="00D30903"/>
    <w:rsid w:val="00D31D82"/>
    <w:rsid w:val="00D3531B"/>
    <w:rsid w:val="00D36547"/>
    <w:rsid w:val="00D36BFE"/>
    <w:rsid w:val="00D42020"/>
    <w:rsid w:val="00D43D75"/>
    <w:rsid w:val="00D44D92"/>
    <w:rsid w:val="00D45CAB"/>
    <w:rsid w:val="00D465BD"/>
    <w:rsid w:val="00D47E10"/>
    <w:rsid w:val="00D5093B"/>
    <w:rsid w:val="00D517A2"/>
    <w:rsid w:val="00D521BD"/>
    <w:rsid w:val="00D55006"/>
    <w:rsid w:val="00D60217"/>
    <w:rsid w:val="00D62DEC"/>
    <w:rsid w:val="00D62F16"/>
    <w:rsid w:val="00D62FFE"/>
    <w:rsid w:val="00D63CFF"/>
    <w:rsid w:val="00D6405F"/>
    <w:rsid w:val="00D647FE"/>
    <w:rsid w:val="00D6674E"/>
    <w:rsid w:val="00D66852"/>
    <w:rsid w:val="00D67AC8"/>
    <w:rsid w:val="00D70B92"/>
    <w:rsid w:val="00D767EC"/>
    <w:rsid w:val="00D76D52"/>
    <w:rsid w:val="00D77A8F"/>
    <w:rsid w:val="00D8088F"/>
    <w:rsid w:val="00D82E47"/>
    <w:rsid w:val="00D87FD0"/>
    <w:rsid w:val="00D90CB2"/>
    <w:rsid w:val="00D92A82"/>
    <w:rsid w:val="00D92B69"/>
    <w:rsid w:val="00D9378D"/>
    <w:rsid w:val="00D9399B"/>
    <w:rsid w:val="00D940E4"/>
    <w:rsid w:val="00D978CE"/>
    <w:rsid w:val="00DA01E3"/>
    <w:rsid w:val="00DA0A5D"/>
    <w:rsid w:val="00DA0F9A"/>
    <w:rsid w:val="00DA274A"/>
    <w:rsid w:val="00DA334F"/>
    <w:rsid w:val="00DA41F7"/>
    <w:rsid w:val="00DA4744"/>
    <w:rsid w:val="00DA5660"/>
    <w:rsid w:val="00DA5815"/>
    <w:rsid w:val="00DA7A89"/>
    <w:rsid w:val="00DA7B3E"/>
    <w:rsid w:val="00DB1833"/>
    <w:rsid w:val="00DB1DC0"/>
    <w:rsid w:val="00DB31CA"/>
    <w:rsid w:val="00DB4074"/>
    <w:rsid w:val="00DB4DF5"/>
    <w:rsid w:val="00DB53CB"/>
    <w:rsid w:val="00DB5789"/>
    <w:rsid w:val="00DB58D9"/>
    <w:rsid w:val="00DB5A6C"/>
    <w:rsid w:val="00DC0883"/>
    <w:rsid w:val="00DC0D50"/>
    <w:rsid w:val="00DC393F"/>
    <w:rsid w:val="00DC41D9"/>
    <w:rsid w:val="00DC5990"/>
    <w:rsid w:val="00DC5D62"/>
    <w:rsid w:val="00DC5F5E"/>
    <w:rsid w:val="00DC6028"/>
    <w:rsid w:val="00DC6C41"/>
    <w:rsid w:val="00DC6C96"/>
    <w:rsid w:val="00DC7913"/>
    <w:rsid w:val="00DC7930"/>
    <w:rsid w:val="00DD00A5"/>
    <w:rsid w:val="00DD2BE4"/>
    <w:rsid w:val="00DD4212"/>
    <w:rsid w:val="00DD4300"/>
    <w:rsid w:val="00DD45EC"/>
    <w:rsid w:val="00DD4777"/>
    <w:rsid w:val="00DD4866"/>
    <w:rsid w:val="00DD5159"/>
    <w:rsid w:val="00DD6ACC"/>
    <w:rsid w:val="00DD6F30"/>
    <w:rsid w:val="00DE1974"/>
    <w:rsid w:val="00DE3A82"/>
    <w:rsid w:val="00DE56DA"/>
    <w:rsid w:val="00DE6AA3"/>
    <w:rsid w:val="00DE6F84"/>
    <w:rsid w:val="00DF123F"/>
    <w:rsid w:val="00DF4FCB"/>
    <w:rsid w:val="00DF613A"/>
    <w:rsid w:val="00DF6B1A"/>
    <w:rsid w:val="00DF7890"/>
    <w:rsid w:val="00E01AC1"/>
    <w:rsid w:val="00E024A7"/>
    <w:rsid w:val="00E02E30"/>
    <w:rsid w:val="00E0692D"/>
    <w:rsid w:val="00E06C7E"/>
    <w:rsid w:val="00E06E90"/>
    <w:rsid w:val="00E07C10"/>
    <w:rsid w:val="00E121E6"/>
    <w:rsid w:val="00E126E5"/>
    <w:rsid w:val="00E127B8"/>
    <w:rsid w:val="00E14588"/>
    <w:rsid w:val="00E14949"/>
    <w:rsid w:val="00E15BA9"/>
    <w:rsid w:val="00E22445"/>
    <w:rsid w:val="00E2298A"/>
    <w:rsid w:val="00E23B3E"/>
    <w:rsid w:val="00E2566B"/>
    <w:rsid w:val="00E26204"/>
    <w:rsid w:val="00E2693A"/>
    <w:rsid w:val="00E27EE9"/>
    <w:rsid w:val="00E3399A"/>
    <w:rsid w:val="00E3562F"/>
    <w:rsid w:val="00E375D4"/>
    <w:rsid w:val="00E3778A"/>
    <w:rsid w:val="00E37A68"/>
    <w:rsid w:val="00E408B2"/>
    <w:rsid w:val="00E41A86"/>
    <w:rsid w:val="00E43389"/>
    <w:rsid w:val="00E43611"/>
    <w:rsid w:val="00E4526F"/>
    <w:rsid w:val="00E46A36"/>
    <w:rsid w:val="00E471A8"/>
    <w:rsid w:val="00E472BD"/>
    <w:rsid w:val="00E47C53"/>
    <w:rsid w:val="00E5059A"/>
    <w:rsid w:val="00E50B0F"/>
    <w:rsid w:val="00E51847"/>
    <w:rsid w:val="00E52E74"/>
    <w:rsid w:val="00E534CF"/>
    <w:rsid w:val="00E54B2A"/>
    <w:rsid w:val="00E55069"/>
    <w:rsid w:val="00E552CE"/>
    <w:rsid w:val="00E55314"/>
    <w:rsid w:val="00E5650C"/>
    <w:rsid w:val="00E576B4"/>
    <w:rsid w:val="00E61812"/>
    <w:rsid w:val="00E61C47"/>
    <w:rsid w:val="00E61ED3"/>
    <w:rsid w:val="00E6206D"/>
    <w:rsid w:val="00E62BA3"/>
    <w:rsid w:val="00E63F61"/>
    <w:rsid w:val="00E657CA"/>
    <w:rsid w:val="00E65AF4"/>
    <w:rsid w:val="00E6691A"/>
    <w:rsid w:val="00E710AD"/>
    <w:rsid w:val="00E714F6"/>
    <w:rsid w:val="00E72991"/>
    <w:rsid w:val="00E7402F"/>
    <w:rsid w:val="00E75C18"/>
    <w:rsid w:val="00E768A5"/>
    <w:rsid w:val="00E778F8"/>
    <w:rsid w:val="00E81E84"/>
    <w:rsid w:val="00E83014"/>
    <w:rsid w:val="00E874BE"/>
    <w:rsid w:val="00E90E57"/>
    <w:rsid w:val="00E9244E"/>
    <w:rsid w:val="00E944DC"/>
    <w:rsid w:val="00E949A0"/>
    <w:rsid w:val="00E94FBB"/>
    <w:rsid w:val="00E95683"/>
    <w:rsid w:val="00EA0FDA"/>
    <w:rsid w:val="00EA1042"/>
    <w:rsid w:val="00EA10B4"/>
    <w:rsid w:val="00EA1D9F"/>
    <w:rsid w:val="00EA2245"/>
    <w:rsid w:val="00EA25B7"/>
    <w:rsid w:val="00EA3414"/>
    <w:rsid w:val="00EA39E9"/>
    <w:rsid w:val="00EA4FA7"/>
    <w:rsid w:val="00EA6139"/>
    <w:rsid w:val="00EA7C1E"/>
    <w:rsid w:val="00EB15AC"/>
    <w:rsid w:val="00EB250A"/>
    <w:rsid w:val="00EB4A75"/>
    <w:rsid w:val="00EB662C"/>
    <w:rsid w:val="00EB68E1"/>
    <w:rsid w:val="00EB7A44"/>
    <w:rsid w:val="00EB7D89"/>
    <w:rsid w:val="00EC0E02"/>
    <w:rsid w:val="00EC2529"/>
    <w:rsid w:val="00EC2DF0"/>
    <w:rsid w:val="00EC2E28"/>
    <w:rsid w:val="00EC3326"/>
    <w:rsid w:val="00EC4139"/>
    <w:rsid w:val="00EC5C3F"/>
    <w:rsid w:val="00EC5EB9"/>
    <w:rsid w:val="00EC5FC7"/>
    <w:rsid w:val="00EC7BFB"/>
    <w:rsid w:val="00EC7D98"/>
    <w:rsid w:val="00EC7F8D"/>
    <w:rsid w:val="00ED1DC7"/>
    <w:rsid w:val="00ED2DFB"/>
    <w:rsid w:val="00ED3B0D"/>
    <w:rsid w:val="00ED630F"/>
    <w:rsid w:val="00ED6B45"/>
    <w:rsid w:val="00ED7222"/>
    <w:rsid w:val="00ED76A3"/>
    <w:rsid w:val="00EE4AE6"/>
    <w:rsid w:val="00EE4E4B"/>
    <w:rsid w:val="00EE5A72"/>
    <w:rsid w:val="00EE6353"/>
    <w:rsid w:val="00EF24DD"/>
    <w:rsid w:val="00EF3329"/>
    <w:rsid w:val="00EF70A2"/>
    <w:rsid w:val="00EF77AD"/>
    <w:rsid w:val="00F00C3A"/>
    <w:rsid w:val="00F01AB2"/>
    <w:rsid w:val="00F022FA"/>
    <w:rsid w:val="00F02937"/>
    <w:rsid w:val="00F03757"/>
    <w:rsid w:val="00F03A5D"/>
    <w:rsid w:val="00F045EF"/>
    <w:rsid w:val="00F05C1F"/>
    <w:rsid w:val="00F07BDC"/>
    <w:rsid w:val="00F1047C"/>
    <w:rsid w:val="00F10AFC"/>
    <w:rsid w:val="00F13B35"/>
    <w:rsid w:val="00F14522"/>
    <w:rsid w:val="00F14A33"/>
    <w:rsid w:val="00F15981"/>
    <w:rsid w:val="00F15A9D"/>
    <w:rsid w:val="00F15DBA"/>
    <w:rsid w:val="00F2003C"/>
    <w:rsid w:val="00F20B53"/>
    <w:rsid w:val="00F20CB9"/>
    <w:rsid w:val="00F2255D"/>
    <w:rsid w:val="00F23000"/>
    <w:rsid w:val="00F23E7C"/>
    <w:rsid w:val="00F24886"/>
    <w:rsid w:val="00F31260"/>
    <w:rsid w:val="00F32143"/>
    <w:rsid w:val="00F32E29"/>
    <w:rsid w:val="00F33E8E"/>
    <w:rsid w:val="00F3645B"/>
    <w:rsid w:val="00F43F29"/>
    <w:rsid w:val="00F44B8D"/>
    <w:rsid w:val="00F44EC8"/>
    <w:rsid w:val="00F44FA3"/>
    <w:rsid w:val="00F44FBC"/>
    <w:rsid w:val="00F45667"/>
    <w:rsid w:val="00F472C5"/>
    <w:rsid w:val="00F47EE6"/>
    <w:rsid w:val="00F50E32"/>
    <w:rsid w:val="00F52CDE"/>
    <w:rsid w:val="00F53936"/>
    <w:rsid w:val="00F54236"/>
    <w:rsid w:val="00F54297"/>
    <w:rsid w:val="00F54F93"/>
    <w:rsid w:val="00F55223"/>
    <w:rsid w:val="00F55FD2"/>
    <w:rsid w:val="00F562EE"/>
    <w:rsid w:val="00F564CA"/>
    <w:rsid w:val="00F60BC3"/>
    <w:rsid w:val="00F61A54"/>
    <w:rsid w:val="00F62E31"/>
    <w:rsid w:val="00F63453"/>
    <w:rsid w:val="00F64788"/>
    <w:rsid w:val="00F64851"/>
    <w:rsid w:val="00F648B8"/>
    <w:rsid w:val="00F65C83"/>
    <w:rsid w:val="00F65EAF"/>
    <w:rsid w:val="00F66150"/>
    <w:rsid w:val="00F7080F"/>
    <w:rsid w:val="00F714F3"/>
    <w:rsid w:val="00F72A8A"/>
    <w:rsid w:val="00F731DC"/>
    <w:rsid w:val="00F74EE8"/>
    <w:rsid w:val="00F76A81"/>
    <w:rsid w:val="00F777ED"/>
    <w:rsid w:val="00F802E2"/>
    <w:rsid w:val="00F80D13"/>
    <w:rsid w:val="00F85446"/>
    <w:rsid w:val="00F8680B"/>
    <w:rsid w:val="00F87560"/>
    <w:rsid w:val="00F91FC9"/>
    <w:rsid w:val="00F92ED0"/>
    <w:rsid w:val="00F959E7"/>
    <w:rsid w:val="00F95E52"/>
    <w:rsid w:val="00F96A1C"/>
    <w:rsid w:val="00F97939"/>
    <w:rsid w:val="00FA05FB"/>
    <w:rsid w:val="00FA13AF"/>
    <w:rsid w:val="00FA5420"/>
    <w:rsid w:val="00FA5F31"/>
    <w:rsid w:val="00FA7404"/>
    <w:rsid w:val="00FA7D64"/>
    <w:rsid w:val="00FB0ABE"/>
    <w:rsid w:val="00FB1526"/>
    <w:rsid w:val="00FB16D0"/>
    <w:rsid w:val="00FB2032"/>
    <w:rsid w:val="00FB2CE6"/>
    <w:rsid w:val="00FB4361"/>
    <w:rsid w:val="00FB43D9"/>
    <w:rsid w:val="00FC1840"/>
    <w:rsid w:val="00FC2844"/>
    <w:rsid w:val="00FC45CD"/>
    <w:rsid w:val="00FC649B"/>
    <w:rsid w:val="00FC668A"/>
    <w:rsid w:val="00FC6A54"/>
    <w:rsid w:val="00FC7F43"/>
    <w:rsid w:val="00FD1064"/>
    <w:rsid w:val="00FD1CC1"/>
    <w:rsid w:val="00FD2815"/>
    <w:rsid w:val="00FD29D4"/>
    <w:rsid w:val="00FD536D"/>
    <w:rsid w:val="00FD541F"/>
    <w:rsid w:val="00FD67FF"/>
    <w:rsid w:val="00FD6C10"/>
    <w:rsid w:val="00FD764D"/>
    <w:rsid w:val="00FE4A37"/>
    <w:rsid w:val="00FE76C8"/>
    <w:rsid w:val="00FE7EEC"/>
    <w:rsid w:val="00FF0AB1"/>
    <w:rsid w:val="00FF15C0"/>
    <w:rsid w:val="00FF175B"/>
    <w:rsid w:val="00FF3DED"/>
    <w:rsid w:val="00FF5C1C"/>
    <w:rsid w:val="00FF6686"/>
    <w:rsid w:val="00FF7EF8"/>
    <w:rsid w:val="01EF3562"/>
    <w:rsid w:val="062115EE"/>
    <w:rsid w:val="101168C5"/>
    <w:rsid w:val="16D03E67"/>
    <w:rsid w:val="18C85496"/>
    <w:rsid w:val="19E67CE5"/>
    <w:rsid w:val="1C0B0789"/>
    <w:rsid w:val="1F7F72B0"/>
    <w:rsid w:val="20E056BB"/>
    <w:rsid w:val="212F07E7"/>
    <w:rsid w:val="25993F25"/>
    <w:rsid w:val="3088229C"/>
    <w:rsid w:val="32C52391"/>
    <w:rsid w:val="36D74082"/>
    <w:rsid w:val="3AF80CB4"/>
    <w:rsid w:val="426C758A"/>
    <w:rsid w:val="50082C10"/>
    <w:rsid w:val="552D7ED0"/>
    <w:rsid w:val="55D571D6"/>
    <w:rsid w:val="575E1172"/>
    <w:rsid w:val="57994119"/>
    <w:rsid w:val="61B2561D"/>
    <w:rsid w:val="63066E25"/>
    <w:rsid w:val="6B8969D7"/>
    <w:rsid w:val="6F2B0B77"/>
    <w:rsid w:val="71EE18AA"/>
    <w:rsid w:val="767E5A34"/>
    <w:rsid w:val="7BB576FD"/>
    <w:rsid w:val="7D0659A7"/>
    <w:rsid w:val="7D3C4D7E"/>
    <w:rsid w:val="7FCA61E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qFormat="1" w:unhideWhenUsed="0" w:uiPriority="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50" w:afterLines="50"/>
      <w:ind w:firstLine="200" w:firstLineChars="200"/>
      <w:jc w:val="both"/>
    </w:pPr>
    <w:rPr>
      <w:rFonts w:ascii="Tahoma" w:hAnsi="Tahoma" w:eastAsia="宋体" w:cs="Times New Roman"/>
      <w:kern w:val="2"/>
      <w:sz w:val="21"/>
      <w:lang w:val="en-US" w:eastAsia="zh-CN" w:bidi="ar-SA"/>
    </w:rPr>
  </w:style>
  <w:style w:type="paragraph" w:styleId="2">
    <w:name w:val="heading 1"/>
    <w:basedOn w:val="1"/>
    <w:next w:val="1"/>
    <w:qFormat/>
    <w:uiPriority w:val="0"/>
    <w:pPr>
      <w:keepNext/>
      <w:keepLines/>
      <w:pageBreakBefore/>
      <w:numPr>
        <w:ilvl w:val="0"/>
        <w:numId w:val="1"/>
      </w:numPr>
      <w:spacing w:before="156" w:after="156" w:line="360" w:lineRule="auto"/>
      <w:ind w:firstLine="0" w:firstLineChars="0"/>
      <w:jc w:val="center"/>
      <w:outlineLvl w:val="0"/>
    </w:pPr>
    <w:rPr>
      <w:rFonts w:eastAsia="黑体"/>
      <w:b/>
      <w:bCs/>
      <w:kern w:val="44"/>
      <w:sz w:val="32"/>
      <w:szCs w:val="44"/>
    </w:rPr>
  </w:style>
  <w:style w:type="paragraph" w:styleId="3">
    <w:name w:val="heading 2"/>
    <w:basedOn w:val="1"/>
    <w:next w:val="1"/>
    <w:qFormat/>
    <w:uiPriority w:val="0"/>
    <w:pPr>
      <w:keepNext/>
      <w:keepLines/>
      <w:numPr>
        <w:ilvl w:val="1"/>
        <w:numId w:val="1"/>
      </w:numPr>
      <w:adjustRightInd w:val="0"/>
      <w:spacing w:before="156" w:after="156" w:line="360" w:lineRule="auto"/>
      <w:ind w:right="210" w:rightChars="100" w:firstLineChars="0"/>
      <w:textAlignment w:val="baseline"/>
      <w:outlineLvl w:val="1"/>
    </w:pPr>
    <w:rPr>
      <w:rFonts w:ascii="Arial" w:hAnsi="Arial" w:eastAsia="黑体"/>
      <w:b/>
      <w:kern w:val="44"/>
      <w:sz w:val="28"/>
    </w:rPr>
  </w:style>
  <w:style w:type="paragraph" w:styleId="4">
    <w:name w:val="heading 3"/>
    <w:basedOn w:val="1"/>
    <w:next w:val="1"/>
    <w:link w:val="55"/>
    <w:qFormat/>
    <w:uiPriority w:val="0"/>
    <w:pPr>
      <w:keepNext/>
      <w:keepLines/>
      <w:numPr>
        <w:ilvl w:val="2"/>
        <w:numId w:val="1"/>
      </w:numPr>
      <w:adjustRightInd w:val="0"/>
      <w:spacing w:before="156" w:after="156"/>
      <w:ind w:firstLine="0" w:firstLineChars="0"/>
      <w:textAlignment w:val="baseline"/>
      <w:outlineLvl w:val="2"/>
    </w:pPr>
    <w:rPr>
      <w:b/>
      <w:kern w:val="0"/>
      <w:sz w:val="24"/>
    </w:rPr>
  </w:style>
  <w:style w:type="paragraph" w:styleId="5">
    <w:name w:val="heading 4"/>
    <w:basedOn w:val="1"/>
    <w:next w:val="6"/>
    <w:qFormat/>
    <w:uiPriority w:val="0"/>
    <w:pPr>
      <w:keepNext/>
      <w:keepLines/>
      <w:numPr>
        <w:ilvl w:val="3"/>
        <w:numId w:val="1"/>
      </w:numPr>
      <w:spacing w:beforeLines="0" w:afterLines="0" w:line="400" w:lineRule="exact"/>
      <w:ind w:firstLine="0" w:firstLineChars="0"/>
      <w:jc w:val="left"/>
      <w:outlineLvl w:val="3"/>
    </w:pPr>
    <w:rPr>
      <w:rFonts w:ascii="仿宋_GB2312" w:hAnsi="Arial" w:eastAsia="仿宋_GB2312"/>
      <w:b/>
    </w:rPr>
  </w:style>
  <w:style w:type="character" w:default="1" w:styleId="29">
    <w:name w:val="Default Paragraph Font"/>
    <w:unhideWhenUsed/>
    <w:qFormat/>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6">
    <w:name w:val="Normal Indent"/>
    <w:basedOn w:val="1"/>
    <w:qFormat/>
    <w:uiPriority w:val="0"/>
    <w:pPr>
      <w:ind w:firstLine="420"/>
    </w:pPr>
  </w:style>
  <w:style w:type="paragraph" w:styleId="7">
    <w:name w:val="toc 7"/>
    <w:basedOn w:val="1"/>
    <w:next w:val="1"/>
    <w:semiHidden/>
    <w:qFormat/>
    <w:uiPriority w:val="0"/>
    <w:pPr>
      <w:ind w:left="1260"/>
      <w:jc w:val="left"/>
    </w:pPr>
    <w:rPr>
      <w:rFonts w:ascii="Times New Roman" w:hAnsi="Times New Roman"/>
      <w:szCs w:val="21"/>
    </w:rPr>
  </w:style>
  <w:style w:type="paragraph" w:styleId="8">
    <w:name w:val="caption"/>
    <w:basedOn w:val="1"/>
    <w:next w:val="1"/>
    <w:qFormat/>
    <w:uiPriority w:val="0"/>
    <w:pPr>
      <w:spacing w:before="152" w:after="160"/>
    </w:pPr>
    <w:rPr>
      <w:rFonts w:ascii="Arial" w:hAnsi="Arial" w:eastAsia="黑体" w:cs="Arial"/>
      <w:sz w:val="20"/>
    </w:rPr>
  </w:style>
  <w:style w:type="paragraph" w:styleId="9">
    <w:name w:val="Document Map"/>
    <w:basedOn w:val="1"/>
    <w:semiHidden/>
    <w:qFormat/>
    <w:uiPriority w:val="0"/>
    <w:pPr>
      <w:shd w:val="clear" w:color="auto" w:fill="000080"/>
    </w:pPr>
  </w:style>
  <w:style w:type="paragraph" w:styleId="10">
    <w:name w:val="annotation text"/>
    <w:basedOn w:val="1"/>
    <w:link w:val="58"/>
    <w:unhideWhenUsed/>
    <w:qFormat/>
    <w:uiPriority w:val="99"/>
    <w:pPr>
      <w:jc w:val="left"/>
    </w:pPr>
  </w:style>
  <w:style w:type="paragraph" w:styleId="11">
    <w:name w:val="Body Text Indent"/>
    <w:basedOn w:val="1"/>
    <w:qFormat/>
    <w:uiPriority w:val="0"/>
    <w:pPr>
      <w:spacing w:before="156" w:after="156"/>
      <w:ind w:firstLine="420"/>
    </w:pPr>
  </w:style>
  <w:style w:type="paragraph" w:styleId="12">
    <w:name w:val="toc 5"/>
    <w:basedOn w:val="1"/>
    <w:next w:val="1"/>
    <w:semiHidden/>
    <w:qFormat/>
    <w:uiPriority w:val="0"/>
    <w:pPr>
      <w:ind w:left="840"/>
      <w:jc w:val="left"/>
    </w:pPr>
    <w:rPr>
      <w:rFonts w:ascii="Times New Roman" w:hAnsi="Times New Roman"/>
      <w:szCs w:val="21"/>
    </w:rPr>
  </w:style>
  <w:style w:type="paragraph" w:styleId="13">
    <w:name w:val="toc 3"/>
    <w:basedOn w:val="1"/>
    <w:next w:val="1"/>
    <w:qFormat/>
    <w:uiPriority w:val="39"/>
    <w:pPr>
      <w:spacing w:beforeLines="0" w:afterLines="0"/>
      <w:ind w:left="420" w:firstLine="420"/>
      <w:jc w:val="left"/>
    </w:pPr>
    <w:rPr>
      <w:rFonts w:ascii="Times New Roman" w:hAnsi="Times New Roman"/>
      <w:i/>
      <w:iCs/>
      <w:szCs w:val="24"/>
    </w:rPr>
  </w:style>
  <w:style w:type="paragraph" w:styleId="14">
    <w:name w:val="toc 8"/>
    <w:basedOn w:val="1"/>
    <w:next w:val="1"/>
    <w:semiHidden/>
    <w:qFormat/>
    <w:uiPriority w:val="0"/>
    <w:pPr>
      <w:ind w:left="1470"/>
      <w:jc w:val="left"/>
    </w:pPr>
    <w:rPr>
      <w:rFonts w:ascii="Times New Roman" w:hAnsi="Times New Roman"/>
      <w:szCs w:val="21"/>
    </w:rPr>
  </w:style>
  <w:style w:type="paragraph" w:styleId="15">
    <w:name w:val="index 3"/>
    <w:basedOn w:val="1"/>
    <w:next w:val="1"/>
    <w:semiHidden/>
    <w:qFormat/>
    <w:uiPriority w:val="0"/>
    <w:pPr>
      <w:spacing w:beforeLines="0" w:afterLines="0"/>
      <w:ind w:left="400" w:leftChars="400" w:firstLine="0" w:firstLineChars="0"/>
    </w:pPr>
    <w:rPr>
      <w:rFonts w:cs="Tahoma"/>
      <w:bCs/>
      <w:szCs w:val="21"/>
    </w:rPr>
  </w:style>
  <w:style w:type="paragraph" w:styleId="16">
    <w:name w:val="Date"/>
    <w:basedOn w:val="1"/>
    <w:next w:val="1"/>
    <w:qFormat/>
    <w:uiPriority w:val="0"/>
    <w:pPr>
      <w:ind w:left="100" w:leftChars="2500"/>
    </w:pPr>
  </w:style>
  <w:style w:type="paragraph" w:styleId="17">
    <w:name w:val="Balloon Text"/>
    <w:basedOn w:val="1"/>
    <w:link w:val="54"/>
    <w:unhideWhenUsed/>
    <w:qFormat/>
    <w:uiPriority w:val="99"/>
    <w:rPr>
      <w:sz w:val="18"/>
      <w:szCs w:val="18"/>
    </w:rPr>
  </w:style>
  <w:style w:type="paragraph" w:styleId="18">
    <w:name w:val="footer"/>
    <w:basedOn w:val="1"/>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tabs>
        <w:tab w:val="right" w:leader="dot" w:pos="8302"/>
      </w:tabs>
      <w:spacing w:before="156" w:after="156"/>
      <w:ind w:firstLine="422"/>
      <w:jc w:val="left"/>
    </w:pPr>
    <w:rPr>
      <w:rFonts w:ascii="Times New Roman" w:hAnsi="Times New Roman"/>
      <w:b/>
      <w:bCs/>
      <w:caps/>
      <w:szCs w:val="24"/>
    </w:rPr>
  </w:style>
  <w:style w:type="paragraph" w:styleId="21">
    <w:name w:val="toc 4"/>
    <w:basedOn w:val="1"/>
    <w:next w:val="1"/>
    <w:qFormat/>
    <w:uiPriority w:val="0"/>
    <w:pPr>
      <w:ind w:left="630"/>
      <w:jc w:val="left"/>
    </w:pPr>
    <w:rPr>
      <w:rFonts w:ascii="Times New Roman" w:hAnsi="Times New Roman"/>
      <w:szCs w:val="21"/>
    </w:rPr>
  </w:style>
  <w:style w:type="paragraph" w:styleId="22">
    <w:name w:val="toc 6"/>
    <w:basedOn w:val="1"/>
    <w:next w:val="1"/>
    <w:semiHidden/>
    <w:qFormat/>
    <w:uiPriority w:val="0"/>
    <w:pPr>
      <w:ind w:left="1050"/>
      <w:jc w:val="left"/>
    </w:pPr>
    <w:rPr>
      <w:rFonts w:ascii="Times New Roman" w:hAnsi="Times New Roman"/>
      <w:szCs w:val="21"/>
    </w:rPr>
  </w:style>
  <w:style w:type="paragraph" w:styleId="23">
    <w:name w:val="Body Text Indent 3"/>
    <w:basedOn w:val="1"/>
    <w:qFormat/>
    <w:uiPriority w:val="0"/>
    <w:pPr>
      <w:spacing w:before="156" w:after="156"/>
      <w:ind w:right="13" w:rightChars="6" w:firstLine="420" w:firstLineChars="0"/>
      <w:jc w:val="left"/>
    </w:pPr>
    <w:rPr>
      <w:rFonts w:ascii="Verdana" w:hAnsi="Verdana"/>
      <w:color w:val="000000"/>
    </w:rPr>
  </w:style>
  <w:style w:type="paragraph" w:styleId="24">
    <w:name w:val="toc 2"/>
    <w:basedOn w:val="1"/>
    <w:next w:val="1"/>
    <w:qFormat/>
    <w:uiPriority w:val="39"/>
    <w:pPr>
      <w:ind w:left="210"/>
      <w:jc w:val="left"/>
    </w:pPr>
    <w:rPr>
      <w:rFonts w:ascii="Times New Roman" w:hAnsi="Times New Roman"/>
      <w:smallCaps/>
      <w:szCs w:val="24"/>
    </w:rPr>
  </w:style>
  <w:style w:type="paragraph" w:styleId="25">
    <w:name w:val="toc 9"/>
    <w:basedOn w:val="1"/>
    <w:next w:val="1"/>
    <w:semiHidden/>
    <w:qFormat/>
    <w:uiPriority w:val="0"/>
    <w:pPr>
      <w:ind w:left="1680"/>
      <w:jc w:val="left"/>
    </w:pPr>
    <w:rPr>
      <w:rFonts w:ascii="Times New Roman" w:hAnsi="Times New Roman"/>
      <w:szCs w:val="21"/>
    </w:rPr>
  </w:style>
  <w:style w:type="paragraph" w:styleId="26">
    <w:name w:val="annotation subject"/>
    <w:basedOn w:val="10"/>
    <w:next w:val="10"/>
    <w:link w:val="56"/>
    <w:unhideWhenUsed/>
    <w:qFormat/>
    <w:uiPriority w:val="99"/>
    <w:rPr>
      <w:b/>
      <w:bCs/>
    </w:rPr>
  </w:style>
  <w:style w:type="table" w:styleId="28">
    <w:name w:val="Table Grid"/>
    <w:basedOn w:val="27"/>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tbRl"/>
    </w:tcPr>
  </w:style>
  <w:style w:type="character" w:styleId="30">
    <w:name w:val="FollowedHyperlink"/>
    <w:qFormat/>
    <w:uiPriority w:val="0"/>
    <w:rPr>
      <w:color w:val="800080"/>
      <w:u w:val="single"/>
    </w:rPr>
  </w:style>
  <w:style w:type="character" w:styleId="31">
    <w:name w:val="Hyperlink"/>
    <w:qFormat/>
    <w:uiPriority w:val="99"/>
    <w:rPr>
      <w:color w:val="0000FF"/>
      <w:u w:val="single"/>
    </w:rPr>
  </w:style>
  <w:style w:type="paragraph" w:customStyle="1" w:styleId="32">
    <w:name w:val="样式 目录 2 + 首行缩进:  2 字符 段前: 0.5 行 段后: 0.5 行"/>
    <w:basedOn w:val="24"/>
    <w:qFormat/>
    <w:uiPriority w:val="0"/>
    <w:pPr>
      <w:spacing w:beforeLines="0" w:afterLines="0"/>
    </w:pPr>
    <w:rPr>
      <w:rFonts w:cs="宋体"/>
      <w:szCs w:val="20"/>
    </w:rPr>
  </w:style>
  <w:style w:type="paragraph" w:customStyle="1" w:styleId="33">
    <w:name w:val="主标题"/>
    <w:basedOn w:val="1"/>
    <w:next w:val="1"/>
    <w:qFormat/>
    <w:uiPriority w:val="0"/>
    <w:pPr>
      <w:spacing w:beforeLines="100" w:afterLines="100"/>
      <w:ind w:firstLine="900" w:firstLineChars="250"/>
      <w:jc w:val="center"/>
    </w:pPr>
    <w:rPr>
      <w:rFonts w:eastAsia="黑体"/>
      <w:bCs/>
      <w:sz w:val="36"/>
    </w:rPr>
  </w:style>
  <w:style w:type="paragraph" w:customStyle="1" w:styleId="34">
    <w:name w:val="封面项目"/>
    <w:basedOn w:val="1"/>
    <w:qFormat/>
    <w:uiPriority w:val="0"/>
    <w:pPr>
      <w:spacing w:before="156" w:after="156"/>
      <w:ind w:firstLine="602"/>
      <w:jc w:val="center"/>
    </w:pPr>
    <w:rPr>
      <w:b/>
      <w:sz w:val="30"/>
    </w:rPr>
  </w:style>
  <w:style w:type="paragraph" w:customStyle="1" w:styleId="35">
    <w:name w:val="小标题"/>
    <w:basedOn w:val="1"/>
    <w:next w:val="6"/>
    <w:qFormat/>
    <w:uiPriority w:val="0"/>
    <w:pPr>
      <w:numPr>
        <w:ilvl w:val="0"/>
        <w:numId w:val="2"/>
      </w:numPr>
      <w:spacing w:beforeLines="0" w:after="156" w:line="360" w:lineRule="auto"/>
      <w:ind w:firstLine="0" w:firstLineChars="0"/>
    </w:pPr>
    <w:rPr>
      <w:rFonts w:ascii="Times New Roman" w:hAnsi="Times New Roman"/>
      <w:b/>
      <w:szCs w:val="24"/>
    </w:rPr>
  </w:style>
  <w:style w:type="paragraph" w:customStyle="1" w:styleId="36">
    <w:name w:val="表格"/>
    <w:basedOn w:val="1"/>
    <w:qFormat/>
    <w:uiPriority w:val="0"/>
    <w:pPr>
      <w:ind w:firstLine="0"/>
    </w:pPr>
  </w:style>
  <w:style w:type="paragraph" w:customStyle="1" w:styleId="37">
    <w:name w:val="表格标题"/>
    <w:basedOn w:val="38"/>
    <w:qFormat/>
    <w:uiPriority w:val="0"/>
    <w:pPr>
      <w:spacing w:beforeLines="50" w:afterLines="50"/>
      <w:jc w:val="center"/>
    </w:pPr>
    <w:rPr>
      <w:b/>
    </w:rPr>
  </w:style>
  <w:style w:type="paragraph" w:customStyle="1" w:styleId="38">
    <w:name w:val="表格正文"/>
    <w:basedOn w:val="1"/>
    <w:qFormat/>
    <w:uiPriority w:val="0"/>
    <w:pPr>
      <w:spacing w:beforeLines="0" w:afterLines="0"/>
      <w:ind w:firstLine="0" w:firstLineChars="0"/>
    </w:pPr>
    <w:rPr>
      <w:rFonts w:eastAsia="仿宋_GB2312"/>
      <w:bCs/>
    </w:rPr>
  </w:style>
  <w:style w:type="paragraph" w:customStyle="1" w:styleId="39">
    <w:name w:val="biao"/>
    <w:basedOn w:val="1"/>
    <w:qFormat/>
    <w:uiPriority w:val="0"/>
    <w:pPr>
      <w:framePr w:hSpace="180" w:wrap="around" w:vAnchor="text" w:hAnchor="margin" w:x="2565" w:y="72"/>
      <w:spacing w:beforeLines="0" w:afterLines="0"/>
      <w:ind w:firstLine="0" w:firstLineChars="0"/>
    </w:pPr>
    <w:rPr>
      <w:rFonts w:ascii="Times New Roman" w:hAnsi="Times New Roman"/>
      <w:szCs w:val="24"/>
    </w:rPr>
  </w:style>
  <w:style w:type="paragraph" w:styleId="40">
    <w:name w:val="List Paragraph"/>
    <w:basedOn w:val="1"/>
    <w:qFormat/>
    <w:uiPriority w:val="34"/>
    <w:pPr>
      <w:ind w:firstLine="420"/>
    </w:pPr>
  </w:style>
  <w:style w:type="paragraph" w:customStyle="1" w:styleId="41">
    <w:name w:val="样式6"/>
    <w:basedOn w:val="1"/>
    <w:qFormat/>
    <w:uiPriority w:val="0"/>
  </w:style>
  <w:style w:type="paragraph" w:customStyle="1" w:styleId="42">
    <w:name w:val="表格样式"/>
    <w:basedOn w:val="1"/>
    <w:qFormat/>
    <w:uiPriority w:val="0"/>
    <w:pPr>
      <w:spacing w:beforeLines="0" w:afterLines="0"/>
      <w:ind w:firstLine="0" w:firstLineChars="0"/>
    </w:pPr>
    <w:rPr>
      <w:rFonts w:ascii="Times New Roman" w:hAnsi="Times New Roman"/>
    </w:rPr>
  </w:style>
  <w:style w:type="paragraph" w:customStyle="1" w:styleId="43">
    <w:name w:val="_Style 42"/>
    <w:basedOn w:val="2"/>
    <w:next w:val="1"/>
    <w:qFormat/>
    <w:uiPriority w:val="39"/>
    <w:pPr>
      <w:pageBreakBefore w:val="0"/>
      <w:widowControl/>
      <w:numPr>
        <w:ilvl w:val="0"/>
        <w:numId w:val="0"/>
      </w:numPr>
      <w:spacing w:before="480" w:beforeLines="0" w:after="0" w:afterLines="0" w:line="276" w:lineRule="auto"/>
      <w:jc w:val="left"/>
      <w:outlineLvl w:val="9"/>
    </w:pPr>
    <w:rPr>
      <w:rFonts w:ascii="Cambria" w:hAnsi="Cambria" w:eastAsia="宋体"/>
      <w:color w:val="365F91"/>
      <w:kern w:val="0"/>
      <w:sz w:val="28"/>
      <w:szCs w:val="28"/>
    </w:rPr>
  </w:style>
  <w:style w:type="paragraph" w:customStyle="1" w:styleId="44">
    <w:name w:val="样式 目录 2 + 首行缩进:  2 字符 段前: 0.5 行 段后: 0.5 行2"/>
    <w:basedOn w:val="24"/>
    <w:qFormat/>
    <w:uiPriority w:val="0"/>
    <w:pPr>
      <w:spacing w:beforeLines="0" w:afterLines="0"/>
    </w:pPr>
    <w:rPr>
      <w:rFonts w:cs="宋体"/>
      <w:szCs w:val="20"/>
    </w:rPr>
  </w:style>
  <w:style w:type="paragraph" w:customStyle="1" w:styleId="45">
    <w:name w:val="样式 目录 2 + 首行缩进:  2 字符 段前: 0.5 行 段后: 0.5 行1"/>
    <w:basedOn w:val="24"/>
    <w:qFormat/>
    <w:uiPriority w:val="0"/>
    <w:pPr>
      <w:spacing w:before="50" w:afterLines="0"/>
    </w:pPr>
    <w:rPr>
      <w:rFonts w:cs="宋体"/>
      <w:szCs w:val="20"/>
    </w:rPr>
  </w:style>
  <w:style w:type="paragraph" w:customStyle="1" w:styleId="46">
    <w:name w:val="正文加粗"/>
    <w:link w:val="52"/>
    <w:qFormat/>
    <w:uiPriority w:val="0"/>
    <w:rPr>
      <w:rFonts w:ascii="Tahoma" w:hAnsi="Tahoma" w:eastAsia="宋体" w:cs="Times New Roman"/>
      <w:b/>
      <w:kern w:val="2"/>
      <w:sz w:val="21"/>
      <w:szCs w:val="18"/>
      <w:lang w:val="en-US" w:eastAsia="zh-CN" w:bidi="ar-SA"/>
    </w:rPr>
  </w:style>
  <w:style w:type="paragraph" w:customStyle="1" w:styleId="47">
    <w:name w:val="表格首行"/>
    <w:basedOn w:val="1"/>
    <w:qFormat/>
    <w:uiPriority w:val="0"/>
    <w:pPr>
      <w:spacing w:beforeLines="0" w:afterLines="0"/>
      <w:ind w:firstLine="0" w:firstLineChars="0"/>
      <w:jc w:val="center"/>
    </w:pPr>
    <w:rPr>
      <w:rFonts w:ascii="宋体" w:hAnsi="宋体"/>
      <w:color w:val="0000FF"/>
      <w:sz w:val="24"/>
      <w:szCs w:val="24"/>
    </w:rPr>
  </w:style>
  <w:style w:type="paragraph" w:customStyle="1" w:styleId="48">
    <w:name w:val="3"/>
    <w:basedOn w:val="1"/>
    <w:qFormat/>
    <w:uiPriority w:val="0"/>
    <w:pPr>
      <w:tabs>
        <w:tab w:val="left" w:pos="210"/>
      </w:tabs>
      <w:spacing w:before="156" w:after="156"/>
      <w:ind w:left="2" w:leftChars="1" w:right="240" w:rightChars="100" w:firstLine="525"/>
      <w:jc w:val="left"/>
    </w:pPr>
    <w:rPr>
      <w:rFonts w:ascii="Verdana" w:hAnsi="Verdana"/>
      <w:color w:val="000000"/>
      <w:sz w:val="24"/>
    </w:rPr>
  </w:style>
  <w:style w:type="paragraph" w:customStyle="1" w:styleId="49">
    <w:name w:val="标题文字"/>
    <w:basedOn w:val="1"/>
    <w:qFormat/>
    <w:uiPriority w:val="0"/>
    <w:pPr>
      <w:ind w:firstLine="0" w:firstLineChars="0"/>
      <w:jc w:val="center"/>
    </w:pPr>
    <w:rPr>
      <w:b/>
      <w:spacing w:val="20"/>
      <w:sz w:val="36"/>
    </w:rPr>
  </w:style>
  <w:style w:type="paragraph" w:customStyle="1" w:styleId="50">
    <w:name w:val="表"/>
    <w:basedOn w:val="1"/>
    <w:qFormat/>
    <w:uiPriority w:val="0"/>
    <w:pPr>
      <w:spacing w:beforeLines="0" w:afterLines="0"/>
    </w:pPr>
  </w:style>
  <w:style w:type="paragraph" w:customStyle="1" w:styleId="51">
    <w:name w:val="表格正文 Char"/>
    <w:basedOn w:val="1"/>
    <w:qFormat/>
    <w:uiPriority w:val="0"/>
    <w:pPr>
      <w:adjustRightInd w:val="0"/>
      <w:snapToGrid w:val="0"/>
      <w:spacing w:beforeLines="0" w:afterLines="0"/>
      <w:ind w:left="-120" w:leftChars="-50" w:right="-98" w:rightChars="-41" w:firstLine="0" w:firstLineChars="0"/>
    </w:pPr>
    <w:rPr>
      <w:rFonts w:eastAsia="仿宋_GB2312"/>
      <w:color w:val="000000"/>
      <w:kern w:val="0"/>
      <w:sz w:val="24"/>
    </w:rPr>
  </w:style>
  <w:style w:type="character" w:customStyle="1" w:styleId="52">
    <w:name w:val="正文加粗 Char"/>
    <w:link w:val="46"/>
    <w:qFormat/>
    <w:uiPriority w:val="0"/>
    <w:rPr>
      <w:rFonts w:ascii="Tahoma" w:hAnsi="Tahoma"/>
      <w:b/>
      <w:kern w:val="2"/>
      <w:sz w:val="21"/>
      <w:szCs w:val="18"/>
      <w:lang w:val="en-US" w:eastAsia="zh-CN" w:bidi="ar-SA"/>
    </w:rPr>
  </w:style>
  <w:style w:type="character" w:customStyle="1" w:styleId="53">
    <w:name w:val="redbig1"/>
    <w:qFormat/>
    <w:uiPriority w:val="0"/>
    <w:rPr>
      <w:b/>
      <w:bCs/>
      <w:color w:val="D00018"/>
      <w:sz w:val="28"/>
      <w:szCs w:val="28"/>
    </w:rPr>
  </w:style>
  <w:style w:type="character" w:customStyle="1" w:styleId="54">
    <w:name w:val="批注框文本 Char"/>
    <w:link w:val="17"/>
    <w:semiHidden/>
    <w:qFormat/>
    <w:uiPriority w:val="99"/>
    <w:rPr>
      <w:rFonts w:ascii="Tahoma" w:hAnsi="Tahoma"/>
      <w:kern w:val="2"/>
      <w:sz w:val="18"/>
      <w:szCs w:val="18"/>
    </w:rPr>
  </w:style>
  <w:style w:type="character" w:customStyle="1" w:styleId="55">
    <w:name w:val="标题 3 Char"/>
    <w:link w:val="4"/>
    <w:qFormat/>
    <w:uiPriority w:val="0"/>
    <w:rPr>
      <w:rFonts w:ascii="Tahoma" w:hAnsi="Tahoma"/>
      <w:b/>
      <w:sz w:val="24"/>
    </w:rPr>
  </w:style>
  <w:style w:type="character" w:customStyle="1" w:styleId="56">
    <w:name w:val="批注主题 Char"/>
    <w:link w:val="26"/>
    <w:semiHidden/>
    <w:qFormat/>
    <w:uiPriority w:val="99"/>
    <w:rPr>
      <w:rFonts w:ascii="Tahoma" w:hAnsi="Tahoma"/>
      <w:b/>
      <w:bCs/>
      <w:kern w:val="2"/>
      <w:sz w:val="21"/>
    </w:rPr>
  </w:style>
  <w:style w:type="character" w:customStyle="1" w:styleId="57">
    <w:name w:val="表格正文 Char Char"/>
    <w:qFormat/>
    <w:uiPriority w:val="0"/>
    <w:rPr>
      <w:rFonts w:ascii="Tahoma" w:hAnsi="Tahoma" w:eastAsia="仿宋_GB2312"/>
      <w:color w:val="000000"/>
      <w:sz w:val="24"/>
      <w:lang w:val="en-US" w:eastAsia="zh-CN" w:bidi="ar-SA"/>
    </w:rPr>
  </w:style>
  <w:style w:type="character" w:customStyle="1" w:styleId="58">
    <w:name w:val="批注文字 Char"/>
    <w:link w:val="10"/>
    <w:semiHidden/>
    <w:qFormat/>
    <w:uiPriority w:val="99"/>
    <w:rPr>
      <w:rFonts w:ascii="Tahoma" w:hAnsi="Tahoma"/>
      <w:kern w:val="2"/>
      <w:sz w:val="21"/>
    </w:rPr>
  </w:style>
  <w:style w:type="character" w:customStyle="1" w:styleId="59">
    <w:name w:val="付标题"/>
    <w:qFormat/>
    <w:uiPriority w:val="0"/>
    <w:rPr>
      <w:rFonts w:eastAsia="黑体"/>
      <w:b/>
      <w:sz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5.bin"/><Relationship Id="rId17" Type="http://schemas.openxmlformats.org/officeDocument/2006/relationships/image" Target="media/image4.emf"/><Relationship Id="rId16" Type="http://schemas.openxmlformats.org/officeDocument/2006/relationships/oleObject" Target="embeddings/oleObject4.bin"/><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Join.,ltd</Company>
  <Pages>51</Pages>
  <Words>3637</Words>
  <Characters>20733</Characters>
  <Lines>172</Lines>
  <Paragraphs>48</Paragraphs>
  <TotalTime>1044</TotalTime>
  <ScaleCrop>false</ScaleCrop>
  <LinksUpToDate>false</LinksUpToDate>
  <CharactersWithSpaces>24322</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2014-08-08T02:50:00Z</dcterms:created>
  <dc:creator>刘传祥</dc:creator>
  <cp:lastModifiedBy>咖啡+糖</cp:lastModifiedBy>
  <cp:lastPrinted>2005-12-02T08:37:00Z</cp:lastPrinted>
  <dcterms:modified xsi:type="dcterms:W3CDTF">2019-05-11T04:58:09Z</dcterms:modified>
  <dc:title>SFMS承办银行接口设计</dc:title>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