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charts/style3.xml" ContentType="application/vnd.ms-office.chartstyle+xml"/>
  <Override PartName="/word/endnotes.xml" ContentType="application/vnd.openxmlformats-officedocument.wordprocessingml.endnotes+xml"/>
  <Override PartName="/word/charts/colors5.xml" ContentType="application/vnd.ms-office.chartcolorstyle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glossary/endnotes.xml" ContentType="application/vnd.openxmlformats-officedocument.wordprocessingml.endnotes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charts/colors4.xml" ContentType="application/vnd.ms-office.chartcolorstyle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charts/chart6.xml" ContentType="application/vnd.openxmlformats-officedocument.drawingml.chart+xml"/>
  <Override PartName="/word/footer3.xml" ContentType="application/vnd.openxmlformats-officedocument.wordprocessingml.footer+xml"/>
  <Override PartName="/word/charts/colors7.xml" ContentType="application/vnd.ms-office.chartcolorstyle+xml"/>
  <Override PartName="/word/theme/theme1.xml" ContentType="application/vnd.openxmlformats-officedocument.theme+xml"/>
  <Override PartName="/word/charts/style6.xml" ContentType="application/vnd.ms-office.chartstyle+xml"/>
  <Override PartName="/customXml/itemProps1.xml" ContentType="application/vnd.openxmlformats-officedocument.customXmlProperties+xml"/>
  <Override PartName="/word/charts/chart2.xml" ContentType="application/vnd.openxmlformats-officedocument.drawingml.chart+xml"/>
  <Override PartName="/word/charts/colors1.xml" ContentType="application/vnd.ms-office.chartcolorstyle+xml"/>
  <Override PartName="/word/charts/style2.xml" ContentType="application/vnd.ms-office.chartstyle+xml"/>
  <Override PartName="/word/styles.xml" ContentType="application/vnd.openxmlformats-officedocument.wordprocessingml.styles+xml"/>
  <Override PartName="/word/charts/chart3.xml" ContentType="application/vnd.openxmlformats-officedocument.drawingml.chart+xml"/>
  <Override PartName="/word/charts/colors3.xml" ContentType="application/vnd.ms-office.chartcolorstyle+xml"/>
  <Override PartName="/word/charts/chart7.xml" ContentType="application/vnd.openxmlformats-officedocument.drawingml.chart+xml"/>
  <Override PartName="/word/charts/chart1.xml" ContentType="application/vnd.openxmlformats-officedocument.drawingml.chart+xml"/>
  <Override PartName="/word/charts/chart4.xml" ContentType="application/vnd.openxmlformats-officedocument.drawingml.chart+xml"/>
  <Override PartName="/word/charts/colors2.xml" ContentType="application/vnd.ms-office.chartcolorstyle+xml"/>
  <Override PartName="/word/charts/style4.xml" ContentType="application/vnd.ms-office.chartstyle+xml"/>
  <Override PartName="/word/charts/chart5.xml" ContentType="application/vnd.openxmlformats-officedocument.drawingml.chart+xml"/>
  <Override PartName="/word/charts/style5.xml" ContentType="application/vnd.ms-office.chartstyle+xml"/>
  <Override PartName="/word/webSettings.xml" ContentType="application/vnd.openxmlformats-officedocument.wordprocessingml.webSettings+xml"/>
  <Override PartName="/word/charts/colors6.xml" ContentType="application/vnd.ms-office.chartcolorstyle+xml"/>
  <Override PartName="/word/charts/style7.xml" ContentType="application/vnd.ms-office.chartstyle+xml"/>
  <Override PartName="/word/charts/style1.xml" ContentType="application/vnd.ms-office.chartsty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293" w:line="195" w:lineRule="auto"/>
        <w:ind/>
        <w:rPr>
          <w:rFonts w:hint="eastAsia" w:ascii="仿宋" w:hAnsi="仿宋" w:eastAsia="仿宋" w:cs="仿宋"/>
          <w:b/>
          <w:bCs/>
          <w:color w:val="ff0000"/>
          <w:spacing w:val="4"/>
          <w:sz w:val="47"/>
          <w:szCs w:val="47"/>
          <w:lang w:eastAsia="zh-CN"/>
        </w:rPr>
      </w:pPr>
      <w:r>
        <w:rPr>
          <w:rFonts w:ascii="仿宋" w:hAnsi="仿宋" w:eastAsia="仿宋" w:cs="仿宋"/>
          <w:b/>
          <w:bCs/>
          <w:color w:val="ff0000"/>
          <w:spacing w:val="4"/>
          <w:sz w:val="47"/>
          <w:szCs w:val="47"/>
          <w:lang w:eastAsia="zh-CN"/>
        </w:rPr>
        <w:tab/>
      </w:r>
      <w:r>
        <w:rPr>
          <w:rFonts w:ascii="仿宋" w:hAnsi="仿宋" w:eastAsia="仿宋" w:cs="仿宋"/>
          <w:b/>
          <w:bCs/>
          <w:color w:val="ff0000"/>
          <w:spacing w:val="4"/>
          <w:sz w:val="47"/>
          <w:szCs w:val="47"/>
          <w:lang w:eastAsia="zh-CN"/>
        </w:rPr>
        <w:tab/>
      </w:r>
      <w:r>
        <w:rPr>
          <w:rFonts w:ascii="仿宋" w:hAnsi="仿宋" w:eastAsia="仿宋" w:cs="仿宋"/>
          <w:b/>
          <w:bCs/>
          <w:color w:val="ff0000"/>
          <w:spacing w:val="4"/>
          <w:sz w:val="47"/>
          <w:szCs w:val="47"/>
          <w:lang w:eastAsia="zh-CN"/>
        </w:rPr>
        <w:tab/>
      </w:r>
      <w:r>
        <w:rPr>
          <w:rFonts w:ascii="仿宋" w:hAnsi="仿宋" w:eastAsia="仿宋" w:cs="仿宋"/>
          <w:b/>
          <w:bCs/>
          <w:color w:val="ff0000"/>
          <w:spacing w:val="4"/>
          <w:sz w:val="47"/>
          <w:szCs w:val="47"/>
          <w:lang w:eastAsia="zh-CN"/>
        </w:rPr>
        <w:tab/>
      </w:r>
      <w:r>
        <w:rPr>
          <w:rFonts w:ascii="仿宋" w:hAnsi="仿宋" w:eastAsia="仿宋" w:cs="仿宋"/>
          <w:b/>
          <w:bCs/>
          <w:color w:val="ff0000"/>
          <w:spacing w:val="4"/>
          <w:sz w:val="47"/>
          <w:szCs w:val="47"/>
          <w:lang w:eastAsia="zh-CN"/>
        </w:rPr>
        <w:tab/>
      </w:r>
      <w:r>
        <w:rPr>
          <w:rFonts w:ascii="仿宋" w:hAnsi="仿宋" w:eastAsia="仿宋" w:cs="仿宋"/>
          <w:b/>
          <w:bCs/>
          <w:color w:val="ff0000"/>
          <w:spacing w:val="4"/>
          <w:sz w:val="47"/>
          <w:szCs w:val="47"/>
          <w:lang w:eastAsia="zh-CN"/>
        </w:rPr>
        <w:tab/>
      </w:r>
      <w:r>
        <w:rPr>
          <w:rFonts w:ascii="仿宋" w:hAnsi="仿宋" w:eastAsia="仿宋" w:cs="仿宋"/>
          <w:b/>
          <w:bCs/>
          <w:color w:val="ff0000"/>
          <w:spacing w:val="4"/>
          <w:sz w:val="47"/>
          <w:szCs w:val="47"/>
          <w:lang w:eastAsia="zh-CN"/>
        </w:rPr>
        <w:tab/>
      </w:r>
      <w:r>
        <w:rPr>
          <w:rFonts w:ascii="仿宋" w:hAnsi="仿宋" w:eastAsia="仿宋" w:cs="仿宋"/>
          <w:b/>
          <w:bCs/>
          <w:color w:val="ff0000"/>
          <w:spacing w:val="4"/>
          <w:sz w:val="47"/>
          <w:szCs w:val="47"/>
          <w:lang w:eastAsia="zh-CN"/>
        </w:rPr>
        <w:tab/>
      </w:r>
      <w:r>
        <w:rPr>
          <w:rFonts w:ascii="仿宋" w:hAnsi="仿宋" w:eastAsia="仿宋" w:cs="仿宋"/>
          <w:b/>
          <w:bCs/>
          <w:color w:val="ff0000"/>
          <w:spacing w:val="4"/>
          <w:sz w:val="47"/>
          <w:szCs w:val="47"/>
          <w:lang w:eastAsia="zh-CN"/>
        </w:rPr>
        <w:tab/>
      </w:r>
      <w:r>
        <w:rPr>
          <w:rFonts w:ascii="仿宋" w:hAnsi="仿宋" w:eastAsia="仿宋" w:cs="仿宋"/>
          <w:b/>
          <w:bCs/>
          <w:color w:val="ff0000"/>
          <w:spacing w:val="4"/>
          <w:sz w:val="47"/>
          <w:szCs w:val="47"/>
          <w:lang w:eastAsia="zh-CN"/>
        </w:rPr>
        <w:tab/>
      </w:r>
      <w:r>
        <w:rPr>
          <w:rFonts w:hint="eastAsia" w:ascii="仿宋" w:hAnsi="仿宋" w:eastAsia="仿宋" w:cs="仿宋"/>
          <w:b/>
          <w:bCs/>
          <w:color w:val="ff0000"/>
          <w:spacing w:val="4"/>
          <w:sz w:val="47"/>
          <w:szCs w:val="47"/>
          <w:lang w:eastAsia="zh-CN"/>
        </w:rPr>
      </w:r>
      <w:r>
        <w:rPr>
          <w:rFonts w:hint="eastAsia" w:ascii="仿宋" w:hAnsi="仿宋" w:eastAsia="仿宋" w:cs="仿宋"/>
          <w:b/>
          <w:bCs/>
          <w:color w:val="ff0000"/>
          <w:spacing w:val="4"/>
          <w:sz w:val="47"/>
          <w:szCs w:val="47"/>
          <w:lang w:eastAsia="zh-CN"/>
        </w:rPr>
      </w:r>
    </w:p>
    <w:p>
      <w:pPr>
        <w:pBdr/>
        <w:spacing w:before="293" w:line="195" w:lineRule="auto"/>
        <w:ind/>
        <w:jc w:val="center"/>
        <w:outlineLvl w:val="0"/>
        <w:rPr>
          <w:rFonts w:hint="eastAsia" w:ascii="仿宋" w:hAnsi="仿宋" w:eastAsia="仿宋" w:cs="仿宋"/>
          <w:color w:val="auto"/>
          <w:sz w:val="47"/>
          <w:szCs w:val="47"/>
          <w:lang w:eastAsia="zh-CN"/>
        </w:rPr>
      </w:pPr>
      <w:r/>
      <w:bookmarkStart w:id="0" w:name="_Toc17868"/>
      <w:r/>
      <w:bookmarkStart w:id="1" w:name="_Toc9422"/>
      <w:r/>
      <w:bookmarkStart w:id="2" w:name="_Toc17515"/>
      <w:r/>
      <w:bookmarkStart w:id="3" w:name="_Toc22258"/>
      <w:r/>
      <w:bookmarkStart w:id="4" w:name="_Toc30928"/>
      <w:r/>
      <w:bookmarkStart w:id="5" w:name="_Toc2622"/>
      <w:r/>
      <w:bookmarkStart w:id="6" w:name="_Toc26408"/>
      <w:r/>
      <w:bookmarkStart w:id="7" w:name="_Toc3567"/>
      <w:r/>
      <w:bookmarkStart w:id="8" w:name="_Toc2834"/>
      <w:r/>
      <w:bookmarkStart w:id="9" w:name="_Toc27614"/>
      <w:r/>
      <w:bookmarkStart w:id="10" w:name="_Toc26289"/>
      <w:r/>
      <w:bookmarkStart w:id="11" w:name="_Toc9982"/>
      <w:r/>
      <w:bookmarkStart w:id="12" w:name="_Toc548"/>
      <w:r/>
      <w:bookmarkStart w:id="13" w:name="_Toc6683"/>
      <w:r>
        <w:rPr>
          <w:rFonts w:hint="eastAsia" w:ascii="仿宋" w:hAnsi="仿宋" w:eastAsia="仿宋" w:cs="仿宋"/>
          <w:b/>
          <w:bCs/>
          <w:color w:val="auto"/>
          <w:spacing w:val="4"/>
          <w:sz w:val="47"/>
          <w:szCs w:val="47"/>
          <w:lang w:eastAsia="zh-CN"/>
        </w:rPr>
        <w:t xml:space="preserve">国华投资运行分析月报</w:t>
      </w:r>
      <w:bookmarkEnd w:id="0"/>
      <w:r/>
      <w:bookmarkEnd w:id="1"/>
      <w:r/>
      <w:bookmarkEnd w:id="2"/>
      <w:r/>
      <w:bookmarkEnd w:id="3"/>
      <w:r/>
      <w:bookmarkEnd w:id="4"/>
      <w:r/>
      <w:bookmarkEnd w:id="5"/>
      <w:r/>
      <w:bookmarkEnd w:id="6"/>
      <w:r/>
      <w:bookmarkEnd w:id="7"/>
      <w:r/>
      <w:bookmarkEnd w:id="8"/>
      <w:r/>
      <w:bookmarkEnd w:id="9"/>
      <w:r/>
      <w:bookmarkEnd w:id="10"/>
      <w:r/>
      <w:bookmarkEnd w:id="11"/>
      <w:r/>
      <w:bookmarkEnd w:id="12"/>
      <w:r/>
      <w:bookmarkEnd w:id="13"/>
      <w:r>
        <w:rPr>
          <w:rFonts w:hint="eastAsia" w:ascii="仿宋" w:hAnsi="仿宋" w:eastAsia="仿宋" w:cs="仿宋"/>
          <w:color w:val="auto"/>
          <w:sz w:val="47"/>
          <w:szCs w:val="47"/>
          <w:lang w:eastAsia="zh-CN"/>
        </w:rPr>
      </w:r>
      <w:r>
        <w:rPr>
          <w:rFonts w:hint="eastAsia" w:ascii="仿宋" w:hAnsi="仿宋" w:eastAsia="仿宋" w:cs="仿宋"/>
          <w:color w:val="auto"/>
          <w:sz w:val="47"/>
          <w:szCs w:val="47"/>
          <w:lang w:eastAsia="zh-CN"/>
        </w:rPr>
      </w:r>
    </w:p>
    <w:p>
      <w:pPr>
        <w:pBdr/>
        <w:spacing w:before="216" w:line="489" w:lineRule="exact"/>
        <w:ind/>
        <w:jc w:val="center"/>
        <w:rPr>
          <w:rFonts w:hint="eastAsia" w:ascii="仿宋" w:hAnsi="仿宋" w:eastAsia="仿宋" w:cs="仿宋"/>
          <w:sz w:val="31"/>
          <w:szCs w:val="31"/>
          <w:lang w:eastAsia="zh-CN"/>
        </w:rPr>
      </w:pPr>
      <w:r>
        <w:rPr>
          <w:rFonts w:hint="eastAsia" w:ascii="仿宋" w:hAnsi="仿宋" w:eastAsia="仿宋" w:cs="仿宋"/>
          <w:spacing w:val="-4"/>
          <w:position w:val="5"/>
          <w:sz w:val="31"/>
          <w:szCs w:val="31"/>
          <w:lang w:eastAsia="zh-CN"/>
        </w:rPr>
        <w:t xml:space="preserve">2025年第1期（总第1期）</w:t>
      </w:r>
      <w:r>
        <w:rPr>
          <w:rFonts w:hint="eastAsia" w:ascii="仿宋" w:hAnsi="仿宋" w:eastAsia="仿宋" w:cs="仿宋"/>
          <w:sz w:val="31"/>
          <w:szCs w:val="31"/>
          <w:lang w:eastAsia="zh-CN"/>
        </w:rPr>
      </w:r>
      <w:r>
        <w:rPr>
          <w:rFonts w:hint="eastAsia" w:ascii="仿宋" w:hAnsi="仿宋" w:eastAsia="仿宋" w:cs="仿宋"/>
          <w:sz w:val="31"/>
          <w:szCs w:val="31"/>
          <w:lang w:eastAsia="zh-CN"/>
        </w:rPr>
      </w:r>
    </w:p>
    <w:p>
      <w:pPr>
        <w:pBdr/>
        <w:spacing w:line="421" w:lineRule="auto"/>
        <w:ind/>
        <w:rPr>
          <w:rFonts w:hint="eastAsia" w:ascii="仿宋" w:hAnsi="仿宋" w:eastAsia="仿宋" w:cs="仿宋"/>
          <w:lang w:eastAsia="zh-CN"/>
        </w:rPr>
      </w:pPr>
      <w:r>
        <w:rPr>
          <w:rFonts w:hint="eastAsia" w:ascii="仿宋" w:hAnsi="仿宋" w:eastAsia="仿宋" w:cs="仿宋"/>
          <w:lang w:eastAsia="zh-CN"/>
        </w:rPr>
      </w:r>
      <w:r>
        <w:rPr>
          <w:rFonts w:hint="eastAsia" w:ascii="仿宋" w:hAnsi="仿宋" w:eastAsia="仿宋" w:cs="仿宋"/>
          <w:lang w:eastAsia="zh-CN"/>
        </w:rPr>
      </w:r>
      <w:r>
        <w:rPr>
          <w:rFonts w:hint="eastAsia" w:ascii="仿宋" w:hAnsi="仿宋" w:eastAsia="仿宋" w:cs="仿宋"/>
          <w:lang w:eastAsia="zh-CN"/>
        </w:rPr>
      </w:r>
    </w:p>
    <w:p>
      <w:pPr>
        <w:pStyle w:val="1015"/>
        <w:pBdr/>
        <w:spacing w:before="78" w:line="215" w:lineRule="auto"/>
        <w:ind w:left="127"/>
        <w:jc w:val="righ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pacing w:val="-4"/>
          <w:sz w:val="24"/>
          <w:szCs w:val="24"/>
        </w:rPr>
        <w:t xml:space="preserve">202</w:t>
      </w:r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  <w:t xml:space="preserve">5</w:t>
      </w:r>
      <w:r>
        <w:rPr>
          <w:rFonts w:hint="eastAsia" w:ascii="仿宋" w:hAnsi="仿宋" w:eastAsia="仿宋" w:cs="仿宋"/>
          <w:b/>
          <w:bCs/>
          <w:spacing w:val="-4"/>
          <w:sz w:val="24"/>
          <w:szCs w:val="24"/>
        </w:rPr>
        <w:t xml:space="preserve">年</w:t>
      </w:r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  <w:t xml:space="preserve">2</w:t>
      </w:r>
      <w:r>
        <w:rPr>
          <w:rFonts w:hint="eastAsia" w:ascii="仿宋" w:hAnsi="仿宋" w:eastAsia="仿宋" w:cs="仿宋"/>
          <w:b/>
          <w:bCs/>
          <w:spacing w:val="-4"/>
          <w:sz w:val="24"/>
          <w:szCs w:val="24"/>
        </w:rPr>
        <w:t xml:space="preserve">月</w:t>
      </w:r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  <w:t xml:space="preserve">18</w:t>
      </w:r>
      <w:r>
        <w:rPr>
          <w:rFonts w:hint="eastAsia" w:ascii="仿宋" w:hAnsi="仿宋" w:eastAsia="仿宋" w:cs="仿宋"/>
          <w:b/>
          <w:bCs/>
          <w:spacing w:val="-4"/>
          <w:sz w:val="24"/>
          <w:szCs w:val="24"/>
        </w:rPr>
        <w:t xml:space="preserve">日</w:t>
      </w:r>
      <w:r>
        <w:rPr>
          <w:rFonts w:hint="eastAsia" w:ascii="仿宋" w:hAnsi="仿宋" w:eastAsia="仿宋" w:cs="仿宋"/>
          <w:sz w:val="24"/>
          <w:szCs w:val="24"/>
        </w:rPr>
      </w:r>
      <w:r>
        <w:rPr>
          <w:rFonts w:hint="eastAsia" w:ascii="仿宋" w:hAnsi="仿宋" w:eastAsia="仿宋" w:cs="仿宋"/>
          <w:sz w:val="24"/>
          <w:szCs w:val="24"/>
        </w:rPr>
      </w:r>
    </w:p>
    <w:p>
      <w:pPr>
        <w:pBdr/>
        <w:spacing w:before="175" w:line="30" w:lineRule="exact"/>
        <w:ind w:firstLine="1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</w:r>
      <w:r>
        <w:rPr>
          <w:rFonts w:hint="eastAsia" w:ascii="仿宋" w:hAnsi="仿宋" w:eastAsia="仿宋" w:cs="仿宋"/>
        </w:rPr>
      </w:r>
      <w:r>
        <w:rPr>
          <w:rFonts w:hint="eastAsia" w:ascii="仿宋" w:hAnsi="仿宋" w:eastAsia="仿宋" w:cs="仿宋"/>
        </w:rPr>
      </w:r>
    </w:p>
    <w:p>
      <w:pPr>
        <w:pBdr/>
        <w:spacing w:line="319" w:lineRule="auto"/>
        <w:ind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42305" cy="76200"/>
                <wp:effectExtent l="0" t="0" r="3175" b="0"/>
                <wp:docPr id="2" name="IM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 4"/>
                        <pic:cNvPicPr/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V="1">
                          <a:off x="0" y="0"/>
                          <a:ext cx="5742305" cy="76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2.15pt;height:6.00pt;mso-wrap-distance-left:0.00pt;mso-wrap-distance-top:0.00pt;mso-wrap-distance-right:0.00pt;mso-wrap-distance-bottom:0.00pt;flip:y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hint="eastAsia" w:ascii="仿宋" w:hAnsi="仿宋" w:eastAsia="仿宋" w:cs="仿宋"/>
        </w:rPr>
      </w:r>
      <w:r>
        <w:rPr>
          <w:rFonts w:hint="eastAsia" w:ascii="仿宋" w:hAnsi="仿宋" w:eastAsia="仿宋" w:cs="仿宋"/>
        </w:rPr>
      </w:r>
    </w:p>
    <w:p>
      <w:pPr>
        <w:pBdr/>
        <w:spacing w:line="560" w:lineRule="exact"/>
        <w:ind w:firstLine="582"/>
        <w:outlineLvl w:val="0"/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pPr>
      <w:r/>
      <w:bookmarkStart w:id="14" w:name="_Toc13361"/>
      <w:r/>
      <w:bookmarkStart w:id="15" w:name="_Toc32642"/>
      <w:r/>
      <w:bookmarkStart w:id="16" w:name="_Toc10816"/>
      <w:r/>
      <w:bookmarkStart w:id="17" w:name="_Toc23611"/>
      <w:r/>
      <w:bookmarkStart w:id="18" w:name="_Toc18209"/>
      <w:r/>
      <w:bookmarkStart w:id="19" w:name="_Toc25291"/>
      <w:r/>
      <w:bookmarkStart w:id="20" w:name="_Toc5289"/>
      <w:r/>
      <w:bookmarkStart w:id="21" w:name="_Toc23823"/>
      <w:r/>
      <w:bookmarkStart w:id="22" w:name="_Toc1364"/>
      <w:r/>
      <w:bookmarkStart w:id="23" w:name="_Toc8558"/>
      <w:r/>
      <w:bookmarkStart w:id="24" w:name="_Toc24771"/>
      <w:r/>
      <w:bookmarkStart w:id="25" w:name="_Toc15314"/>
      <w:r/>
      <w:bookmarkStart w:id="26" w:name="_Toc16686"/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  <w:t xml:space="preserve">一、总体情况</w:t>
      </w:r>
      <w:bookmarkEnd w:id="14"/>
      <w:r/>
      <w:bookmarkEnd w:id="15"/>
      <w:r/>
      <w:bookmarkEnd w:id="16"/>
      <w:r/>
      <w:bookmarkEnd w:id="17"/>
      <w:r/>
      <w:bookmarkEnd w:id="18"/>
      <w:r/>
      <w:bookmarkEnd w:id="19"/>
      <w:r/>
      <w:bookmarkEnd w:id="20"/>
      <w:r/>
      <w:bookmarkEnd w:id="21"/>
      <w:r/>
      <w:bookmarkEnd w:id="22"/>
      <w:r/>
      <w:bookmarkEnd w:id="23"/>
      <w:r/>
      <w:bookmarkEnd w:id="24"/>
      <w:r/>
      <w:bookmarkEnd w:id="25"/>
      <w:r/>
      <w:bookmarkEnd w:id="26"/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</w:p>
    <w:p>
      <w:pPr>
        <w:pBdr/>
        <w:spacing w:line="560" w:lineRule="exact"/>
        <w:ind w:firstLine="568"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  <w:t xml:space="preserve">1月，投资公司累计装机2124.08万千瓦，同比增加325.63万千瓦，同比增长18.11%。其中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风电装机容量1658.86万千瓦，光伏装机容量465.23万千瓦。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pBdr/>
        <w:spacing w:line="560" w:lineRule="exact"/>
        <w:ind w:firstLine="568"/>
        <w:rPr>
          <w:rFonts w:hint="eastAsia" w:ascii="仿宋" w:hAnsi="仿宋" w:eastAsia="仿宋" w:cs="仿宋"/>
          <w:sz w:val="28"/>
          <w:szCs w:val="28"/>
          <w:highlight w:val="yellow"/>
          <w:lang w:eastAsia="zh-CN" w:bidi="ar"/>
        </w:rPr>
      </w:pP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  <w:t xml:space="preserve">本月发电量35.56亿千瓦时，完成月度计划的105.46%；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年累计发电量35.56亿千瓦时，完成年度电量计划的7.78%，其中存量项目发电量31.2亿千瓦时，同比减少1.74亿度，降幅5.29%，增量项目发电4.36亿千瓦时；</w:t>
      </w: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  <w:t xml:space="preserve">利用小时169h，</w:t>
      </w:r>
      <w:r>
        <w:rPr>
          <w:rFonts w:hint="eastAsia" w:ascii="仿宋" w:hAnsi="仿宋" w:eastAsia="仿宋" w:cs="仿宋"/>
          <w:spacing w:val="1"/>
          <w:sz w:val="28"/>
          <w:szCs w:val="28"/>
          <w:lang w:eastAsia="zh-CN"/>
        </w:rPr>
        <w:t xml:space="preserve">同</w:t>
      </w:r>
      <w:r>
        <w:rPr>
          <w:rFonts w:hint="eastAsia" w:ascii="仿宋" w:hAnsi="仿宋" w:eastAsia="仿宋" w:cs="仿宋"/>
          <w:spacing w:val="5"/>
          <w:sz w:val="28"/>
          <w:szCs w:val="28"/>
          <w:lang w:eastAsia="zh-CN"/>
        </w:rPr>
        <w:t xml:space="preserve">比降低20.33小时，降幅10.74%。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风电189.22小时，同比降低16.55小时；光伏96.7小时，同比降低4.04小时。</w:t>
      </w:r>
      <w:r>
        <w:rPr>
          <w:rFonts w:hint="eastAsia" w:ascii="仿宋" w:hAnsi="仿宋" w:eastAsia="仿宋" w:cs="仿宋"/>
          <w:sz w:val="28"/>
          <w:szCs w:val="28"/>
          <w:highlight w:val="yellow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highlight w:val="yellow"/>
          <w:lang w:eastAsia="zh-CN" w:bidi="ar"/>
        </w:rPr>
      </w:r>
    </w:p>
    <w:p>
      <w:pPr>
        <w:pStyle w:val="1015"/>
        <w:pBdr/>
        <w:spacing w:line="560" w:lineRule="exact"/>
        <w:ind w:firstLine="556"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pacing w:val="-1"/>
          <w:sz w:val="28"/>
          <w:szCs w:val="28"/>
          <w:lang w:eastAsia="zh-CN"/>
        </w:rPr>
        <w:t xml:space="preserve">电网限电率为8.2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%</w:t>
      </w:r>
      <w:r>
        <w:rPr>
          <w:rFonts w:hint="eastAsia" w:ascii="仿宋" w:hAnsi="仿宋" w:eastAsia="仿宋" w:cs="仿宋"/>
          <w:spacing w:val="-1"/>
          <w:sz w:val="28"/>
          <w:szCs w:val="28"/>
          <w:lang w:eastAsia="zh-CN"/>
        </w:rPr>
        <w:t xml:space="preserve">，同比升高5.71个百分点</w:t>
      </w:r>
      <w:r>
        <w:rPr>
          <w:rFonts w:hint="eastAsia" w:ascii="仿宋" w:hAnsi="仿宋" w:eastAsia="仿宋" w:cs="仿宋"/>
          <w:spacing w:val="3"/>
          <w:sz w:val="28"/>
          <w:szCs w:val="28"/>
          <w:lang w:eastAsia="zh-CN"/>
        </w:rPr>
        <w:t xml:space="preserve">。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pStyle w:val="1015"/>
        <w:pBdr/>
        <w:spacing w:line="560" w:lineRule="exact"/>
        <w:ind w:firstLine="568"/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</w:pPr>
      <w:r/>
      <w:bookmarkStart w:id="27" w:name="_Toc25412"/>
      <w:r/>
      <w:bookmarkStart w:id="28" w:name="_Toc25862"/>
      <w:r/>
      <w:bookmarkStart w:id="29" w:name="_Toc26193"/>
      <w:r/>
      <w:bookmarkStart w:id="30" w:name="_Toc12221"/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  <w:t xml:space="preserve">能量利用率为88.87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%</w:t>
      </w: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  <w:t xml:space="preserve">，</w:t>
      </w:r>
      <w:bookmarkEnd w:id="27"/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  <w:t xml:space="preserve">风能利用率88.49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%</w:t>
      </w: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  <w:t xml:space="preserve">，光伏能量利用率91.67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%</w:t>
      </w: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  <w:t xml:space="preserve">。</w:t>
      </w:r>
      <w:bookmarkEnd w:id="28"/>
      <w:r/>
      <w:bookmarkEnd w:id="29"/>
      <w:r/>
      <w:bookmarkEnd w:id="30"/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</w:r>
    </w:p>
    <w:p>
      <w:pPr>
        <w:pStyle w:val="1015"/>
        <w:pBdr/>
        <w:spacing w:line="560" w:lineRule="exact"/>
        <w:ind w:firstLine="568"/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  <w:t xml:space="preserve">本月生产指标评价结果：</w:t>
      </w: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</w:r>
    </w:p>
    <w:p>
      <w:pPr>
        <w:pStyle w:val="1015"/>
        <w:pBdr/>
        <w:spacing w:line="560" w:lineRule="exact"/>
        <w:ind w:firstLine="568"/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  <w:t xml:space="preserve">子分公司级生产指标评价得分前三的公司为：</w:t>
      </w:r>
      <w:r>
        <w:rPr>
          <w:rFonts w:hint="eastAsia" w:ascii="仿宋" w:hAnsi="仿宋" w:eastAsia="仿宋" w:cs="仿宋"/>
          <w:spacing w:val="2"/>
          <w:sz w:val="28"/>
          <w:szCs w:val="28"/>
          <w:lang w:val="en-US" w:eastAsia="zh-CN"/>
        </w:rPr>
        <w:t xml:space="preserve">{{gssczb_top3}}</w:t>
      </w: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  <w:t xml:space="preserve">；后三名的公司为：</w:t>
      </w:r>
      <w:r>
        <w:rPr>
          <w:rFonts w:hint="eastAsia" w:ascii="仿宋" w:hAnsi="仿宋" w:eastAsia="仿宋" w:cs="仿宋"/>
          <w:spacing w:val="2"/>
          <w:sz w:val="28"/>
          <w:szCs w:val="28"/>
          <w:lang w:val="en-US" w:eastAsia="zh-CN"/>
        </w:rPr>
        <w:t xml:space="preserve">{{gssczb_later3}}</w:t>
      </w: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  <w:t xml:space="preserve">。</w:t>
      </w: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</w:r>
    </w:p>
    <w:p>
      <w:pPr>
        <w:pStyle w:val="1015"/>
        <w:pBdr/>
        <w:spacing w:line="560" w:lineRule="exact"/>
        <w:ind w:firstLine="568"/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  <w:t xml:space="preserve">风电场站级生产指标评价得分前三的场站为：</w:t>
      </w:r>
      <w:r>
        <w:rPr>
          <w:rFonts w:hint="eastAsia" w:ascii="仿宋" w:hAnsi="仿宋" w:eastAsia="仿宋" w:cs="仿宋"/>
          <w:spacing w:val="2"/>
          <w:sz w:val="28"/>
          <w:szCs w:val="28"/>
          <w:lang w:val="en-US" w:eastAsia="zh-CN"/>
        </w:rPr>
        <w:t xml:space="preserve">{{fdsczb_top3}}</w:t>
      </w: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  <w:t xml:space="preserve">；后三名的场站为：</w:t>
      </w:r>
      <w:r>
        <w:rPr>
          <w:rFonts w:hint="eastAsia" w:ascii="仿宋" w:hAnsi="仿宋" w:eastAsia="仿宋" w:cs="仿宋"/>
          <w:spacing w:val="2"/>
          <w:sz w:val="28"/>
          <w:szCs w:val="28"/>
          <w:lang w:val="en-US" w:eastAsia="zh-CN"/>
        </w:rPr>
        <w:t xml:space="preserve">{{fdsczb_later3}}</w:t>
      </w: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  <w:t xml:space="preserve">。</w:t>
      </w: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</w:r>
    </w:p>
    <w:p>
      <w:pPr>
        <w:pStyle w:val="1015"/>
        <w:pBdr/>
        <w:spacing w:line="560" w:lineRule="exact"/>
        <w:ind w:firstLine="568"/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  <w:t xml:space="preserve">光伏场站级生产指标评价得分前三的场站为：</w:t>
      </w:r>
      <w:r>
        <w:rPr>
          <w:rFonts w:hint="eastAsia" w:ascii="仿宋" w:hAnsi="仿宋" w:eastAsia="仿宋" w:cs="仿宋"/>
          <w:spacing w:val="2"/>
          <w:sz w:val="28"/>
          <w:szCs w:val="28"/>
          <w:lang w:val="en-US" w:eastAsia="zh-CN"/>
        </w:rPr>
        <w:t xml:space="preserve">{{gfsczb_top3}}</w:t>
      </w: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  <w:t xml:space="preserve">；后三名的场站为：</w:t>
      </w:r>
      <w:r>
        <w:rPr>
          <w:rFonts w:hint="eastAsia" w:ascii="仿宋" w:hAnsi="仿宋" w:eastAsia="仿宋" w:cs="仿宋"/>
          <w:spacing w:val="2"/>
          <w:sz w:val="28"/>
          <w:szCs w:val="28"/>
          <w:lang w:val="en-US" w:eastAsia="zh-CN"/>
        </w:rPr>
        <w:t xml:space="preserve">{{gfsczb_later3}}</w:t>
      </w: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  <w:t xml:space="preserve">。</w:t>
      </w: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</w:r>
    </w:p>
    <w:p>
      <w:pPr>
        <w:pStyle w:val="1015"/>
        <w:pBdr/>
        <w:spacing w:line="560" w:lineRule="exact"/>
        <w:ind w:firstLine="568"/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  <w:t xml:space="preserve">具体得分及排名情况见附件1-附件3。</w:t>
      </w: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</w:r>
    </w:p>
    <w:p>
      <w:pPr>
        <w:numPr>
          <w:ilvl w:val="0"/>
          <w:numId w:val="0"/>
        </w:numPr>
        <w:pBdr/>
        <w:spacing w:line="560" w:lineRule="exact"/>
        <w:ind w:firstLine="582"/>
        <w:outlineLvl w:val="0"/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pPr>
      <w:r/>
      <w:bookmarkStart w:id="31" w:name="_Toc798"/>
      <w:r/>
      <w:bookmarkStart w:id="32" w:name="_Toc10483"/>
      <w:r/>
      <w:bookmarkStart w:id="33" w:name="_Toc3781"/>
      <w:r/>
      <w:bookmarkStart w:id="34" w:name="_Toc20876"/>
      <w:r/>
      <w:bookmarkStart w:id="35" w:name="_Toc3327"/>
      <w:r/>
      <w:bookmarkStart w:id="36" w:name="_Toc9822"/>
      <w:r/>
      <w:bookmarkStart w:id="37" w:name="_Toc17287"/>
      <w:r/>
      <w:bookmarkStart w:id="38" w:name="_Toc13310"/>
      <w:r/>
      <w:bookmarkStart w:id="39" w:name="_Toc32501"/>
      <w:r/>
      <w:bookmarkStart w:id="40" w:name="_Toc28084"/>
      <w:r/>
      <w:bookmarkStart w:id="41" w:name="_Toc19925"/>
      <w:r/>
      <w:bookmarkStart w:id="42" w:name="_Toc2960"/>
      <w:r/>
      <w:bookmarkStart w:id="43" w:name="_Toc10022"/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  <w:t xml:space="preserve">二、电量完成情况</w:t>
      </w:r>
      <w:bookmarkEnd w:id="31"/>
      <w:r/>
      <w:bookmarkEnd w:id="32"/>
      <w:r/>
      <w:bookmarkEnd w:id="33"/>
      <w:r/>
      <w:bookmarkEnd w:id="34"/>
      <w:r/>
      <w:bookmarkEnd w:id="35"/>
      <w:r/>
      <w:bookmarkEnd w:id="36"/>
      <w:r/>
      <w:bookmarkEnd w:id="37"/>
      <w:r/>
      <w:bookmarkEnd w:id="38"/>
      <w:r/>
      <w:bookmarkEnd w:id="39"/>
      <w:r/>
      <w:bookmarkEnd w:id="40"/>
      <w:r/>
      <w:bookmarkEnd w:id="41"/>
      <w:r/>
      <w:bookmarkEnd w:id="42"/>
      <w:r/>
      <w:bookmarkEnd w:id="43"/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</w:p>
    <w:p>
      <w:pPr>
        <w:pStyle w:val="1022"/>
        <w:pBdr/>
        <w:spacing w:line="560" w:lineRule="exact"/>
        <w:ind w:firstLine="560" w:left="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1月投资公司</w:t>
      </w: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  <w:t xml:space="preserve">发电量</w:t>
      </w:r>
      <w:r>
        <w:rPr>
          <w:rFonts w:hint="eastAsia" w:ascii="仿宋" w:hAnsi="仿宋" w:eastAsia="仿宋" w:cs="仿宋"/>
          <w:b/>
          <w:bCs/>
          <w:spacing w:val="2"/>
          <w:sz w:val="28"/>
          <w:szCs w:val="28"/>
          <w:lang w:eastAsia="zh-CN"/>
        </w:rPr>
        <w:t xml:space="preserve">35.56</w:t>
      </w: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  <w:t xml:space="preserve">亿千瓦时，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下达发电计划33.72亿千瓦时，发电计划完成率105.46%，发电计划偏差率12.09%。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tbl>
      <w:tblPr>
        <w:tblStyle w:val="1023"/>
        <w:jc w:val="center"/>
        <w:tblW w:w="4997" w:type="pct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668"/>
        <w:gridCol w:w="2341"/>
        <w:gridCol w:w="1620"/>
        <w:gridCol w:w="1835"/>
        <w:gridCol w:w="1649"/>
      </w:tblGrid>
      <w:tr>
        <w:trPr>
          <w:jc w:val="center"/>
          <w:trHeight w:val="520"/>
        </w:trPr>
        <w:tc>
          <w:tcPr>
            <w:shd w:val="clear" w:color="auto" w:fill="f1f1f1" w:themeFill="background1" w:themeFillShade="F2"/>
            <w:tcBorders/>
            <w:tcW w:w="782" w:type="pct"/>
            <w:vAlign w:val="center"/>
            <w:textDirection w:val="lrTb"/>
            <w:noWrap w:val="false"/>
          </w:tcPr>
          <w:p>
            <w:pPr>
              <w:pStyle w:val="1021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Cs w:val="24"/>
                <w:lang w:val="en-US" w:eastAsia="zh-CN"/>
              </w:rPr>
              <w:t xml:space="preserve">{{0.dlwcqz}}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Cs w:val="24"/>
              </w:rPr>
              <w:t xml:space="preserve">序号</w:t>
            </w:r>
            <w:r>
              <w:rPr>
                <w:rFonts w:hint="eastAsia" w:ascii="仿宋" w:hAnsi="仿宋" w:eastAsia="仿宋" w:cs="仿宋"/>
                <w:b/>
                <w:bCs/>
                <w:szCs w:val="24"/>
              </w:rPr>
            </w:r>
            <w:r>
              <w:rPr>
                <w:rFonts w:hint="eastAsia" w:ascii="仿宋" w:hAnsi="仿宋" w:eastAsia="仿宋" w:cs="仿宋"/>
                <w:b/>
                <w:bCs/>
                <w:szCs w:val="24"/>
              </w:rPr>
            </w:r>
          </w:p>
        </w:tc>
        <w:tc>
          <w:tcPr>
            <w:shd w:val="clear" w:color="auto" w:fill="f1f1f1" w:themeFill="background1" w:themeFillShade="F2"/>
            <w:tcBorders/>
            <w:tcW w:w="1317" w:type="pct"/>
            <w:vAlign w:val="center"/>
            <w:textDirection w:val="lrTb"/>
            <w:noWrap w:val="false"/>
          </w:tcPr>
          <w:p>
            <w:pPr>
              <w:pStyle w:val="1021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Cs w:val="24"/>
              </w:rPr>
              <w:t xml:space="preserve">单位</w:t>
            </w:r>
            <w:r>
              <w:rPr>
                <w:rFonts w:hint="eastAsia" w:ascii="仿宋" w:hAnsi="仿宋" w:eastAsia="仿宋" w:cs="仿宋"/>
                <w:b/>
                <w:bCs/>
                <w:szCs w:val="24"/>
              </w:rPr>
            </w:r>
            <w:r>
              <w:rPr>
                <w:rFonts w:hint="eastAsia" w:ascii="仿宋" w:hAnsi="仿宋" w:eastAsia="仿宋" w:cs="仿宋"/>
                <w:b/>
                <w:bCs/>
                <w:szCs w:val="24"/>
              </w:rPr>
            </w:r>
          </w:p>
        </w:tc>
        <w:tc>
          <w:tcPr>
            <w:shd w:val="clear" w:color="auto" w:fill="f1f1f1" w:themeFill="background1" w:themeFillShade="F2"/>
            <w:tcBorders/>
            <w:tcW w:w="922" w:type="pct"/>
            <w:vAlign w:val="center"/>
            <w:textDirection w:val="lrTb"/>
            <w:noWrap w:val="false"/>
          </w:tcPr>
          <w:p>
            <w:pPr>
              <w:pStyle w:val="1021"/>
              <w:pBdr/>
              <w:spacing w:afterAutospacing="0" w:beforeAutospacing="0" w:line="0" w:lineRule="atLeast"/>
              <w:ind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Cs w:val="24"/>
              </w:rPr>
              <w:t xml:space="preserve">发电量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Cs w:val="24"/>
              </w:rPr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Cs w:val="24"/>
              </w:rPr>
            </w:r>
          </w:p>
          <w:p>
            <w:pPr>
              <w:pStyle w:val="1021"/>
              <w:pBdr/>
              <w:spacing w:afterAutospacing="0" w:beforeAutospacing="0" w:line="0" w:lineRule="atLeast"/>
              <w:ind/>
              <w:jc w:val="center"/>
              <w:rPr>
                <w:rFonts w:hint="eastAsia" w:ascii="仿宋" w:hAnsi="仿宋" w:eastAsia="仿宋" w:cs="仿宋"/>
                <w:b/>
                <w:bCs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Cs w:val="24"/>
              </w:rPr>
              <w:t xml:space="preserve">（万千瓦时）</w:t>
            </w:r>
            <w:r>
              <w:rPr>
                <w:rFonts w:hint="eastAsia" w:ascii="仿宋" w:hAnsi="仿宋" w:eastAsia="仿宋" w:cs="仿宋"/>
                <w:b/>
                <w:bCs/>
                <w:szCs w:val="24"/>
              </w:rPr>
            </w:r>
            <w:r>
              <w:rPr>
                <w:rFonts w:hint="eastAsia" w:ascii="仿宋" w:hAnsi="仿宋" w:eastAsia="仿宋" w:cs="仿宋"/>
                <w:b/>
                <w:bCs/>
                <w:szCs w:val="24"/>
              </w:rPr>
            </w:r>
          </w:p>
        </w:tc>
        <w:tc>
          <w:tcPr>
            <w:shd w:val="clear" w:color="auto" w:fill="f1f1f1" w:themeFill="background1" w:themeFillShade="F2"/>
            <w:tcBorders/>
            <w:tcW w:w="1039" w:type="pct"/>
            <w:vAlign w:val="center"/>
            <w:textDirection w:val="lrTb"/>
            <w:noWrap w:val="false"/>
          </w:tcPr>
          <w:p>
            <w:pPr>
              <w:pStyle w:val="1021"/>
              <w:pBdr/>
              <w:spacing w:afterAutospacing="0" w:beforeAutospacing="0" w:line="0" w:lineRule="atLeast"/>
              <w:ind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Cs w:val="24"/>
              </w:rPr>
              <w:t xml:space="preserve">电量计划完成率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Cs w:val="24"/>
              </w:rPr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Cs w:val="24"/>
              </w:rPr>
            </w:r>
          </w:p>
          <w:p>
            <w:pPr>
              <w:pStyle w:val="1021"/>
              <w:pBdr/>
              <w:spacing w:afterAutospacing="0" w:beforeAutospacing="0" w:line="0" w:lineRule="atLeast"/>
              <w:ind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Cs w:val="24"/>
              </w:rPr>
              <w:t xml:space="preserve">（%）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Cs w:val="24"/>
              </w:rPr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Cs w:val="24"/>
              </w:rPr>
            </w:r>
          </w:p>
        </w:tc>
        <w:tc>
          <w:tcPr>
            <w:shd w:val="clear" w:color="auto" w:fill="f1f1f1" w:themeFill="background1" w:themeFillShade="F2"/>
            <w:tcBorders/>
            <w:tcW w:w="937" w:type="pct"/>
            <w:vAlign w:val="center"/>
            <w:textDirection w:val="lrTb"/>
            <w:noWrap w:val="false"/>
          </w:tcPr>
          <w:p>
            <w:pPr>
              <w:pStyle w:val="1021"/>
              <w:pBdr/>
              <w:spacing w:afterAutospacing="0" w:beforeAutospacing="0" w:line="0" w:lineRule="atLeast"/>
              <w:ind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Cs w:val="24"/>
              </w:rPr>
              <w:t xml:space="preserve">上报计划偏差率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Cs w:val="24"/>
              </w:rPr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Cs w:val="24"/>
              </w:rPr>
            </w:r>
          </w:p>
          <w:p>
            <w:pPr>
              <w:pStyle w:val="1021"/>
              <w:pBdr/>
              <w:spacing w:afterAutospacing="0" w:beforeAutospacing="0" w:line="0" w:lineRule="atLeast"/>
              <w:ind/>
              <w:jc w:val="center"/>
              <w:rPr>
                <w:rFonts w:hint="eastAsia" w:ascii="仿宋" w:hAnsi="仿宋" w:eastAsia="仿宋" w:cs="仿宋"/>
                <w:b/>
                <w:bCs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Cs w:val="24"/>
              </w:rPr>
              <w:t xml:space="preserve">（%）</w:t>
            </w:r>
            <w:r>
              <w:rPr>
                <w:rFonts w:hint="eastAsia" w:ascii="仿宋" w:hAnsi="仿宋" w:eastAsia="仿宋" w:cs="仿宋"/>
                <w:b/>
                <w:bCs/>
                <w:szCs w:val="24"/>
              </w:rPr>
            </w:r>
            <w:r>
              <w:rPr>
                <w:rFonts w:hint="eastAsia" w:ascii="仿宋" w:hAnsi="仿宋" w:eastAsia="仿宋" w:cs="仿宋"/>
                <w:b/>
                <w:bCs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782" w:type="pct"/>
            <w:vAlign w:val="bottom"/>
            <w:textDirection w:val="lrTb"/>
            <w:noWrap w:val="false"/>
          </w:tcPr>
          <w:p>
            <w:pPr>
              <w:pStyle w:val="1021"/>
              <w:pBdr/>
              <w:spacing/>
              <w:ind/>
              <w:jc w:val="center"/>
              <w:rPr>
                <w:rFonts w:hint="default" w:ascii="仿宋" w:hAnsi="仿宋" w:eastAsia="仿宋" w:cs="仿宋"/>
                <w:b/>
                <w:bCs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4"/>
                <w:lang w:val="en-US" w:eastAsia="zh-CN"/>
              </w:rPr>
              <w:t xml:space="preserve">[row]</w:t>
            </w:r>
            <w:r>
              <w:rPr>
                <w:rFonts w:hint="default" w:ascii="仿宋" w:hAnsi="仿宋" w:eastAsia="仿宋" w:cs="仿宋"/>
                <w:b/>
                <w:bCs/>
                <w:szCs w:val="24"/>
                <w:lang w:val="en-US" w:eastAsia="zh-CN"/>
              </w:rPr>
            </w:r>
            <w:r>
              <w:rPr>
                <w:rFonts w:hint="default" w:ascii="仿宋" w:hAnsi="仿宋" w:eastAsia="仿宋" w:cs="仿宋"/>
                <w:b/>
                <w:bCs/>
                <w:szCs w:val="24"/>
                <w:lang w:val="en-US" w:eastAsia="zh-CN"/>
              </w:rPr>
            </w:r>
          </w:p>
        </w:tc>
        <w:tc>
          <w:tcPr>
            <w:tcBorders/>
            <w:tcW w:w="1317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 w:bidi="ar"/>
              </w:rPr>
              <w:t xml:space="preserve">[company]</w:t>
            </w:r>
            <w:r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 w:bidi="ar"/>
              </w:rPr>
            </w:r>
          </w:p>
        </w:tc>
        <w:tc>
          <w:tcPr>
            <w:tcBorders/>
            <w:tcW w:w="9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 w:bidi="ar"/>
              </w:rPr>
              <w:t xml:space="preserve">[power]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 w:bidi="ar"/>
              </w:rPr>
            </w:r>
          </w:p>
        </w:tc>
        <w:tc>
          <w:tcPr>
            <w:tcBorders/>
            <w:tcW w:w="103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 w:bidi="ar"/>
              </w:rPr>
              <w:t xml:space="preserve">[rate]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</w:p>
        </w:tc>
        <w:tc>
          <w:tcPr>
            <w:tcBorders/>
            <w:tcW w:w="937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 w:bidi="ar"/>
              </w:rPr>
              <w:t xml:space="preserve">[deviation]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</w:p>
        </w:tc>
      </w:tr>
    </w:tbl>
    <w:p>
      <w:pPr>
        <w:pStyle w:val="1022"/>
        <w:pBdr/>
        <w:spacing w:line="560" w:lineRule="exact"/>
        <w:ind w:firstLine="560" w:left="0"/>
        <w:jc w:val="center"/>
        <w:rPr>
          <w:rFonts w:hint="eastAsia" w:ascii="仿宋" w:hAnsi="仿宋" w:eastAsia="仿宋" w:cs="仿宋"/>
          <w:b/>
          <w:bCs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表1 子分公司发电情况统计表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 w:bidi="ar"/>
        </w:rPr>
      </w:r>
    </w:p>
    <w:p>
      <w:pPr>
        <w:pStyle w:val="1022"/>
        <w:pBdr/>
        <w:spacing w:line="560" w:lineRule="exact"/>
        <w:ind w:firstLine="560" w:left="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发电计划完成率：23家子分公司中，16家子分公司完成月度发电计划，7家子分公司未完成月度发电计划。月度发电计划完成率前3位分别是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{{1.ydfdjhwcl_top3}}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，后三名分别是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{{1.ydfdjhwcl_later3}}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pStyle w:val="1022"/>
        <w:pBdr/>
        <w:spacing w:line="560" w:lineRule="exact"/>
        <w:ind w:firstLine="560" w:left="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发电计划偏差率：月度发电计划偏差率前3位分别是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{{1.fdjhpcl_top3}}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pStyle w:val="1022"/>
        <w:pBdr/>
        <w:spacing w:line="560" w:lineRule="exact"/>
        <w:ind w:firstLine="560" w:left="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存在问题：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pStyle w:val="1022"/>
        <w:numPr>
          <w:ilvl w:val="0"/>
          <w:numId w:val="1"/>
        </w:numPr>
        <w:pBdr/>
        <w:spacing w:line="560" w:lineRule="exact"/>
        <w:ind w:firstLine="560" w:left="0"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投资公司82%的子分公司偏差率在40%以内，甘肃公司、河南公司、能源公司发电计划偏差率超过80%，特别是甘肃公司偏差率达到168%，发电计划制定不合理，需加强计划管理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。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pStyle w:val="1022"/>
        <w:numPr>
          <w:ilvl w:val="0"/>
          <w:numId w:val="1"/>
        </w:numPr>
        <w:pBdr/>
        <w:spacing w:line="560" w:lineRule="exact"/>
        <w:ind w:firstLine="560" w:left="0"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本月投资公司发电计划完成率105.46%，7家子分公司未完成发电计划，吉林公司、黑龙江公司、欧洲公司发电计划完成率不足80%，需提高计划管理，吉林公司欠发6588万千瓦时，蒙东公司欠发4202万千瓦时，广西公司欠发1715万千瓦时。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pStyle w:val="1022"/>
        <w:numPr>
          <w:ilvl w:val="0"/>
          <w:numId w:val="1"/>
        </w:numPr>
        <w:pBdr/>
        <w:spacing w:line="560" w:lineRule="exact"/>
        <w:ind w:firstLine="560" w:left="0"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河北杏花山风电场、摩天岭风电场在河北公司整体完成率较好的情况下场站完成率不足80%。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numPr>
          <w:ilvl w:val="0"/>
          <w:numId w:val="0"/>
        </w:numPr>
        <w:pBdr/>
        <w:spacing w:line="560" w:lineRule="exact"/>
        <w:ind w:firstLine="582"/>
        <w:outlineLvl w:val="0"/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pPr>
      <w:r/>
      <w:bookmarkStart w:id="44" w:name="_Toc30550"/>
      <w:r/>
      <w:bookmarkStart w:id="45" w:name="_Toc24542"/>
      <w:r/>
      <w:bookmarkStart w:id="46" w:name="_Toc3725"/>
      <w:r/>
      <w:bookmarkStart w:id="47" w:name="_Toc7919"/>
      <w:r/>
      <w:bookmarkStart w:id="48" w:name="_Toc9474"/>
      <w:r/>
      <w:bookmarkStart w:id="49" w:name="_Toc32293"/>
      <w:r/>
      <w:bookmarkStart w:id="50" w:name="_Toc8416"/>
      <w:r/>
      <w:bookmarkStart w:id="51" w:name="_Toc13402"/>
      <w:r/>
      <w:bookmarkStart w:id="52" w:name="_Toc4596"/>
      <w:r/>
      <w:bookmarkStart w:id="53" w:name="_Toc8480"/>
      <w:r/>
      <w:bookmarkStart w:id="54" w:name="_Toc10715"/>
      <w:r/>
      <w:bookmarkStart w:id="55" w:name="_Toc30468"/>
      <w:r/>
      <w:bookmarkStart w:id="56" w:name="_Toc14336"/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  <w:t xml:space="preserve">三、利用小时</w:t>
      </w:r>
      <w:bookmarkEnd w:id="44"/>
      <w:r/>
      <w:bookmarkEnd w:id="45"/>
      <w:r/>
      <w:bookmarkEnd w:id="46"/>
      <w:r/>
      <w:bookmarkEnd w:id="47"/>
      <w:r/>
      <w:bookmarkEnd w:id="48"/>
      <w:r/>
      <w:bookmarkEnd w:id="49"/>
      <w:r/>
      <w:bookmarkEnd w:id="50"/>
      <w:r/>
      <w:bookmarkEnd w:id="51"/>
      <w:r/>
      <w:bookmarkEnd w:id="52"/>
      <w:r/>
      <w:bookmarkEnd w:id="53"/>
      <w:r/>
      <w:bookmarkEnd w:id="54"/>
      <w:r/>
      <w:bookmarkEnd w:id="55"/>
      <w:r/>
      <w:bookmarkEnd w:id="56"/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</w:p>
    <w:p>
      <w:pPr>
        <w:pBdr/>
        <w:spacing w:line="560" w:lineRule="exact"/>
        <w:ind w:firstLine="560"/>
        <w:rPr>
          <w:rFonts w:hint="eastAsia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1月，投资公司利用小时1699小时，同比降低20.33小时，降幅10.74%，其中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 w:bidi="ar"/>
        </w:rPr>
        <w:t xml:space="preserve">风电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189.22小时，</w:t>
      </w:r>
      <w:sdt>
        <w:sdtPr>
          <w:alias w:val="理论发电量(光伏)"/>
          <w15:appearance w15:val="boundingBox"/>
          <w:placeholder>
            <w:docPart w:val="DefaultPlaceholder_LIST"/>
          </w:placeholder>
          <w:tag w:val="{&quot;trackId&quot;:&quot;text1758349566824&quot;,&quot;id&quot;:6}"/>
          <w:comboBox/>
          <w:rPr>
            <w:rFonts w:hint="eastAsia" w:ascii="仿宋" w:hAnsi="仿宋" w:eastAsia="仿宋" w:cs="仿宋"/>
            <w:sz w:val="28"/>
            <w:szCs w:val="28"/>
            <w:lang w:eastAsia="zh-CN" w:bidi="ar"/>
          </w:rPr>
        </w:sdtPr>
        <w:sdtContent>
          <w:r>
            <w:rPr>
              <w:b/>
              <w:color w:val="0064c8"/>
            </w:rPr>
            <w:t xml:space="preserve">理论发电量(光伏)</w:t>
          </w:r>
        </w:sdtContent>
      </w:sdt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同比降低16.55小时，降幅16.55%；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 w:bidi="ar"/>
        </w:rPr>
        <w:t xml:space="preserve">光伏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利用小时96.7小时，同比降低4.04小时，降幅4.01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%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。</w:t>
      </w:r>
      <w:r>
        <w:rPr>
          <w:rFonts w:hint="eastAsia"/>
          <w:lang w:eastAsia="zh-CN"/>
        </w:rPr>
      </w:r>
      <w:r>
        <w:rPr>
          <w:rFonts w:hint="eastAsia"/>
          <w:lang w:eastAsia="zh-CN"/>
        </w:rPr>
      </w:r>
    </w:p>
    <w:p>
      <w:pPr>
        <w:pBdr/>
        <w:spacing w:line="560" w:lineRule="exact"/>
        <w:ind/>
        <w:jc w:val="center"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sz w:val="28"/>
          <w:szCs w:val="28"/>
        </w:rPr>
        <w:drawing>
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<wp:simplePos x="0" y="0"/>
            <wp:positionH relativeFrom="column">
              <wp:posOffset>-10160</wp:posOffset>
            </wp:positionH>
            <wp:positionV relativeFrom="paragraph">
              <wp:posOffset>128905</wp:posOffset>
            </wp:positionV>
            <wp:extent cx="5716270" cy="3061335"/>
            <wp:effectExtent l="4445" t="4445" r="9525" b="12700"/>
            <wp:wrapTopAndBottom/>
            <wp:docPr id="3" name="图表 2" descr="{{2.zfgslyxs}}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anchor>
        </w:drawing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图1 子分公司1月利用小时统计图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pBdr/>
        <w:spacing w:line="560" w:lineRule="exact"/>
        <w:ind w:firstLine="560"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风电利用小时：19家子分公司中，6家高于投资公司值，113家低于投资公司值。利用小时前三名分别是</w:t>
      </w:r>
      <w:r>
        <w:rPr>
          <w:rFonts w:hint="eastAsia" w:ascii="仿宋" w:hAnsi="仿宋" w:eastAsia="仿宋" w:cs="仿宋"/>
          <w:sz w:val="28"/>
          <w:szCs w:val="28"/>
          <w:lang w:val="en-US" w:eastAsia="zh-CN" w:bidi="ar"/>
        </w:rPr>
        <w:t xml:space="preserve">{{3.fdlyxs_top3}}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，后三名分别是</w:t>
      </w:r>
      <w:r>
        <w:rPr>
          <w:rFonts w:hint="eastAsia" w:ascii="仿宋" w:hAnsi="仿宋" w:eastAsia="仿宋" w:cs="仿宋"/>
          <w:sz w:val="28"/>
          <w:szCs w:val="28"/>
          <w:lang w:val="en-US" w:eastAsia="zh-CN" w:bidi="ar"/>
        </w:rPr>
        <w:t xml:space="preserve">{{3.fdlyxs_later3}}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。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pBdr/>
        <w:spacing w:line="560" w:lineRule="exact"/>
        <w:ind w:firstLine="560"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光伏利用小时：16家子分公司中，4家高于投资公司值，12家低于投资公司值。利用小时前3名分别是，</w:t>
      </w:r>
      <w:r>
        <w:rPr>
          <w:rFonts w:hint="eastAsia" w:ascii="仿宋" w:hAnsi="仿宋" w:eastAsia="仿宋" w:cs="仿宋"/>
          <w:sz w:val="28"/>
          <w:szCs w:val="28"/>
          <w:lang w:val="en-US" w:eastAsia="zh-CN" w:bidi="ar"/>
        </w:rPr>
        <w:t xml:space="preserve">{{3.gflyxs_top3}}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，后三名分别是</w:t>
      </w:r>
      <w:r>
        <w:rPr>
          <w:rFonts w:hint="eastAsia" w:ascii="仿宋" w:hAnsi="仿宋" w:eastAsia="仿宋" w:cs="仿宋"/>
          <w:sz w:val="28"/>
          <w:szCs w:val="28"/>
          <w:lang w:val="en-US" w:eastAsia="zh-CN" w:bidi="ar"/>
        </w:rPr>
        <w:t xml:space="preserve">{{3.gflyxs_later3}}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。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pBdr/>
        <w:spacing w:line="560" w:lineRule="exact"/>
        <w:ind w:firstLine="560"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存在问题：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numPr>
          <w:ilvl w:val="0"/>
          <w:numId w:val="2"/>
        </w:numPr>
        <w:pBdr/>
        <w:spacing w:line="560" w:lineRule="exact"/>
        <w:ind w:firstLine="560"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本月投资公司风电利用小时189小时，黑龙江、广东公司风电利用小时本月较低，低于110小时。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numPr>
          <w:ilvl w:val="0"/>
          <w:numId w:val="2"/>
        </w:numPr>
        <w:pBdr/>
        <w:spacing w:line="560" w:lineRule="exact"/>
        <w:ind w:firstLine="560"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本月投资公司光伏利用小时97小时，山东、海南、京都公司光伏利用小时本月较低，低于80小时。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pBdr/>
        <w:spacing w:line="560" w:lineRule="exact"/>
        <w:ind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pBdr/>
        <w:spacing w:line="560" w:lineRule="exact"/>
        <w:ind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pBdr/>
        <w:spacing w:line="560" w:lineRule="exact"/>
        <w:ind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pBdr/>
        <w:spacing w:line="560" w:lineRule="exact"/>
        <w:ind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pBdr/>
        <w:tabs>
          <w:tab w:val="left" w:leader="none" w:pos="1310"/>
        </w:tabs>
        <w:spacing w:line="560" w:lineRule="exact"/>
        <w:ind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tab/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pBdr/>
        <w:spacing w:line="560" w:lineRule="exact"/>
        <w:ind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pBdr/>
        <w:spacing w:line="560" w:lineRule="exact"/>
        <w:ind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drawing>
          <wp:inline distT="0" distB="0" distL="0" distR="0">
            <wp:extent cx="5472000" cy="3203999"/>
            <wp:effectExtent l="0" t="0" r="0" b="0"/>
            <wp:docPr id="4" nam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pBdr/>
        <w:spacing w:line="560" w:lineRule="exact"/>
        <w:ind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pBdr/>
        <w:spacing w:line="560" w:lineRule="exact"/>
        <w:ind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pBdr/>
        <w:spacing w:line="560" w:lineRule="exact"/>
        <w:ind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pBdr/>
        <w:spacing w:line="560" w:lineRule="exact"/>
        <w:ind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pBdr/>
        <w:spacing w:line="560" w:lineRule="exact"/>
        <w:ind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pBdr/>
        <w:spacing w:line="560" w:lineRule="exact"/>
        <w:ind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highlight w:val="none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highlight w:val="none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highlight w:val="none"/>
          <w:lang w:eastAsia="zh-CN" w:bidi="ar"/>
        </w:rPr>
      </w:r>
    </w:p>
    <w:p>
      <w:pPr>
        <w:numPr>
          <w:ilvl w:val="0"/>
          <w:numId w:val="2"/>
        </w:numPr>
        <w:pBdr/>
        <w:spacing w:line="560" w:lineRule="exact"/>
        <w:ind w:firstLine="560"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黑龙江公司风电利用小时环比降幅53%，同比降幅43%。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numPr>
          <w:ilvl w:val="0"/>
          <w:numId w:val="2"/>
        </w:numPr>
        <w:pBdr/>
        <w:spacing w:line="560" w:lineRule="exact"/>
        <w:ind w:firstLine="560"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吉林公司风电利用小时环比降幅29%，同比降幅38%。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numPr>
          <w:ilvl w:val="0"/>
          <w:numId w:val="2"/>
        </w:numPr>
        <w:pBdr/>
        <w:spacing w:line="560" w:lineRule="exact"/>
        <w:ind w:firstLine="560"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蒙西公司光伏利用小时环比降幅16%，同比降幅25%。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numPr>
          <w:ilvl w:val="0"/>
          <w:numId w:val="2"/>
        </w:numPr>
        <w:pBdr/>
        <w:spacing w:line="560" w:lineRule="exact"/>
        <w:ind w:firstLine="560"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江苏公司在月平均风速同比增长0.18m/s的情况下，利用小时同比降低8小时。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numPr>
          <w:ilvl w:val="0"/>
          <w:numId w:val="0"/>
        </w:numPr>
        <w:pBdr/>
        <w:spacing w:line="560" w:lineRule="exact"/>
        <w:ind w:firstLine="582"/>
        <w:outlineLvl w:val="0"/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pPr>
      <w:r/>
      <w:bookmarkStart w:id="57" w:name="_Toc9211"/>
      <w:r/>
      <w:bookmarkStart w:id="58" w:name="_Toc18736"/>
      <w:r/>
      <w:bookmarkStart w:id="59" w:name="_Toc30875"/>
      <w:r/>
      <w:bookmarkStart w:id="60" w:name="_Toc18446"/>
      <w:r/>
      <w:bookmarkStart w:id="61" w:name="_Toc17222"/>
      <w:r/>
      <w:bookmarkStart w:id="62" w:name="_Toc9486"/>
      <w:r/>
      <w:bookmarkStart w:id="63" w:name="_Toc3484"/>
      <w:r/>
      <w:bookmarkStart w:id="64" w:name="_Toc660"/>
      <w:r/>
      <w:bookmarkStart w:id="65" w:name="_Toc6578"/>
      <w:r/>
      <w:bookmarkStart w:id="66" w:name="_Toc19515"/>
      <w:r/>
      <w:bookmarkStart w:id="67" w:name="_Toc9714"/>
      <w:r/>
      <w:bookmarkStart w:id="68" w:name="_Toc26685"/>
      <w:r/>
      <w:bookmarkStart w:id="69" w:name="_Toc4656"/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  <w:t xml:space="preserve">四、限电情况</w:t>
      </w:r>
      <w:bookmarkEnd w:id="57"/>
      <w:r/>
      <w:bookmarkEnd w:id="58"/>
      <w:r/>
      <w:bookmarkEnd w:id="59"/>
      <w:r/>
      <w:bookmarkEnd w:id="60"/>
      <w:r/>
      <w:bookmarkEnd w:id="61"/>
      <w:r/>
      <w:bookmarkEnd w:id="62"/>
      <w:r/>
      <w:bookmarkEnd w:id="63"/>
      <w:r/>
      <w:bookmarkEnd w:id="64"/>
      <w:r/>
      <w:bookmarkEnd w:id="65"/>
      <w:r/>
      <w:bookmarkEnd w:id="66"/>
      <w:r/>
      <w:bookmarkEnd w:id="67"/>
      <w:r/>
      <w:bookmarkEnd w:id="68"/>
      <w:r/>
      <w:bookmarkEnd w:id="69"/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</w:p>
    <w:p>
      <w:pPr>
        <w:pBdr/>
        <w:spacing w:line="560" w:lineRule="exact"/>
        <w:ind w:firstLine="560"/>
        <w:rPr>
          <w:rFonts w:hint="eastAsia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1月，投资公司限电率8.20%，同比增加5.71个百分点，增幅229.32%，</w:t>
      </w:r>
      <w:r>
        <w:rPr>
          <w:rFonts w:hint="eastAsia" w:ascii="仿宋" w:hAnsi="仿宋" w:eastAsia="仿宋" w:cs="仿宋"/>
          <w:spacing w:val="-1"/>
          <w:sz w:val="28"/>
          <w:szCs w:val="28"/>
          <w:lang w:eastAsia="zh-CN"/>
        </w:rPr>
        <w:t xml:space="preserve">限电</w:t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  <w:t xml:space="preserve">损失3.18亿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千瓦时</w:t>
      </w:r>
      <w:r>
        <w:rPr>
          <w:rFonts w:hint="eastAsia" w:ascii="仿宋" w:hAnsi="仿宋" w:eastAsia="仿宋" w:cs="仿宋"/>
          <w:spacing w:val="3"/>
          <w:sz w:val="28"/>
          <w:szCs w:val="28"/>
          <w:lang w:eastAsia="zh-CN"/>
        </w:rPr>
        <w:t xml:space="preserve">，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同比增加2.32亿千瓦时。风电限电率8.19%，光伏限电</w:t>
      </w:r>
      <w:sdt>
        <w:sdtPr>
          <w:alias w:val="年月"/>
          <w15:appearance w15:val="boundingBox"/>
          <w:placeholder>
            <w:docPart w:val="DefaultPlaceholder_LIST"/>
          </w:placeholder>
          <w:tag w:val="{&quot;trackId&quot;:&quot;param1758374570524&quot;,&quot;param&quot;:&quot;dateStart:YYYY年MM月&quot;}"/>
          <w:comboBox/>
          <w:rPr>
            <w:rFonts w:hint="eastAsia" w:ascii="仿宋" w:hAnsi="仿宋" w:eastAsia="仿宋" w:cs="仿宋"/>
            <w:sz w:val="28"/>
            <w:szCs w:val="28"/>
            <w:lang w:eastAsia="zh-CN" w:bidi="ar"/>
          </w:rPr>
        </w:sdtPr>
        <w:sdtContent>
          <w:r>
            <w:rPr>
              <w:b/>
              <w:color w:val="0064c8"/>
            </w:rPr>
            <w:t xml:space="preserve">年月</w:t>
          </w:r>
        </w:sdtContent>
      </w:sdt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率8.3%。</w:t>
      </w:r>
      <w:r>
        <w:rPr>
          <w:rFonts w:ascii="仿宋" w:hAnsi="仿宋" w:eastAsia="仿宋" w:cs="仿宋"/>
          <w:sz w:val="28"/>
          <w:szCs w:val="28"/>
          <w:lang w:eastAsia="zh-CN" w:bidi="ar"/>
        </w:rPr>
        <w:tab/>
      </w:r>
      <w:r>
        <w:rPr>
          <w:rFonts w:hint="eastAsia"/>
          <w:lang w:eastAsia="zh-CN"/>
        </w:rPr>
      </w:r>
      <w:r>
        <w:rPr>
          <w:rFonts w:hint="eastAsia"/>
          <w:lang w:eastAsia="zh-CN"/>
        </w:rPr>
      </w:r>
    </w:p>
    <w:p>
      <w:pPr>
        <w:pStyle w:val="1022"/>
        <w:pBdr/>
        <w:spacing w:line="560" w:lineRule="exact"/>
        <w:ind w:firstLine="560" w:left="0"/>
        <w:jc w:val="center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sz w:val="28"/>
          <w:szCs w:val="28"/>
        </w:rPr>
        <w:drawing>
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<wp:simplePos x="0" y="0"/>
            <wp:positionH relativeFrom="column">
              <wp:posOffset>93980</wp:posOffset>
            </wp:positionH>
            <wp:positionV relativeFrom="paragraph">
              <wp:posOffset>55880</wp:posOffset>
            </wp:positionV>
            <wp:extent cx="5770880" cy="2919730"/>
            <wp:effectExtent l="4445" t="4445" r="15875" b="17145"/>
            <wp:wrapTopAndBottom/>
            <wp:docPr id="5" name="图表 1" descr="{{4.xdqk}}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anchor>
        </w:drawing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图2 子分公司1月限电情况统计图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pStyle w:val="1022"/>
        <w:pBdr/>
        <w:spacing w:line="560" w:lineRule="exact"/>
        <w:ind w:firstLine="560" w:left="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子分公司限电率较高的三家为：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{{5.xdl_top3}}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，损失电量较高的前三名为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{{5.ssdl_top3}}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pStyle w:val="1022"/>
        <w:pBdr/>
        <w:spacing w:line="560" w:lineRule="exact"/>
        <w:ind w:firstLine="560" w:left="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场站限电率较高的为：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{{5.czxdl_top}}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pStyle w:val="1022"/>
        <w:pBdr/>
        <w:spacing w:line="560" w:lineRule="exact"/>
        <w:ind w:firstLine="560" w:left="0"/>
        <w:rPr>
          <w:rFonts w:hint="eastAsia" w:ascii="仿宋" w:hAnsi="仿宋" w:eastAsia="仿宋" w:cs="仿宋"/>
          <w:sz w:val="28"/>
          <w:szCs w:val="28"/>
          <w:highlight w:val="yellow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存在问题：</w:t>
      </w:r>
      <w:r>
        <w:rPr>
          <w:rFonts w:hint="eastAsia" w:ascii="仿宋" w:hAnsi="仿宋" w:eastAsia="仿宋" w:cs="仿宋"/>
          <w:sz w:val="28"/>
          <w:szCs w:val="28"/>
          <w:highlight w:val="yellow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highlight w:val="yellow"/>
          <w:lang w:eastAsia="zh-CN"/>
        </w:rPr>
      </w:r>
    </w:p>
    <w:p>
      <w:pPr>
        <w:numPr>
          <w:ilvl w:val="0"/>
          <w:numId w:val="3"/>
        </w:numPr>
        <w:pBdr/>
        <w:spacing w:line="560" w:lineRule="exact"/>
        <w:ind w:firstLine="560"/>
        <w:jc w:val="both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甘肃公司限电率持续高位，本月限电率20.86%，投资公司最高。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numPr>
          <w:ilvl w:val="0"/>
          <w:numId w:val="3"/>
        </w:numPr>
        <w:pBdr/>
        <w:spacing w:line="560" w:lineRule="exact"/>
        <w:ind w:firstLine="560"/>
        <w:jc w:val="both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黑龙江公司本月限电率同比增长15.62个百分点，天津分公司本月限电率同比增长13.51个百分点。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numPr>
          <w:ilvl w:val="0"/>
          <w:numId w:val="3"/>
        </w:numPr>
        <w:pBdr/>
        <w:spacing w:line="560" w:lineRule="exact"/>
        <w:ind w:firstLine="560"/>
        <w:jc w:val="both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海南公司本月限电率环比增长9个百分点。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numPr>
          <w:ilvl w:val="0"/>
          <w:numId w:val="3"/>
        </w:numPr>
        <w:pBdr/>
        <w:spacing w:line="560" w:lineRule="exact"/>
        <w:ind w:firstLine="560"/>
        <w:jc w:val="both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河北摩天岭风电场、蒙东杭盖风电场、河北冰峰风电场、黑龙江富裕风电场、蒙西金威风储电站限电率同比增长超过15个百分点。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pBdr/>
        <w:spacing w:line="560" w:lineRule="exact"/>
        <w:ind w:firstLine="582"/>
        <w:outlineLvl w:val="0"/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pPr>
      <w:r/>
      <w:bookmarkStart w:id="70" w:name="_Toc26997"/>
      <w:r/>
      <w:bookmarkStart w:id="71" w:name="_Toc25693"/>
      <w:r/>
      <w:bookmarkStart w:id="72" w:name="_Toc30623"/>
      <w:r/>
      <w:bookmarkStart w:id="73" w:name="_Toc26459"/>
      <w:r/>
      <w:bookmarkStart w:id="74" w:name="_Toc26733"/>
      <w:r/>
      <w:bookmarkStart w:id="75" w:name="_Toc16003"/>
      <w:r/>
      <w:bookmarkStart w:id="76" w:name="_Toc15618"/>
      <w:r/>
      <w:bookmarkStart w:id="77" w:name="_Toc6467"/>
      <w:r/>
      <w:bookmarkStart w:id="78" w:name="_Toc11889"/>
      <w:r/>
      <w:bookmarkStart w:id="79" w:name="_Toc31062"/>
      <w:r/>
      <w:bookmarkStart w:id="80" w:name="_Toc27851"/>
      <w:r/>
      <w:bookmarkStart w:id="81" w:name="_Toc8189"/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  <w:t xml:space="preserve">五、设备管理情况</w:t>
      </w:r>
      <w:bookmarkEnd w:id="70"/>
      <w:r/>
      <w:bookmarkEnd w:id="71"/>
      <w:r/>
      <w:bookmarkEnd w:id="72"/>
      <w:r/>
      <w:bookmarkEnd w:id="73"/>
      <w:r/>
      <w:bookmarkEnd w:id="74"/>
      <w:r/>
      <w:bookmarkEnd w:id="75"/>
      <w:r/>
      <w:bookmarkEnd w:id="76"/>
      <w:r/>
      <w:bookmarkEnd w:id="77"/>
      <w:r/>
      <w:bookmarkEnd w:id="78"/>
      <w:r/>
      <w:bookmarkEnd w:id="79"/>
      <w:r/>
      <w:bookmarkEnd w:id="80"/>
      <w:r/>
      <w:bookmarkEnd w:id="81"/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</w:p>
    <w:p>
      <w:pPr>
        <w:pBdr/>
        <w:spacing w:line="560" w:lineRule="exact"/>
        <w:ind w:firstLine="582"/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  <w:t xml:space="preserve">5.1故障损失</w:t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</w:p>
    <w:p>
      <w:pPr>
        <w:pStyle w:val="1022"/>
        <w:pBdr/>
        <w:spacing w:line="560" w:lineRule="exact"/>
        <w:ind w:firstLine="572" w:left="0"/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  <w:t xml:space="preserve">5.1.1风机故障</w:t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</w:p>
    <w:p>
      <w:pPr>
        <w:pBdr/>
        <w:spacing w:line="560" w:lineRule="exact"/>
        <w:ind w:firstLine="592"/>
        <w:jc w:val="both"/>
        <w:rPr>
          <w:rFonts w:hint="eastAsia"/>
          <w:lang w:eastAsia="zh-CN"/>
        </w:rPr>
      </w:pP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  <w:t xml:space="preserve">1月，投资公司风机台均故障次数为0.67台</w:t>
      </w:r>
      <w:r>
        <w:rPr>
          <w:rFonts w:hint="eastAsia" w:ascii="仿宋" w:hAnsi="仿宋" w:eastAsia="仿宋" w:cs="仿宋"/>
          <w:spacing w:val="6"/>
          <w:sz w:val="28"/>
          <w:szCs w:val="28"/>
          <w:lang w:eastAsia="zh-CN"/>
        </w:rPr>
        <w:t xml:space="preserve">次，环比增加0.06台次，台均故障时长4.53小时，环比降低0.12小时，损失电量1847.35万千瓦时</w:t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  <w:t xml:space="preserve">。</w:t>
      </w:r>
      <w:r>
        <w:rPr>
          <w:rFonts w:hint="eastAsia"/>
          <w:lang w:eastAsia="zh-CN"/>
        </w:rPr>
      </w:r>
      <w:r>
        <w:rPr>
          <w:rFonts w:hint="eastAsia"/>
          <w:lang w:eastAsia="zh-CN"/>
        </w:rPr>
      </w:r>
    </w:p>
    <w:p>
      <w:pPr>
        <w:pStyle w:val="1022"/>
        <w:pBdr/>
        <w:spacing w:line="560" w:lineRule="exact"/>
        <w:ind w:firstLine="0" w:left="0"/>
        <w:jc w:val="center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sz w:val="28"/>
          <w:szCs w:val="28"/>
        </w:rPr>
        <w:drawing>
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<wp:simplePos x="0" y="0"/>
            <wp:positionH relativeFrom="column">
              <wp:posOffset>-5080</wp:posOffset>
            </wp:positionH>
            <wp:positionV relativeFrom="paragraph">
              <wp:posOffset>59055</wp:posOffset>
            </wp:positionV>
            <wp:extent cx="5664835" cy="2855595"/>
            <wp:effectExtent l="4445" t="4445" r="15240" b="5080"/>
            <wp:wrapTopAndBottom/>
            <wp:docPr id="6" name="图表 2" descr="{{6.gzqk}}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anchor>
        </w:drawing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图3 子分公司1月故障情况统计图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pStyle w:val="1022"/>
        <w:pBdr/>
        <w:spacing w:line="560" w:lineRule="exact"/>
        <w:ind w:firstLine="560" w:left="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子分公司台均故障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 xml:space="preserve">次数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较高的三家为：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{{7.gzcs_top3}}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，台均故障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 xml:space="preserve">时长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较高的三家为：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{{7.tjgzsc_top3}}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pStyle w:val="1022"/>
        <w:pBdr/>
        <w:spacing w:line="560" w:lineRule="exact"/>
        <w:ind w:firstLine="560" w:left="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场站台均故障次数较高的为：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{{7.cztjgzcs_top}}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。山西杨帆风电场主要受并网风机台数少影响。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pStyle w:val="1022"/>
        <w:pBdr/>
        <w:spacing w:line="560" w:lineRule="exact"/>
        <w:ind w:firstLine="560" w:left="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投资公司发生次数较高的故障为：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tbl>
      <w:tblPr>
        <w:tblStyle w:val="1012"/>
        <w:tblInd w:w="0" w:type="dxa"/>
        <w:tblW w:w="5000" w:type="pct"/>
        <w:tblCellMar>
          <w:left w:w="108" w:type="dxa"/>
          <w:top w:w="0" w:type="dxa"/>
          <w:right w:w="108" w:type="dxa"/>
          <w:bottom w:w="0" w:type="dxa"/>
        </w:tblCellMar>
        <w:tblBorders/>
        <w:tblLayout w:type="autofit"/>
        <w:tblLook w:val="04A0" w:firstRow="1" w:lastRow="0" w:firstColumn="1" w:lastColumn="0" w:noHBand="0" w:noVBand="1"/>
      </w:tblPr>
      <w:tblGrid>
        <w:gridCol w:w="2150"/>
        <w:gridCol w:w="3833"/>
        <w:gridCol w:w="1239"/>
        <w:gridCol w:w="1896"/>
      </w:tblGrid>
      <w:tr>
        <w:trPr>
          <w:trHeight w:val="567"/>
        </w:trPr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7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 w:bidi="ar"/>
              </w:rPr>
              <w:t xml:space="preserve">{{8.csjggz}}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 w:bidi="ar"/>
              </w:rPr>
              <w:t xml:space="preserve">序号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86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 w:bidi="ar"/>
              </w:rPr>
              <w:t xml:space="preserve">故障描述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4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 w:bidi="ar"/>
              </w:rPr>
              <w:t xml:space="preserve">计数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1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 w:bidi="ar"/>
              </w:rPr>
              <w:t xml:space="preserve">所属厂商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7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[row]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86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 w:bidi="ar"/>
              </w:rPr>
              <w:t xml:space="preserve">[describe]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4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 w:bidi="ar"/>
              </w:rPr>
              <w:t xml:space="preserve">[num]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1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[manufacturer]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r>
          </w:p>
        </w:tc>
      </w:tr>
    </w:tbl>
    <w:p>
      <w:pPr>
        <w:pStyle w:val="1022"/>
        <w:pBdr/>
        <w:spacing w:line="560" w:lineRule="exact"/>
        <w:ind w:firstLine="560" w:left="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投资公司故障率较高的机型是：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{{9.gzljgjx}}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pStyle w:val="1022"/>
        <w:pBdr/>
        <w:spacing w:line="560" w:lineRule="exact"/>
        <w:ind w:firstLine="560" w:left="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故障频发的机组有：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{{10.gzpfjz_top3}}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tbl>
      <w:tblPr>
        <w:tblStyle w:val="1012"/>
        <w:tblInd w:w="-118" w:type="dxa"/>
        <w:tblW w:w="5063" w:type="pct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75"/>
        <w:gridCol w:w="1569"/>
        <w:gridCol w:w="1475"/>
        <w:gridCol w:w="1008"/>
        <w:gridCol w:w="1595"/>
        <w:gridCol w:w="2811"/>
      </w:tblGrid>
      <w:tr>
        <w:trPr>
          <w:trHeight w:val="288"/>
        </w:trPr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9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 w:bidi="ar"/>
              </w:rPr>
              <w:t xml:space="preserve">{{11.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gzpfjz}}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 w:bidi="ar"/>
              </w:rPr>
              <w:t xml:space="preserve">序号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9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 w:bidi="ar"/>
              </w:rPr>
              <w:t xml:space="preserve">场站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8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 w:bidi="ar"/>
              </w:rPr>
              <w:t xml:space="preserve">风机编号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5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 w:bidi="ar"/>
              </w:rPr>
              <w:t xml:space="preserve">故障次数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3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 w:bidi="ar"/>
              </w:rPr>
              <w:t xml:space="preserve">故障时长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 w:bidi="ar"/>
              </w:rPr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 w:bidi="ar"/>
              </w:rPr>
            </w:r>
          </w:p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 w:bidi="ar"/>
              </w:rPr>
              <w:t xml:space="preserve">（小时）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22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 w:bidi="ar"/>
              </w:rPr>
              <w:t xml:space="preserve">主要故障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9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 w:bidi="ar"/>
              </w:rPr>
              <w:t xml:space="preserve">[row]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/>
              </w:rPr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9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 w:bidi="ar"/>
              </w:rPr>
              <w:t xml:space="preserve">[site]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8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 w:bidi="ar"/>
              </w:rPr>
              <w:t xml:space="preserve">[name]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5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 w:bidi="ar"/>
              </w:rPr>
              <w:t xml:space="preserve">[num]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3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 w:bidi="ar"/>
              </w:rPr>
              <w:t xml:space="preserve">[hours]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22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[zygz]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r>
          </w:p>
        </w:tc>
      </w:tr>
    </w:tbl>
    <w:p>
      <w:pPr>
        <w:pStyle w:val="1022"/>
        <w:pBdr/>
        <w:spacing w:line="560" w:lineRule="exact"/>
        <w:ind w:firstLine="0" w:left="0"/>
        <w:jc w:val="center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表2 高频故障机组统计表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pStyle w:val="1022"/>
        <w:pBdr/>
        <w:spacing w:line="560" w:lineRule="exact"/>
        <w:ind w:firstLine="560" w:left="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存在问题：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pStyle w:val="1022"/>
        <w:numPr>
          <w:ilvl w:val="0"/>
          <w:numId w:val="4"/>
        </w:numPr>
        <w:pBdr/>
        <w:spacing w:line="560" w:lineRule="exact"/>
        <w:ind w:firstLine="564"/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  <w:t xml:space="preserve">本月公司单次故障停机时间最长的为：山东成山甲风电场荣成一期A07号风机，停机309小时</w:t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  <w:t xml:space="preserve">。</w:t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r>
    </w:p>
    <w:p>
      <w:pPr>
        <w:pStyle w:val="1022"/>
        <w:numPr>
          <w:ilvl w:val="0"/>
          <w:numId w:val="4"/>
        </w:numPr>
        <w:pBdr/>
        <w:spacing w:line="560" w:lineRule="exact"/>
        <w:ind w:firstLine="576"/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  <w:t xml:space="preserve">黑龙江公司台均故障次数3.63台次，同比增幅22.94%，环比增幅7.49%，台均故障时长5.02小时。</w:t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r>
    </w:p>
    <w:p>
      <w:pPr>
        <w:pStyle w:val="1022"/>
        <w:numPr>
          <w:ilvl w:val="0"/>
          <w:numId w:val="4"/>
        </w:numPr>
        <w:pBdr/>
        <w:spacing w:line="560" w:lineRule="exact"/>
        <w:ind w:firstLine="576"/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  <w:t xml:space="preserve">本月故障次数超过10次的风机共计42台，其中蒙东公司17台（40.48%），山东公司13台（30.95%）。</w:t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r>
    </w:p>
    <w:p>
      <w:pPr>
        <w:pStyle w:val="1022"/>
        <w:numPr>
          <w:ilvl w:val="0"/>
          <w:numId w:val="4"/>
        </w:numPr>
        <w:pBdr/>
        <w:spacing w:line="560" w:lineRule="exact"/>
        <w:ind w:firstLine="576"/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  <w:t xml:space="preserve">本月故障损失前20名的风机，合计损失电量205.94万千瓦时，占本月总损失电量的11.15%，其中河北公司占9台。</w:t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r>
    </w:p>
    <w:p>
      <w:pPr>
        <w:pStyle w:val="1022"/>
        <w:numPr>
          <w:ilvl w:val="0"/>
          <w:numId w:val="4"/>
        </w:numPr>
        <w:pBdr/>
        <w:spacing w:line="560" w:lineRule="exact"/>
        <w:ind w:firstLine="576"/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  <w:t xml:space="preserve">山东新户风电场A18号风机本月发生“高速泵过流保护器动作”故障7次，A20号风机发生“高速泵过流保护器动作”故障6次，注意重复故障处理。</w:t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r>
    </w:p>
    <w:p>
      <w:pPr>
        <w:pStyle w:val="1022"/>
        <w:pBdr/>
        <w:spacing w:line="560" w:lineRule="exact"/>
        <w:ind w:firstLine="572" w:left="0"/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  <w:t xml:space="preserve">5.1.2输变电故障</w:t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</w:p>
    <w:p>
      <w:pPr>
        <w:pBdr/>
        <w:spacing w:line="560" w:lineRule="exact"/>
        <w:ind w:firstLine="516"/>
        <w:rPr>
          <w:rFonts w:hint="eastAsia" w:ascii="仿宋" w:hAnsi="仿宋" w:eastAsia="仿宋" w:cs="仿宋"/>
          <w:spacing w:val="-2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pacing w:val="9"/>
          <w:sz w:val="24"/>
          <w:szCs w:val="24"/>
          <w:lang w:eastAsia="zh-CN"/>
        </w:rPr>
        <w:t xml:space="preserve">1月，投资公司输变电设备故障停运5次，无全站停电故障，损失电量52.05万</w:t>
      </w:r>
      <w:r>
        <w:rPr>
          <w:rFonts w:hint="eastAsia" w:ascii="仿宋" w:hAnsi="仿宋" w:eastAsia="仿宋" w:cs="仿宋"/>
          <w:spacing w:val="-2"/>
          <w:sz w:val="24"/>
          <w:szCs w:val="24"/>
          <w:lang w:eastAsia="zh-CN"/>
        </w:rPr>
        <w:t xml:space="preserve">千瓦时，主要发生在河北公司、蒙西公司、山西公司。</w:t>
      </w:r>
      <w:r>
        <w:rPr>
          <w:rFonts w:hint="eastAsia" w:ascii="仿宋" w:hAnsi="仿宋" w:eastAsia="仿宋" w:cs="仿宋"/>
          <w:spacing w:val="-2"/>
          <w:sz w:val="24"/>
          <w:szCs w:val="24"/>
          <w:lang w:eastAsia="zh-CN"/>
        </w:rPr>
      </w:r>
      <w:r>
        <w:rPr>
          <w:rFonts w:hint="eastAsia" w:ascii="仿宋" w:hAnsi="仿宋" w:eastAsia="仿宋" w:cs="仿宋"/>
          <w:spacing w:val="-2"/>
          <w:sz w:val="24"/>
          <w:szCs w:val="24"/>
          <w:lang w:eastAsia="zh-CN"/>
        </w:rPr>
      </w:r>
    </w:p>
    <w:p>
      <w:pPr>
        <w:pBdr/>
        <w:spacing w:line="560" w:lineRule="exact"/>
        <w:ind w:firstLine="472"/>
        <w:rPr>
          <w:rFonts w:hint="eastAsia" w:ascii="仿宋" w:hAnsi="仿宋" w:eastAsia="仿宋" w:cs="仿宋"/>
          <w:spacing w:val="-2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pacing w:val="-2"/>
          <w:sz w:val="24"/>
          <w:szCs w:val="24"/>
          <w:lang w:eastAsia="zh-CN"/>
        </w:rPr>
        <w:t xml:space="preserve">故障停运时长累计188.85小时，其中河北冰峰风电场无功补偿装置故障停运124.75小时。</w:t>
      </w:r>
      <w:r>
        <w:rPr>
          <w:rFonts w:hint="eastAsia" w:ascii="仿宋" w:hAnsi="仿宋" w:eastAsia="仿宋" w:cs="仿宋"/>
          <w:spacing w:val="-2"/>
          <w:sz w:val="24"/>
          <w:szCs w:val="24"/>
          <w:lang w:eastAsia="zh-CN"/>
        </w:rPr>
      </w:r>
      <w:r>
        <w:rPr>
          <w:rFonts w:hint="eastAsia" w:ascii="仿宋" w:hAnsi="仿宋" w:eastAsia="仿宋" w:cs="仿宋"/>
          <w:spacing w:val="-2"/>
          <w:sz w:val="24"/>
          <w:szCs w:val="24"/>
          <w:lang w:eastAsia="zh-CN"/>
        </w:rPr>
      </w:r>
    </w:p>
    <w:p>
      <w:pPr>
        <w:pBdr/>
        <w:spacing w:line="560" w:lineRule="exact"/>
        <w:ind w:firstLine="564"/>
        <w:rPr>
          <w:rFonts w:hint="eastAsia" w:ascii="仿宋" w:hAnsi="仿宋" w:eastAsia="仿宋" w:cs="仿宋"/>
          <w:spacing w:val="1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1"/>
          <w:sz w:val="28"/>
          <w:szCs w:val="28"/>
          <w:lang w:eastAsia="zh-CN"/>
        </w:rPr>
        <w:t xml:space="preserve">具体故障信息见附件8。</w:t>
      </w:r>
      <w:r>
        <w:rPr>
          <w:rFonts w:hint="eastAsia" w:ascii="仿宋" w:hAnsi="仿宋" w:eastAsia="仿宋" w:cs="仿宋"/>
          <w:spacing w:val="1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1"/>
          <w:sz w:val="28"/>
          <w:szCs w:val="28"/>
          <w:lang w:eastAsia="zh-CN"/>
        </w:rPr>
      </w:r>
    </w:p>
    <w:p>
      <w:pPr>
        <w:pBdr/>
        <w:spacing w:line="560" w:lineRule="exact"/>
        <w:ind w:firstLine="564"/>
        <w:rPr>
          <w:rFonts w:hint="eastAsia" w:ascii="仿宋" w:hAnsi="仿宋" w:eastAsia="仿宋" w:cs="仿宋"/>
          <w:spacing w:val="1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1"/>
          <w:sz w:val="28"/>
          <w:szCs w:val="28"/>
          <w:lang w:eastAsia="zh-CN"/>
        </w:rPr>
        <w:t xml:space="preserve">存在问题：</w:t>
      </w:r>
      <w:r>
        <w:rPr>
          <w:rFonts w:hint="eastAsia" w:ascii="仿宋" w:hAnsi="仿宋" w:eastAsia="仿宋" w:cs="仿宋"/>
          <w:spacing w:val="1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1"/>
          <w:sz w:val="28"/>
          <w:szCs w:val="28"/>
          <w:lang w:eastAsia="zh-CN"/>
        </w:rPr>
      </w:r>
    </w:p>
    <w:p>
      <w:pPr>
        <w:numPr>
          <w:ilvl w:val="0"/>
          <w:numId w:val="5"/>
        </w:numPr>
        <w:pBdr/>
        <w:spacing w:line="560" w:lineRule="exact"/>
        <w:ind w:firstLine="564"/>
        <w:rPr>
          <w:rFonts w:hint="eastAsia" w:ascii="仿宋" w:hAnsi="仿宋" w:eastAsia="仿宋" w:cs="仿宋"/>
          <w:spacing w:val="1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1"/>
          <w:sz w:val="28"/>
          <w:szCs w:val="28"/>
          <w:lang w:eastAsia="zh-CN"/>
        </w:rPr>
        <w:t xml:space="preserve">河北冰峰风电场发生2次无功补偿装置故障，其中一次故障时间113.8小时，故障处理时间长。</w:t>
      </w:r>
      <w:r>
        <w:rPr>
          <w:rFonts w:hint="eastAsia" w:ascii="仿宋" w:hAnsi="仿宋" w:eastAsia="仿宋" w:cs="仿宋"/>
          <w:spacing w:val="1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1"/>
          <w:sz w:val="28"/>
          <w:szCs w:val="28"/>
          <w:lang w:eastAsia="zh-CN"/>
        </w:rPr>
      </w:r>
    </w:p>
    <w:p>
      <w:pPr>
        <w:pStyle w:val="1022"/>
        <w:pBdr/>
        <w:spacing w:line="560" w:lineRule="exact"/>
        <w:ind w:firstLine="572" w:left="0"/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  <w:t xml:space="preserve">5.2性能损失</w:t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</w:p>
    <w:p>
      <w:pPr>
        <w:pBdr/>
        <w:spacing w:line="560" w:lineRule="exact"/>
        <w:ind w:firstLine="560"/>
        <w:rPr>
          <w:rFonts w:hint="eastAsia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1月，投资公司</w:t>
      </w:r>
      <w:bookmarkStart w:id="82" w:name="_Hlk195918416"/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功率曲线一致性</w:t>
      </w:r>
      <w:bookmarkEnd w:id="82"/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（WPI）为109.92%，其中WPI较高前三名为</w:t>
      </w:r>
      <w:r>
        <w:rPr>
          <w:rFonts w:hint="eastAsia" w:ascii="仿宋" w:hAnsi="仿宋" w:eastAsia="仿宋" w:cs="仿宋"/>
          <w:sz w:val="28"/>
          <w:szCs w:val="28"/>
          <w:lang w:val="en-US" w:eastAsia="zh-CN" w:bidi="ar"/>
        </w:rPr>
        <w:t xml:space="preserve">{{13.wpi_top3}}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，后三名为</w:t>
      </w:r>
      <w:r>
        <w:rPr>
          <w:rFonts w:hint="eastAsia" w:ascii="仿宋" w:hAnsi="仿宋" w:eastAsia="仿宋" w:cs="仿宋"/>
          <w:sz w:val="28"/>
          <w:szCs w:val="28"/>
          <w:lang w:val="en-US" w:eastAsia="zh-CN" w:bidi="ar"/>
        </w:rPr>
        <w:t xml:space="preserve">{{13.wpi_later3}}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。功率曲线一致性损失电量较高的公司为：</w:t>
      </w:r>
      <w:r>
        <w:rPr>
          <w:rFonts w:hint="eastAsia" w:ascii="仿宋" w:hAnsi="仿宋" w:eastAsia="仿宋" w:cs="仿宋"/>
          <w:sz w:val="28"/>
          <w:szCs w:val="28"/>
          <w:lang w:val="en-US" w:eastAsia="zh-CN" w:bidi="ar"/>
        </w:rPr>
        <w:t xml:space="preserve">{{13.wpissdl_top3}}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。</w:t>
      </w:r>
      <w:r>
        <w:rPr>
          <w:rFonts w:hint="eastAsia"/>
          <w:lang w:eastAsia="zh-CN"/>
        </w:rPr>
      </w:r>
      <w:r>
        <w:rPr>
          <w:rFonts w:hint="eastAsia"/>
          <w:lang w:eastAsia="zh-CN"/>
        </w:rPr>
      </w:r>
    </w:p>
    <w:p>
      <w:pPr>
        <w:pBdr/>
        <w:spacing w:line="560" w:lineRule="exact"/>
        <w:ind/>
        <w:jc w:val="center"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sz w:val="28"/>
          <w:szCs w:val="28"/>
        </w:rPr>
        <w:drawing>
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<wp:simplePos x="0" y="0"/>
            <wp:positionH relativeFrom="column">
              <wp:posOffset>-76835</wp:posOffset>
            </wp:positionH>
            <wp:positionV relativeFrom="paragraph">
              <wp:posOffset>52705</wp:posOffset>
            </wp:positionV>
            <wp:extent cx="5754370" cy="2976245"/>
            <wp:effectExtent l="4445" t="4445" r="17145" b="6350"/>
            <wp:wrapTopAndBottom/>
            <wp:docPr id="7" name="图表 1" descr="{{12.xlss}}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anchor>
        </w:drawing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图4 1月性能损失统计图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pBdr/>
        <w:spacing w:line="560" w:lineRule="exact"/>
        <w:ind w:firstLine="560"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功率曲线一致性（WPI）较高前三名为</w:t>
      </w:r>
      <w:r>
        <w:rPr>
          <w:rFonts w:hint="eastAsia" w:ascii="仿宋" w:hAnsi="仿宋" w:eastAsia="仿宋" w:cs="仿宋"/>
          <w:sz w:val="28"/>
          <w:szCs w:val="28"/>
          <w:lang w:val="en-US" w:eastAsia="zh-CN" w:bidi="ar"/>
        </w:rPr>
        <w:t xml:space="preserve">{{13.fdwpi_top3}}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，偏低前三名为</w:t>
      </w:r>
      <w:r>
        <w:rPr>
          <w:rFonts w:hint="eastAsia" w:ascii="仿宋" w:hAnsi="仿宋" w:eastAsia="仿宋" w:cs="仿宋"/>
          <w:sz w:val="28"/>
          <w:szCs w:val="28"/>
          <w:lang w:val="en-US" w:eastAsia="zh-CN" w:bidi="ar"/>
        </w:rPr>
        <w:t xml:space="preserve">{{13.fdwpi_later3}}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，WPI为100%的风电场为</w:t>
      </w:r>
      <w:r>
        <w:rPr>
          <w:rFonts w:hint="eastAsia" w:ascii="仿宋" w:hAnsi="仿宋" w:eastAsia="仿宋" w:cs="仿宋"/>
          <w:sz w:val="28"/>
          <w:szCs w:val="28"/>
          <w:lang w:val="en-US" w:eastAsia="zh-CN" w:bidi="ar"/>
        </w:rPr>
        <w:t xml:space="preserve">{{13.wpi100}}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。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pStyle w:val="1022"/>
        <w:pBdr/>
        <w:spacing w:line="560" w:lineRule="exact"/>
        <w:ind w:firstLine="560" w:left="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存在问题：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pStyle w:val="1022"/>
        <w:pBdr/>
        <w:spacing w:line="560" w:lineRule="exact"/>
        <w:ind w:firstLine="576" w:left="0"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  <w:t xml:space="preserve">1、河北公司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捷地减河风电场、冰峰风电场WPI偏低，损失电量最高，占投资公司性能损失的67.59%</w:t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  <w:t xml:space="preserve">。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pStyle w:val="1022"/>
        <w:pBdr/>
        <w:spacing w:line="560" w:lineRule="exact"/>
        <w:ind w:firstLine="560" w:left="0"/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pPr>
      <w:r>
        <w:rPr>
          <w:sz w:val="28"/>
          <w:szCs w:val="28"/>
        </w:rPr>
        <w:drawing>
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<wp:simplePos x="0" y="0"/>
            <wp:positionH relativeFrom="column">
              <wp:posOffset>-43180</wp:posOffset>
            </wp:positionH>
            <wp:positionV relativeFrom="paragraph">
              <wp:posOffset>1664335</wp:posOffset>
            </wp:positionV>
            <wp:extent cx="5645150" cy="2755265"/>
            <wp:effectExtent l="4445" t="4445" r="19685" b="13970"/>
            <wp:wrapTopAndBottom/>
            <wp:docPr id="8" name="图表 1" descr="{{14.fjjhjx}}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anchor>
        </w:drawing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  <w:t xml:space="preserve">5.4计划损失</w:t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</w:p>
    <w:p>
      <w:pPr>
        <w:pStyle w:val="1022"/>
        <w:pBdr/>
        <w:spacing w:line="560" w:lineRule="exact"/>
        <w:ind w:firstLine="572" w:left="0"/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  <w:t xml:space="preserve">5.4.1风机计划检修损失</w:t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</w:p>
    <w:p>
      <w:pPr>
        <w:pBdr/>
        <w:spacing w:line="560" w:lineRule="exact"/>
        <w:ind w:firstLine="592"/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  <w:t xml:space="preserve">1月，投资公司风机计划检修2台次，台均停机时长4.87小时，</w:t>
      </w: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  <w:t xml:space="preserve">损失电量</w:t>
      </w:r>
      <w:r>
        <w:rPr>
          <w:rFonts w:hint="eastAsia" w:ascii="仿宋" w:hAnsi="仿宋" w:eastAsia="仿宋" w:cs="仿宋"/>
          <w:spacing w:val="9"/>
          <w:sz w:val="28"/>
          <w:szCs w:val="28"/>
          <w:lang w:eastAsia="zh-CN"/>
        </w:rPr>
        <w:t xml:space="preserve">5996.07万千瓦时，停机时长6.47万小时</w:t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  <w:t xml:space="preserve">。</w:t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r>
    </w:p>
    <w:p>
      <w:pPr>
        <w:pStyle w:val="1013"/>
        <w:pBdr/>
        <w:spacing/>
        <w:ind/>
        <w:rPr>
          <w:rFonts w:hint="eastAsia"/>
          <w:lang w:eastAsia="zh-CN"/>
        </w:rPr>
      </w:pPr>
      <w:r>
        <w:rPr>
          <w:rFonts w:hint="eastAsia"/>
          <w:lang w:eastAsia="zh-CN"/>
        </w:rPr>
      </w:r>
      <w:r>
        <w:rPr>
          <w:rFonts w:hint="eastAsia"/>
          <w:lang w:eastAsia="zh-CN"/>
        </w:rPr>
      </w:r>
      <w:r>
        <w:rPr>
          <w:rFonts w:hint="eastAsia"/>
          <w:lang w:eastAsia="zh-CN"/>
        </w:rPr>
      </w:r>
    </w:p>
    <w:p>
      <w:pPr>
        <w:pBdr/>
        <w:spacing w:line="560" w:lineRule="exact"/>
        <w:ind/>
        <w:jc w:val="center"/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图5 1月风机计划检修统计图</w:t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r>
    </w:p>
    <w:p>
      <w:pPr>
        <w:pStyle w:val="1022"/>
        <w:pBdr/>
        <w:spacing w:line="560" w:lineRule="exact"/>
        <w:ind w:firstLine="556" w:left="0"/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  <w:t xml:space="preserve">计划停运开展较多的子分公司为</w:t>
      </w:r>
      <w:r>
        <w:rPr>
          <w:rFonts w:hint="eastAsia" w:ascii="仿宋" w:hAnsi="仿宋" w:eastAsia="仿宋" w:cs="仿宋"/>
          <w:spacing w:val="-2"/>
          <w:sz w:val="28"/>
          <w:szCs w:val="28"/>
          <w:lang w:val="en-US" w:eastAsia="zh-CN"/>
        </w:rPr>
        <w:t xml:space="preserve">{{15.jhty_top3}}</w:t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  <w:t xml:space="preserve">，损失电量较高的单位为</w:t>
      </w:r>
      <w:r>
        <w:rPr>
          <w:rFonts w:hint="eastAsia" w:ascii="仿宋" w:hAnsi="仿宋" w:eastAsia="仿宋" w:cs="仿宋"/>
          <w:spacing w:val="-2"/>
          <w:sz w:val="28"/>
          <w:szCs w:val="28"/>
          <w:lang w:val="en-US" w:eastAsia="zh-CN"/>
        </w:rPr>
        <w:t xml:space="preserve">{{15.ssdl_top3}}</w:t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  <w:t xml:space="preserve">。</w:t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</w:p>
    <w:p>
      <w:pPr>
        <w:pStyle w:val="1022"/>
        <w:pBdr/>
        <w:spacing w:line="560" w:lineRule="exact"/>
        <w:ind w:firstLine="556" w:left="0"/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  <w:t xml:space="preserve">计划停运开展较多的场站为：</w:t>
      </w:r>
      <w:r>
        <w:rPr>
          <w:rFonts w:hint="eastAsia" w:ascii="仿宋" w:hAnsi="仿宋" w:eastAsia="仿宋" w:cs="仿宋"/>
          <w:spacing w:val="-2"/>
          <w:sz w:val="28"/>
          <w:szCs w:val="28"/>
          <w:lang w:val="en-US" w:eastAsia="zh-CN"/>
        </w:rPr>
        <w:t xml:space="preserve">{{15.jhtycz_top3}}</w:t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  <w:t xml:space="preserve">；损失电量较多的场站为：</w:t>
      </w:r>
      <w:r>
        <w:rPr>
          <w:rFonts w:hint="eastAsia" w:ascii="仿宋" w:hAnsi="仿宋" w:eastAsia="仿宋" w:cs="仿宋"/>
          <w:spacing w:val="-2"/>
          <w:sz w:val="28"/>
          <w:szCs w:val="28"/>
          <w:lang w:val="en-US" w:eastAsia="zh-CN"/>
        </w:rPr>
        <w:t xml:space="preserve">{{15.ssdlcz_top3}}</w:t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  <w:t xml:space="preserve">。</w:t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</w:p>
    <w:p>
      <w:pPr>
        <w:pBdr/>
        <w:spacing w:line="560" w:lineRule="exact"/>
        <w:ind w:firstLine="592"/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  <w:t xml:space="preserve">存在问题：</w:t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r>
    </w:p>
    <w:p>
      <w:pPr>
        <w:numPr>
          <w:ilvl w:val="0"/>
          <w:numId w:val="6"/>
        </w:numPr>
        <w:pBdr/>
        <w:spacing w:line="560" w:lineRule="exact"/>
        <w:ind w:firstLine="592"/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  <w:t xml:space="preserve">河北恒泰风电场太平沟15号风机单次计划停机1157小时，辽宁辽中风电场35402风机单次计划停机824小时，停运时间长。</w:t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r>
    </w:p>
    <w:p>
      <w:pPr>
        <w:numPr>
          <w:ilvl w:val="0"/>
          <w:numId w:val="6"/>
        </w:numPr>
        <w:pBdr/>
        <w:spacing w:line="560" w:lineRule="exact"/>
        <w:ind w:firstLine="592"/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  <w:t xml:space="preserve">江苏公司本月计划停运3.81台次，环比增长1.58台次。</w:t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r>
    </w:p>
    <w:p>
      <w:pPr>
        <w:numPr>
          <w:ilvl w:val="0"/>
          <w:numId w:val="6"/>
        </w:numPr>
        <w:pBdr/>
        <w:spacing w:line="560" w:lineRule="exact"/>
        <w:ind w:firstLine="592"/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  <w:t xml:space="preserve">本月计划停机超过10次的风机共计153台，其中河北公司91台，蒙东公司42台。</w:t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8"/>
          <w:sz w:val="28"/>
          <w:szCs w:val="28"/>
          <w:lang w:eastAsia="zh-CN"/>
        </w:rPr>
      </w:r>
    </w:p>
    <w:p>
      <w:pPr>
        <w:pStyle w:val="1022"/>
        <w:pBdr/>
        <w:spacing w:line="560" w:lineRule="exact"/>
        <w:ind w:firstLine="572" w:left="0"/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  <w:t xml:space="preserve">5.4.2输变电计划检修损失</w:t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</w:p>
    <w:p>
      <w:pPr>
        <w:pStyle w:val="1022"/>
        <w:pBdr/>
        <w:spacing w:line="560" w:lineRule="exact"/>
        <w:ind w:firstLine="578" w:left="0"/>
        <w:rPr>
          <w:rFonts w:hint="eastAsia" w:ascii="仿宋" w:hAnsi="仿宋" w:eastAsia="仿宋" w:cs="仿宋"/>
          <w:spacing w:val="9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9"/>
          <w:sz w:val="28"/>
          <w:szCs w:val="28"/>
          <w:lang w:eastAsia="zh-CN"/>
        </w:rPr>
        <w:t xml:space="preserve">1月，投资公司输变电计划停运共计34次，其中自主开展29次，电网陪停5次，累计损失电量414.16小时。</w:t>
      </w:r>
      <w:r>
        <w:rPr>
          <w:rFonts w:hint="eastAsia" w:ascii="仿宋" w:hAnsi="仿宋" w:eastAsia="仿宋" w:cs="仿宋"/>
          <w:spacing w:val="9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9"/>
          <w:sz w:val="28"/>
          <w:szCs w:val="28"/>
          <w:lang w:eastAsia="zh-CN"/>
        </w:rPr>
      </w:r>
    </w:p>
    <w:p>
      <w:pPr>
        <w:pStyle w:val="1022"/>
        <w:pBdr/>
        <w:spacing w:line="560" w:lineRule="exact"/>
        <w:ind w:firstLine="556" w:left="0"/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  <w:t xml:space="preserve">计划停运开展较多的子分公司为</w:t>
      </w:r>
      <w:r>
        <w:rPr>
          <w:rFonts w:hint="eastAsia" w:ascii="仿宋" w:hAnsi="仿宋" w:eastAsia="仿宋" w:cs="仿宋"/>
          <w:spacing w:val="-2"/>
          <w:sz w:val="28"/>
          <w:szCs w:val="28"/>
          <w:lang w:val="en-US" w:eastAsia="zh-CN"/>
        </w:rPr>
        <w:t xml:space="preserve">{{jhtyzfgs_top3}}</w:t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  <w:t xml:space="preserve">，损失电量较高的单位为</w:t>
      </w:r>
      <w:r>
        <w:rPr>
          <w:rFonts w:hint="eastAsia" w:ascii="仿宋" w:hAnsi="仿宋" w:eastAsia="仿宋" w:cs="仿宋"/>
          <w:spacing w:val="-2"/>
          <w:sz w:val="28"/>
          <w:szCs w:val="28"/>
          <w:lang w:val="en-US" w:eastAsia="zh-CN"/>
        </w:rPr>
        <w:t xml:space="preserve">{{ssdldw_top3}}</w:t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  <w:t xml:space="preserve">。</w:t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</w:p>
    <w:p>
      <w:pPr>
        <w:pStyle w:val="1022"/>
        <w:pBdr/>
        <w:spacing w:line="560" w:lineRule="exact"/>
        <w:ind w:firstLine="556" w:left="0"/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  <w:t xml:space="preserve">停电时间较长的工作为：天津小王庄风电场#2SVG告警处理工作停电842.42小时，天津北大港风电场全站停电157.05小时。</w:t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</w:p>
    <w:p>
      <w:pPr>
        <w:pStyle w:val="1022"/>
        <w:pBdr/>
        <w:spacing w:line="560" w:lineRule="exact"/>
        <w:ind w:firstLine="556" w:left="0"/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  <w:t xml:space="preserve">具体停运信息见附件9。</w:t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</w:p>
    <w:p>
      <w:pPr>
        <w:pStyle w:val="1022"/>
        <w:pBdr/>
        <w:spacing w:line="560" w:lineRule="exact"/>
        <w:ind w:firstLine="556" w:left="0"/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  <w:t xml:space="preserve">存在问题：</w:t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</w:p>
    <w:p>
      <w:pPr>
        <w:pStyle w:val="1022"/>
        <w:pBdr/>
        <w:spacing w:line="560" w:lineRule="exact"/>
        <w:ind w:firstLine="564" w:left="0"/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2"/>
          <w:sz w:val="28"/>
          <w:szCs w:val="28"/>
          <w:lang w:eastAsia="zh-CN"/>
        </w:rPr>
        <w:t xml:space="preserve">1、天津北大港风电场计划管理不完善，全站停电未提报月度停电检修计划</w:t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  <w:t xml:space="preserve">。</w:t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</w:p>
    <w:p>
      <w:pPr>
        <w:numPr>
          <w:ilvl w:val="0"/>
          <w:numId w:val="0"/>
        </w:numPr>
        <w:pBdr/>
        <w:spacing w:line="360" w:lineRule="auto"/>
        <w:ind w:firstLine="582"/>
        <w:outlineLvl w:val="0"/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pPr>
      <w:r/>
      <w:bookmarkStart w:id="83" w:name="_Toc14451"/>
      <w:r/>
      <w:bookmarkStart w:id="84" w:name="_Toc30837"/>
      <w:r/>
      <w:bookmarkStart w:id="85" w:name="_Toc29525"/>
      <w:r/>
      <w:bookmarkStart w:id="86" w:name="_Toc9001"/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  <w:t xml:space="preserve">六、风机长停情况</w:t>
      </w:r>
      <w:bookmarkEnd w:id="83"/>
      <w:r/>
      <w:bookmarkEnd w:id="84"/>
      <w:r/>
      <w:bookmarkEnd w:id="85"/>
      <w:r/>
      <w:bookmarkEnd w:id="86"/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</w:p>
    <w:p>
      <w:pPr>
        <w:pStyle w:val="1013"/>
        <w:numPr>
          <w:ilvl w:val="0"/>
          <w:numId w:val="0"/>
        </w:numPr>
        <w:pBdr/>
        <w:spacing w:line="360" w:lineRule="auto"/>
        <w:ind w:firstLine="552"/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  <w:t xml:space="preserve">1月，投资公司风机长停共计12次，累计停机时长4808.33小时，损失电量556.03万千瓦时。</w:t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</w:p>
    <w:tbl>
      <w:tblPr>
        <w:tblStyle w:val="1012"/>
        <w:jc w:val="center"/>
        <w:tblW w:w="5365" w:type="pct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665"/>
        <w:gridCol w:w="1579"/>
        <w:gridCol w:w="1773"/>
        <w:gridCol w:w="1939"/>
        <w:gridCol w:w="1096"/>
        <w:gridCol w:w="1082"/>
        <w:gridCol w:w="1650"/>
      </w:tblGrid>
      <w:tr>
        <w:trPr>
          <w:jc w:val="center"/>
          <w:trHeight w:val="288"/>
        </w:trPr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9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 w:bidi="ar"/>
              </w:rPr>
              <w:t xml:space="preserve">{{16.fjctqk}}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 w:bidi="ar"/>
              </w:rPr>
              <w:t xml:space="preserve">序号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 w:bidi="ar"/>
              </w:rPr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 w:bidi="ar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6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 w:bidi="ar"/>
              </w:rPr>
              <w:t xml:space="preserve">子分公司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6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 w:bidi="ar"/>
              </w:rPr>
              <w:t xml:space="preserve">场站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0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 w:bidi="ar"/>
              </w:rPr>
              <w:t xml:space="preserve">风机名称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0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 w:bidi="ar"/>
              </w:rPr>
              <w:t xml:space="preserve">本月停运时长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2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 w:bidi="ar"/>
              </w:rPr>
              <w:t xml:space="preserve">损失电量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3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 w:bidi="ar"/>
              </w:rPr>
              <w:t xml:space="preserve">停机原因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r>
          </w:p>
        </w:tc>
      </w:tr>
      <w:tr>
        <w:trPr>
          <w:jc w:val="center"/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9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 w:bidi="ar"/>
              </w:rPr>
              <w:t xml:space="preserve">[row]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6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 w:bidi="ar"/>
              </w:rPr>
              <w:t xml:space="preserve">[company]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6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 w:bidi="ar"/>
              </w:rPr>
              <w:t xml:space="preserve">[site]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0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 w:bidi="ar"/>
              </w:rPr>
              <w:t xml:space="preserve">[name]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0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 w:bidi="ar"/>
              </w:rPr>
              <w:t xml:space="preserve">[hours]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2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 w:bidi="ar"/>
              </w:rPr>
              <w:t xml:space="preserve">[power]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3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 w:bidi="ar"/>
              </w:rPr>
              <w:t xml:space="preserve">[reason]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 w:bidi="ar"/>
              </w:rPr>
            </w:r>
          </w:p>
        </w:tc>
      </w:tr>
    </w:tbl>
    <w:p>
      <w:pPr>
        <w:pBdr/>
        <w:spacing/>
        <w:ind/>
        <w:jc w:val="center"/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  <w:t xml:space="preserve">表3 风机长停情况统计表</w:t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</w:p>
    <w:p>
      <w:pPr>
        <w:pBdr/>
        <w:spacing w:line="360" w:lineRule="auto"/>
        <w:ind w:firstLine="552"/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  <w:t xml:space="preserve">存在问题：</w:t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</w:p>
    <w:p>
      <w:pPr>
        <w:pStyle w:val="1013"/>
        <w:numPr>
          <w:ilvl w:val="0"/>
          <w:numId w:val="7"/>
        </w:numPr>
        <w:pBdr/>
        <w:spacing w:line="360" w:lineRule="auto"/>
        <w:ind w:firstLine="552"/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  <w:t xml:space="preserve">河北公司长停时长1194.22小时，损失电量 299.3万千瓦时，占比均最高。</w:t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</w:p>
    <w:p>
      <w:pPr>
        <w:pBdr/>
        <w:spacing w:line="560" w:lineRule="exact"/>
        <w:ind w:firstLine="582"/>
        <w:outlineLvl w:val="0"/>
        <w:rPr>
          <w:rFonts w:hint="eastAsia" w:ascii="仿宋" w:hAnsi="仿宋" w:eastAsia="仿宋" w:cs="仿宋"/>
          <w:sz w:val="28"/>
          <w:szCs w:val="28"/>
          <w:lang w:eastAsia="zh-CN"/>
        </w:rPr>
      </w:pPr>
      <w:r/>
      <w:bookmarkStart w:id="87" w:name="_Toc23129"/>
      <w:r/>
      <w:bookmarkStart w:id="88" w:name="_Toc17755"/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  <w:t xml:space="preserve">七、综合场用电率</w:t>
      </w:r>
      <w:bookmarkEnd w:id="87"/>
      <w:r/>
      <w:bookmarkEnd w:id="88"/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pBdr/>
        <w:spacing w:line="560" w:lineRule="exact"/>
        <w:ind w:firstLine="560"/>
        <w:rPr>
          <w:rFonts w:hint="eastAsia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1月，投资公司综合场用电率2.65%，同比降低0.24个百分点，降幅8.31%，场用电量9437.37万千瓦时。</w:t>
      </w:r>
      <w:r>
        <w:rPr>
          <w:rFonts w:hint="eastAsia"/>
          <w:lang w:eastAsia="zh-CN"/>
        </w:rPr>
      </w:r>
      <w:r>
        <w:rPr>
          <w:rFonts w:hint="eastAsia"/>
          <w:lang w:eastAsia="zh-CN"/>
        </w:rPr>
      </w:r>
    </w:p>
    <w:p>
      <w:pPr>
        <w:pBdr/>
        <w:spacing w:line="560" w:lineRule="exact"/>
        <w:ind w:firstLine="1120"/>
        <w:jc w:val="center"/>
        <w:rPr>
          <w:rFonts w:hint="eastAsia" w:ascii="仿宋" w:hAnsi="仿宋" w:eastAsia="仿宋" w:cs="仿宋"/>
          <w:sz w:val="28"/>
          <w:szCs w:val="28"/>
          <w:lang w:eastAsia="zh-CN" w:bidi="ar"/>
        </w:rPr>
      </w:pPr>
      <w:r>
        <w:rPr>
          <w:sz w:val="28"/>
          <w:szCs w:val="28"/>
        </w:rPr>
        <w:drawing>
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98425</wp:posOffset>
            </wp:positionV>
            <wp:extent cx="5751195" cy="3133090"/>
            <wp:effectExtent l="4445" t="4445" r="5080" b="17145"/>
            <wp:wrapTopAndBottom/>
            <wp:docPr id="9" name="图表 2" descr="{{17.zhcydl}}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anchor>
        </w:drawing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图6 子分公司1月综合场用统计图</w:t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  <w:r>
        <w:rPr>
          <w:rFonts w:hint="eastAsia" w:ascii="仿宋" w:hAnsi="仿宋" w:eastAsia="仿宋" w:cs="仿宋"/>
          <w:sz w:val="28"/>
          <w:szCs w:val="28"/>
          <w:lang w:eastAsia="zh-CN" w:bidi="ar"/>
        </w:rPr>
      </w:r>
    </w:p>
    <w:p>
      <w:pPr>
        <w:pBdr/>
        <w:spacing w:line="560" w:lineRule="exact"/>
        <w:ind w:firstLine="56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 w:bidi="ar"/>
        </w:rPr>
        <w:t xml:space="preserve">19家子分公司中，9家高于投资公司均值，10家低于投资公司均值，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子分公司综合场用电率较高的三家为：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{{18.zhcydlv_top3}}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，综合场用电量较高的三家为：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{{18.zhcydl_top3}}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pBdr/>
        <w:spacing w:line="560" w:lineRule="exact"/>
        <w:ind w:firstLine="56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场站综合场用电率较高的为：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{{18.czzhcldl_top}}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pStyle w:val="1015"/>
        <w:pBdr/>
        <w:spacing w:line="560" w:lineRule="exact"/>
        <w:ind w:firstLine="564"/>
        <w:rPr>
          <w:rFonts w:hint="eastAsia" w:ascii="仿宋" w:hAnsi="仿宋" w:eastAsia="仿宋" w:cs="仿宋"/>
          <w:spacing w:val="1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1"/>
          <w:sz w:val="28"/>
          <w:szCs w:val="28"/>
          <w:lang w:eastAsia="zh-CN"/>
        </w:rPr>
        <w:t xml:space="preserve">存在问题：</w:t>
      </w:r>
      <w:r>
        <w:rPr>
          <w:rFonts w:hint="eastAsia" w:ascii="仿宋" w:hAnsi="仿宋" w:eastAsia="仿宋" w:cs="仿宋"/>
          <w:spacing w:val="1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1"/>
          <w:sz w:val="28"/>
          <w:szCs w:val="28"/>
          <w:lang w:eastAsia="zh-CN"/>
        </w:rPr>
      </w:r>
    </w:p>
    <w:p>
      <w:pPr>
        <w:pStyle w:val="1015"/>
        <w:numPr>
          <w:ilvl w:val="0"/>
          <w:numId w:val="8"/>
        </w:numPr>
        <w:pBdr/>
        <w:spacing w:line="560" w:lineRule="exact"/>
        <w:ind w:firstLine="564"/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1"/>
          <w:sz w:val="28"/>
          <w:szCs w:val="28"/>
          <w:lang w:eastAsia="zh-CN"/>
        </w:rPr>
        <w:t xml:space="preserve">河北公司综合场用电率同比增长14.3%，环比增长3.38%，且已连续3月环比增长。</w:t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</w:p>
    <w:p>
      <w:pPr>
        <w:pStyle w:val="1015"/>
        <w:numPr>
          <w:ilvl w:val="0"/>
          <w:numId w:val="8"/>
        </w:numPr>
        <w:pBdr/>
        <w:spacing w:line="560" w:lineRule="exact"/>
        <w:ind w:firstLine="564"/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1"/>
          <w:sz w:val="28"/>
          <w:szCs w:val="28"/>
          <w:lang w:eastAsia="zh-CN"/>
        </w:rPr>
        <w:t xml:space="preserve">江苏公司综合场用电率环比增幅75.09%，综合场用电量环比增加414.52万千瓦时。</w:t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</w:p>
    <w:p>
      <w:pPr>
        <w:pStyle w:val="1015"/>
        <w:numPr>
          <w:ilvl w:val="0"/>
          <w:numId w:val="8"/>
        </w:numPr>
        <w:pBdr/>
        <w:spacing w:line="560" w:lineRule="exact"/>
        <w:ind w:firstLine="564"/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1"/>
          <w:sz w:val="28"/>
          <w:szCs w:val="28"/>
          <w:lang w:eastAsia="zh-CN"/>
        </w:rPr>
        <w:t xml:space="preserve">河北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冰峰风电场综合场用电量同比增长123.2%，且已连续5月环比增长</w:t>
      </w:r>
      <w:r>
        <w:rPr>
          <w:rFonts w:hint="eastAsia" w:ascii="仿宋" w:hAnsi="仿宋" w:eastAsia="仿宋" w:cs="仿宋"/>
          <w:spacing w:val="1"/>
          <w:sz w:val="28"/>
          <w:szCs w:val="28"/>
          <w:lang w:eastAsia="zh-CN"/>
        </w:rPr>
        <w:t xml:space="preserve">。</w:t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</w:p>
    <w:p>
      <w:pPr>
        <w:pStyle w:val="1015"/>
        <w:numPr>
          <w:ilvl w:val="0"/>
          <w:numId w:val="8"/>
        </w:numPr>
        <w:pBdr/>
        <w:spacing w:line="560" w:lineRule="exact"/>
        <w:ind w:firstLine="564"/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pacing w:val="1"/>
          <w:sz w:val="28"/>
          <w:szCs w:val="28"/>
          <w:lang w:eastAsia="zh-CN"/>
        </w:rPr>
        <w:t xml:space="preserve">河北霞城风电场综合场用电量连续6月环比增长。</w:t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pacing w:val="-2"/>
          <w:sz w:val="28"/>
          <w:szCs w:val="28"/>
          <w:lang w:eastAsia="zh-CN"/>
        </w:rPr>
      </w:r>
    </w:p>
    <w:p>
      <w:pPr>
        <w:numPr>
          <w:ilvl w:val="0"/>
          <w:numId w:val="0"/>
        </w:numPr>
        <w:pBdr/>
        <w:spacing w:line="560" w:lineRule="exact"/>
        <w:ind w:firstLine="582"/>
        <w:outlineLvl w:val="0"/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pPr>
      <w:r/>
      <w:bookmarkStart w:id="89" w:name="_Toc1605"/>
      <w:r/>
      <w:bookmarkStart w:id="90" w:name="_Toc11574"/>
      <w:r/>
      <w:bookmarkStart w:id="91" w:name="_Toc20851"/>
      <w:r/>
      <w:bookmarkStart w:id="92" w:name="_Toc18023"/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  <w:t xml:space="preserve">八、预警情况（12月）</w:t>
      </w:r>
      <w:bookmarkEnd w:id="89"/>
      <w:r/>
      <w:bookmarkEnd w:id="90"/>
      <w:r/>
      <w:bookmarkEnd w:id="91"/>
      <w:r/>
      <w:bookmarkEnd w:id="92"/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lang w:eastAsia="zh-CN"/>
        </w:rPr>
      </w:r>
    </w:p>
    <w:p>
      <w:pPr>
        <w:pBdr/>
        <w:spacing w:line="560" w:lineRule="exact"/>
        <w:ind w:firstLine="56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11月，投资公司预警758条，闭环580条，预警闭环率76.6%。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tbl>
      <w:tblPr>
        <w:tblStyle w:val="1012"/>
        <w:tblInd w:w="0" w:type="dxa"/>
        <w:tblW w:w="4997" w:type="pct"/>
        <w:tblCellMar>
          <w:left w:w="108" w:type="dxa"/>
          <w:top w:w="0" w:type="dxa"/>
          <w:right w:w="108" w:type="dxa"/>
          <w:bottom w:w="0" w:type="dxa"/>
        </w:tblCellMar>
        <w:tblBorders/>
        <w:tblLayout w:type="autofit"/>
        <w:tblLook w:val="04A0" w:firstRow="1" w:lastRow="0" w:firstColumn="1" w:lastColumn="0" w:noHBand="0" w:noVBand="1"/>
      </w:tblPr>
      <w:tblGrid>
        <w:gridCol w:w="2029"/>
        <w:gridCol w:w="1373"/>
        <w:gridCol w:w="1903"/>
        <w:gridCol w:w="2386"/>
        <w:gridCol w:w="1422"/>
      </w:tblGrid>
      <w:tr>
        <w:trPr>
          <w:trHeight w:val="567"/>
        </w:trPr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13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 xml:space="preserve">{{20</w:t>
            </w:r>
            <w:bookmarkStart w:id="190" w:name="_GoBack"/>
            <w:r/>
            <w:bookmarkEnd w:id="190"/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 xml:space="preserve">.yjqk}}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  <w:t xml:space="preserve">序号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3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  <w:t xml:space="preserve">子分公司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  <w:t xml:space="preserve">预警数量（条）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8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  <w:t xml:space="preserve">平均关闭时间（天）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0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  <w:t xml:space="preserve">关闭有效率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</w:r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13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[row]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3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[company]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[num]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8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[day]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0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[rate]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r>
          </w:p>
        </w:tc>
      </w:tr>
    </w:tbl>
    <w:p>
      <w:pPr>
        <w:pBdr/>
        <w:spacing w:line="560" w:lineRule="exact"/>
        <w:ind/>
        <w:jc w:val="center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表4 子分公司预警闭环统计表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pBdr/>
        <w:spacing w:line="560" w:lineRule="exact"/>
        <w:ind w:firstLine="56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12月，预警数量较多的子分公司为：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{{yjsl_top}}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；预警闭环率较低的子分公司为：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{{yjbhl_later}}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pBdr/>
        <w:spacing w:line="560" w:lineRule="exact"/>
        <w:ind w:firstLine="56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预警数量较多的场站为：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{{yjslcz_top}}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。预警闭环率较低的场站为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{{yjbhl_later3}}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等18家场站，预警闭环率为0。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pBdr/>
        <w:spacing w:line="560" w:lineRule="exact"/>
        <w:ind w:firstLine="56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具体预警信息见附件10。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pBdr/>
        <w:spacing/>
        <w:ind/>
        <w:rPr>
          <w:rFonts w:hint="eastAsia" w:ascii="仿宋" w:hAnsi="仿宋" w:eastAsia="仿宋" w:cs="仿宋"/>
          <w:spacing w:val="-2"/>
          <w:sz w:val="31"/>
          <w:szCs w:val="31"/>
          <w:lang w:eastAsia="zh-CN"/>
        </w:rPr>
      </w:pPr>
      <w:r>
        <w:rPr>
          <w:rFonts w:hint="eastAsia" w:ascii="仿宋" w:hAnsi="仿宋" w:eastAsia="仿宋" w:cs="仿宋"/>
          <w:spacing w:val="-2"/>
          <w:sz w:val="31"/>
          <w:szCs w:val="31"/>
          <w:lang w:eastAsia="zh-CN"/>
        </w:rPr>
      </w:r>
      <w:r>
        <w:rPr>
          <w:rFonts w:hint="eastAsia" w:ascii="仿宋" w:hAnsi="仿宋" w:eastAsia="仿宋" w:cs="仿宋"/>
          <w:spacing w:val="-2"/>
          <w:sz w:val="31"/>
          <w:szCs w:val="31"/>
          <w:lang w:eastAsia="zh-CN"/>
        </w:rPr>
      </w:r>
      <w:r>
        <w:rPr>
          <w:rFonts w:hint="eastAsia" w:ascii="仿宋" w:hAnsi="仿宋" w:eastAsia="仿宋" w:cs="仿宋"/>
          <w:spacing w:val="-2"/>
          <w:sz w:val="31"/>
          <w:szCs w:val="31"/>
          <w:lang w:eastAsia="zh-CN"/>
        </w:rPr>
      </w:r>
    </w:p>
    <w:p>
      <w:pPr>
        <w:pStyle w:val="1013"/>
        <w:pBdr/>
        <w:spacing w:line="360" w:lineRule="auto"/>
        <w:ind w:firstLine="56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备注：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pStyle w:val="1013"/>
        <w:numPr>
          <w:ilvl w:val="0"/>
          <w:numId w:val="9"/>
        </w:numPr>
        <w:pBdr/>
        <w:spacing w:line="360" w:lineRule="auto"/>
        <w:ind w:firstLine="56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分析报告数据来源集运系统；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pStyle w:val="1013"/>
        <w:numPr>
          <w:ilvl w:val="0"/>
          <w:numId w:val="9"/>
        </w:numPr>
        <w:pBdr/>
        <w:spacing w:line="360" w:lineRule="auto"/>
        <w:ind w:firstLine="56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计算方法依据《国华投资公司生产指标评价体系》。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  <w:r>
        <w:rPr>
          <w:rFonts w:hint="eastAsia" w:ascii="仿宋" w:hAnsi="仿宋" w:eastAsia="仿宋" w:cs="仿宋"/>
          <w:sz w:val="28"/>
          <w:szCs w:val="28"/>
          <w:lang w:eastAsia="zh-CN"/>
        </w:rPr>
      </w:r>
    </w:p>
    <w:p>
      <w:pPr>
        <w:pBdr/>
        <w:spacing/>
        <w:ind/>
        <w:rPr>
          <w:rFonts w:hint="eastAsia" w:ascii="仿宋" w:hAnsi="仿宋" w:eastAsia="仿宋" w:cs="仿宋"/>
          <w:spacing w:val="-2"/>
          <w:sz w:val="31"/>
          <w:szCs w:val="31"/>
          <w:lang w:eastAsia="zh-CN"/>
        </w:rPr>
      </w:pPr>
      <w:r>
        <w:rPr>
          <w:rFonts w:hint="eastAsia" w:ascii="仿宋" w:hAnsi="仿宋" w:eastAsia="仿宋" w:cs="仿宋"/>
          <w:spacing w:val="-2"/>
          <w:sz w:val="31"/>
          <w:szCs w:val="31"/>
          <w:lang w:eastAsia="zh-CN"/>
        </w:rPr>
      </w:r>
      <w:r>
        <w:rPr>
          <w:rFonts w:hint="eastAsia" w:ascii="仿宋" w:hAnsi="仿宋" w:eastAsia="仿宋" w:cs="仿宋"/>
          <w:spacing w:val="-2"/>
          <w:sz w:val="31"/>
          <w:szCs w:val="31"/>
          <w:lang w:eastAsia="zh-CN"/>
        </w:rPr>
      </w:r>
      <w:r>
        <w:rPr>
          <w:rFonts w:hint="eastAsia" w:ascii="仿宋" w:hAnsi="仿宋" w:eastAsia="仿宋" w:cs="仿宋"/>
          <w:spacing w:val="-2"/>
          <w:sz w:val="31"/>
          <w:szCs w:val="31"/>
          <w:lang w:eastAsia="zh-CN"/>
        </w:rPr>
      </w:r>
    </w:p>
    <w:p>
      <w:pPr>
        <w:pBdr/>
        <w:spacing/>
        <w:ind/>
        <w:rPr>
          <w:rFonts w:hint="eastAsia" w:ascii="仿宋" w:hAnsi="仿宋" w:eastAsia="仿宋" w:cs="仿宋"/>
          <w:spacing w:val="-2"/>
          <w:sz w:val="31"/>
          <w:szCs w:val="31"/>
          <w:lang w:eastAsia="zh-CN"/>
        </w:rPr>
      </w:pPr>
      <w:r>
        <w:rPr>
          <w:rFonts w:hint="eastAsia" w:ascii="仿宋" w:hAnsi="仿宋" w:eastAsia="仿宋" w:cs="仿宋"/>
          <w:spacing w:val="-2"/>
          <w:sz w:val="31"/>
          <w:szCs w:val="31"/>
          <w:lang w:eastAsia="zh-CN"/>
        </w:rPr>
      </w:r>
      <w:r>
        <w:rPr>
          <w:rFonts w:hint="eastAsia" w:ascii="仿宋" w:hAnsi="仿宋" w:eastAsia="仿宋" w:cs="仿宋"/>
          <w:spacing w:val="-2"/>
          <w:sz w:val="31"/>
          <w:szCs w:val="31"/>
          <w:lang w:eastAsia="zh-CN"/>
        </w:rPr>
      </w:r>
      <w:r>
        <w:rPr>
          <w:rFonts w:hint="eastAsia" w:ascii="仿宋" w:hAnsi="仿宋" w:eastAsia="仿宋" w:cs="仿宋"/>
          <w:spacing w:val="-2"/>
          <w:sz w:val="31"/>
          <w:szCs w:val="31"/>
          <w:lang w:eastAsia="zh-CN"/>
        </w:rPr>
      </w:r>
    </w:p>
    <w:p>
      <w:pPr>
        <w:pBdr/>
        <w:spacing/>
        <w:ind/>
        <w:rPr>
          <w:rFonts w:hint="eastAsia" w:ascii="仿宋" w:hAnsi="仿宋" w:eastAsia="仿宋" w:cs="仿宋"/>
          <w:spacing w:val="-2"/>
          <w:sz w:val="31"/>
          <w:szCs w:val="31"/>
          <w:lang w:eastAsia="zh-CN"/>
        </w:rPr>
      </w:pPr>
      <w:r>
        <w:rPr>
          <w:rFonts w:hint="eastAsia" w:ascii="仿宋" w:hAnsi="仿宋" w:eastAsia="仿宋" w:cs="仿宋"/>
          <w:spacing w:val="-2"/>
          <w:sz w:val="31"/>
          <w:szCs w:val="31"/>
          <w:lang w:eastAsia="zh-CN"/>
        </w:rPr>
      </w:r>
      <w:r>
        <w:rPr>
          <w:rFonts w:hint="eastAsia" w:ascii="仿宋" w:hAnsi="仿宋" w:eastAsia="仿宋" w:cs="仿宋"/>
          <w:spacing w:val="-2"/>
          <w:sz w:val="31"/>
          <w:szCs w:val="31"/>
          <w:lang w:eastAsia="zh-CN"/>
        </w:rPr>
      </w:r>
      <w:r>
        <w:rPr>
          <w:rFonts w:hint="eastAsia" w:ascii="仿宋" w:hAnsi="仿宋" w:eastAsia="仿宋" w:cs="仿宋"/>
          <w:spacing w:val="-2"/>
          <w:sz w:val="31"/>
          <w:szCs w:val="31"/>
          <w:lang w:eastAsia="zh-CN"/>
        </w:rPr>
      </w:r>
    </w:p>
    <w:p>
      <w:pPr>
        <w:pBdr/>
        <w:spacing/>
        <w:ind/>
        <w:rPr>
          <w:rFonts w:hint="eastAsia" w:ascii="仿宋" w:hAnsi="仿宋" w:eastAsia="仿宋" w:cs="仿宋"/>
          <w:spacing w:val="-2"/>
          <w:sz w:val="31"/>
          <w:szCs w:val="31"/>
          <w:lang w:eastAsia="zh-CN"/>
        </w:rPr>
      </w:pPr>
      <w:r>
        <w:rPr>
          <w:rFonts w:hint="eastAsia" w:ascii="仿宋" w:hAnsi="仿宋" w:eastAsia="仿宋" w:cs="仿宋"/>
          <w:spacing w:val="-2"/>
          <w:sz w:val="31"/>
          <w:szCs w:val="31"/>
          <w:lang w:eastAsia="zh-CN"/>
        </w:rPr>
        <w:br w:type="page" w:clear="all"/>
      </w:r>
      <w:r>
        <w:rPr>
          <w:rFonts w:hint="eastAsia" w:ascii="仿宋" w:hAnsi="仿宋" w:eastAsia="仿宋" w:cs="仿宋"/>
          <w:spacing w:val="-2"/>
          <w:sz w:val="31"/>
          <w:szCs w:val="31"/>
          <w:lang w:eastAsia="zh-CN"/>
        </w:rPr>
      </w:r>
      <w:r>
        <w:rPr>
          <w:rFonts w:hint="eastAsia" w:ascii="仿宋" w:hAnsi="仿宋" w:eastAsia="仿宋" w:cs="仿宋"/>
          <w:spacing w:val="-2"/>
          <w:sz w:val="31"/>
          <w:szCs w:val="31"/>
          <w:lang w:eastAsia="zh-CN"/>
        </w:rPr>
      </w:r>
    </w:p>
    <w:p>
      <w:pPr>
        <w:pBdr/>
        <w:spacing w:before="313" w:line="221" w:lineRule="auto"/>
        <w:ind/>
        <w:outlineLvl w:val="0"/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</w:pPr>
      <w:r/>
      <w:bookmarkStart w:id="93" w:name="_Toc25683"/>
      <w:r/>
      <w:bookmarkStart w:id="94" w:name="_Toc32086"/>
      <w:r/>
      <w:bookmarkStart w:id="95" w:name="_Toc9933"/>
      <w:r/>
      <w:bookmarkStart w:id="96" w:name="_Toc23551"/>
      <w:r/>
      <w:bookmarkStart w:id="97" w:name="_Toc533"/>
      <w:r/>
      <w:bookmarkStart w:id="98" w:name="_Toc31941"/>
      <w:r/>
      <w:bookmarkStart w:id="99" w:name="_Toc30454"/>
      <w:r/>
      <w:bookmarkStart w:id="100" w:name="_Toc9221"/>
      <w:r/>
      <w:bookmarkStart w:id="101" w:name="_Toc5995"/>
      <w:r/>
      <w:bookmarkStart w:id="102" w:name="_Toc28182"/>
      <w:r/>
      <w:bookmarkStart w:id="103" w:name="_Toc9927"/>
      <w:r/>
      <w:bookmarkStart w:id="104" w:name="_Toc5094"/>
      <w:r/>
      <w:bookmarkStart w:id="105" w:name="_Toc28231"/>
      <w:r/>
      <w:bookmarkStart w:id="106" w:name="_Toc24897"/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  <w:t xml:space="preserve">附件1：</w:t>
      </w:r>
      <w:bookmarkEnd w:id="93"/>
      <w:r/>
      <w:bookmarkEnd w:id="94"/>
      <w:r/>
      <w:bookmarkEnd w:id="95"/>
      <w:r/>
      <w:bookmarkEnd w:id="96"/>
      <w:r/>
      <w:bookmarkEnd w:id="97"/>
      <w:r/>
      <w:bookmarkEnd w:id="98"/>
      <w:r/>
      <w:bookmarkEnd w:id="99"/>
      <w:r/>
      <w:bookmarkEnd w:id="100"/>
      <w:r/>
      <w:bookmarkEnd w:id="101"/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  <w:t xml:space="preserve">子分公司指标体系评价</w:t>
      </w:r>
      <w:bookmarkEnd w:id="102"/>
      <w:r/>
      <w:bookmarkEnd w:id="103"/>
      <w:r/>
      <w:bookmarkEnd w:id="104"/>
      <w:r/>
      <w:bookmarkEnd w:id="105"/>
      <w:r/>
      <w:bookmarkEnd w:id="106"/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</w:r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</w:r>
    </w:p>
    <w:tbl>
      <w:tblPr>
        <w:tblStyle w:val="1012"/>
        <w:tblInd w:w="0" w:type="dxa"/>
        <w:tblW w:w="4998" w:type="pct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67"/>
        <w:gridCol w:w="772"/>
        <w:gridCol w:w="659"/>
        <w:gridCol w:w="676"/>
        <w:gridCol w:w="739"/>
        <w:gridCol w:w="677"/>
        <w:gridCol w:w="790"/>
        <w:gridCol w:w="699"/>
        <w:gridCol w:w="749"/>
        <w:gridCol w:w="758"/>
        <w:gridCol w:w="789"/>
        <w:gridCol w:w="441"/>
      </w:tblGrid>
      <w:tr>
        <w:trPr>
          <w:trHeight w:val="1440"/>
        </w:trPr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val="en-US" w:eastAsia="zh-CN" w:bidi="ar"/>
              </w:rPr>
              <w:t xml:space="preserve">{{fj1}}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公司名称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3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计划完成率得分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发电计划偏差率得分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停电检修计划准确性得分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限电率得分限值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能量利用率得分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3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综合场用电率得分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3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数据质量得分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长停风机得分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技术监督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/>
              </w:rPr>
              <w:t xml:space="preserve">总分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排名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</w:tr>
      <w:tr>
        <w:trPr>
          <w:trHeight w:val="454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9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[branch]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3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[jhwcl]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1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[fdjhpcl]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0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[tdjxjhzcx]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5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[xdldfxz]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1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[nllyl]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3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[zhcydl]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3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[sjzl]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[ctfj]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5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[jsjd]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2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[total]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[row]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</w:tr>
    </w:tbl>
    <w:p>
      <w:pPr>
        <w:pBdr/>
        <w:spacing/>
        <w:ind/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</w:pPr>
      <w:r/>
      <w:bookmarkStart w:id="107" w:name="_Toc18482"/>
      <w:r/>
      <w:bookmarkStart w:id="108" w:name="_Toc23933"/>
      <w:r/>
      <w:bookmarkStart w:id="109" w:name="_Toc14707"/>
      <w:r/>
      <w:bookmarkStart w:id="110" w:name="_Toc12228"/>
      <w:r/>
      <w:bookmarkStart w:id="111" w:name="_Toc19432"/>
      <w:r/>
      <w:bookmarkStart w:id="112" w:name="_Toc20008"/>
      <w:r/>
      <w:bookmarkStart w:id="113" w:name="_Toc11800"/>
      <w:r/>
      <w:bookmarkStart w:id="114" w:name="_Toc28290"/>
      <w:r/>
      <w:bookmarkStart w:id="115" w:name="_Toc172"/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  <w:br w:type="page" w:clear="all"/>
      </w:r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</w:r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</w:r>
    </w:p>
    <w:p>
      <w:pPr>
        <w:pBdr/>
        <w:spacing w:before="313" w:line="221" w:lineRule="auto"/>
        <w:ind/>
        <w:outlineLvl w:val="0"/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</w:pPr>
      <w:r/>
      <w:bookmarkStart w:id="116" w:name="_Toc26415"/>
      <w:r/>
      <w:bookmarkStart w:id="117" w:name="_Toc14038"/>
      <w:r/>
      <w:bookmarkStart w:id="118" w:name="_Toc29745"/>
      <w:r/>
      <w:bookmarkStart w:id="119" w:name="_Toc19404"/>
      <w:r/>
      <w:bookmarkStart w:id="120" w:name="_Toc31313"/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  <w:t xml:space="preserve">附件2：</w:t>
      </w:r>
      <w:bookmarkEnd w:id="107"/>
      <w:r/>
      <w:bookmarkEnd w:id="108"/>
      <w:r/>
      <w:bookmarkEnd w:id="109"/>
      <w:r/>
      <w:bookmarkEnd w:id="110"/>
      <w:r/>
      <w:bookmarkEnd w:id="111"/>
      <w:r/>
      <w:bookmarkEnd w:id="112"/>
      <w:r/>
      <w:bookmarkEnd w:id="113"/>
      <w:r/>
      <w:bookmarkEnd w:id="114"/>
      <w:r/>
      <w:bookmarkEnd w:id="115"/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  <w:t xml:space="preserve">风电场生产指标体系评价</w:t>
      </w:r>
      <w:bookmarkEnd w:id="116"/>
      <w:r/>
      <w:bookmarkEnd w:id="117"/>
      <w:r/>
      <w:bookmarkEnd w:id="118"/>
      <w:r/>
      <w:bookmarkEnd w:id="119"/>
      <w:r/>
      <w:bookmarkEnd w:id="120"/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</w:r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</w:r>
    </w:p>
    <w:tbl>
      <w:tblPr>
        <w:tblStyle w:val="1012"/>
        <w:jc w:val="center"/>
        <w:tblW w:w="9953" w:type="dxa"/>
        <w:tblCellMar>
          <w:left w:w="108" w:type="dxa"/>
          <w:top w:w="0" w:type="dxa"/>
          <w:right w:w="108" w:type="dxa"/>
          <w:bottom w:w="0" w:type="dxa"/>
        </w:tblCellMar>
        <w:tblBorders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056"/>
        <w:gridCol w:w="756"/>
        <w:gridCol w:w="623"/>
        <w:gridCol w:w="816"/>
        <w:gridCol w:w="888"/>
        <w:gridCol w:w="756"/>
        <w:gridCol w:w="677"/>
        <w:gridCol w:w="756"/>
        <w:gridCol w:w="744"/>
        <w:gridCol w:w="780"/>
        <w:gridCol w:w="792"/>
        <w:gridCol w:w="780"/>
        <w:gridCol w:w="529"/>
      </w:tblGrid>
      <w:tr>
        <w:trPr>
          <w:jc w:val="center"/>
          <w:trHeight w:val="1200"/>
        </w:trPr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val="en-US" w:eastAsia="zh-CN" w:bidi="ar"/>
              </w:rPr>
              <w:t xml:space="preserve">{{fj2}}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场站名称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计划完成率得分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计划偏差率得分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利用小时得分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机组台均故障次数得分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机组台均故障时长得分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输变电故障停运得分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限电率得分限值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性能损失得分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综合场用电率得分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预警关闭有效率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场站总分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排名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320"/>
        </w:trPr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6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[site]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6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[jhwcl]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[jhpcl]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6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[lyxs]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8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[jztjgzcs]]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6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[jztjgzsc]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7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[sbdgzty]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6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[xdldfxz]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4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[xnss]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0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[zhcydl]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2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[yjgbyxl]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0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[total]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[row]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</w:tr>
    </w:tbl>
    <w:p>
      <w:pPr>
        <w:pBdr/>
        <w:spacing/>
        <w:ind/>
        <w:rPr>
          <w:rFonts w:hint="eastAsia" w:ascii="仿宋" w:hAnsi="仿宋" w:eastAsia="仿宋" w:cs="仿宋"/>
          <w:b/>
          <w:bCs/>
          <w:spacing w:val="-4"/>
          <w:sz w:val="24"/>
          <w:szCs w:val="24"/>
        </w:rPr>
      </w:pPr>
      <w:r/>
      <w:bookmarkStart w:id="121" w:name="_Toc5992"/>
      <w:r/>
      <w:bookmarkStart w:id="122" w:name="_Toc19788"/>
      <w:r/>
      <w:bookmarkStart w:id="123" w:name="_Toc4731"/>
      <w:r/>
      <w:bookmarkStart w:id="124" w:name="_Toc14868"/>
      <w:r/>
      <w:bookmarkStart w:id="125" w:name="_Toc1438"/>
      <w:r/>
      <w:bookmarkStart w:id="126" w:name="_Toc5307"/>
      <w:r/>
      <w:bookmarkStart w:id="127" w:name="_Toc15289"/>
      <w:r/>
      <w:bookmarkStart w:id="128" w:name="_Toc31430"/>
      <w:r>
        <w:rPr>
          <w:rFonts w:hint="eastAsia" w:ascii="仿宋" w:hAnsi="仿宋" w:eastAsia="仿宋" w:cs="仿宋"/>
          <w:b/>
          <w:bCs/>
          <w:spacing w:val="-4"/>
          <w:sz w:val="24"/>
          <w:szCs w:val="24"/>
        </w:rPr>
        <w:br w:type="page" w:clear="all"/>
      </w:r>
      <w:r>
        <w:rPr>
          <w:rFonts w:hint="eastAsia" w:ascii="仿宋" w:hAnsi="仿宋" w:eastAsia="仿宋" w:cs="仿宋"/>
          <w:b/>
          <w:bCs/>
          <w:spacing w:val="-4"/>
          <w:sz w:val="24"/>
          <w:szCs w:val="24"/>
        </w:rPr>
      </w:r>
      <w:r>
        <w:rPr>
          <w:rFonts w:hint="eastAsia" w:ascii="仿宋" w:hAnsi="仿宋" w:eastAsia="仿宋" w:cs="仿宋"/>
          <w:b/>
          <w:bCs/>
          <w:spacing w:val="-4"/>
          <w:sz w:val="24"/>
          <w:szCs w:val="24"/>
        </w:rPr>
      </w:r>
    </w:p>
    <w:p>
      <w:pPr>
        <w:pBdr/>
        <w:spacing w:before="313" w:line="221" w:lineRule="auto"/>
        <w:ind/>
        <w:outlineLvl w:val="0"/>
        <w:rPr>
          <w:rFonts w:hint="eastAsia" w:ascii="仿宋" w:hAnsi="仿宋" w:eastAsia="仿宋" w:cs="仿宋"/>
          <w:sz w:val="24"/>
          <w:szCs w:val="24"/>
          <w:lang w:eastAsia="zh-CN"/>
        </w:rPr>
      </w:pPr>
      <w:r/>
      <w:bookmarkStart w:id="129" w:name="_Toc2795"/>
      <w:r/>
      <w:bookmarkStart w:id="130" w:name="_Toc24784"/>
      <w:r/>
      <w:bookmarkStart w:id="131" w:name="_Toc30789"/>
      <w:r/>
      <w:bookmarkStart w:id="132" w:name="_Toc10167"/>
      <w:r/>
      <w:bookmarkStart w:id="133" w:name="_Toc22422"/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  <w:t xml:space="preserve">附件3：</w:t>
      </w:r>
      <w:bookmarkEnd w:id="121"/>
      <w:r/>
      <w:bookmarkEnd w:id="122"/>
      <w:r/>
      <w:bookmarkEnd w:id="123"/>
      <w:r/>
      <w:bookmarkEnd w:id="124"/>
      <w:r/>
      <w:bookmarkEnd w:id="125"/>
      <w:r/>
      <w:bookmarkEnd w:id="126"/>
      <w:r/>
      <w:bookmarkEnd w:id="127"/>
      <w:r/>
      <w:bookmarkEnd w:id="128"/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  <w:t xml:space="preserve">光伏场站指标评价体系结果</w:t>
      </w:r>
      <w:bookmarkEnd w:id="129"/>
      <w:r/>
      <w:bookmarkEnd w:id="130"/>
      <w:r/>
      <w:bookmarkEnd w:id="131"/>
      <w:r/>
      <w:bookmarkEnd w:id="132"/>
      <w:r/>
      <w:bookmarkEnd w:id="133"/>
      <w:r>
        <w:rPr>
          <w:rFonts w:hint="eastAsia" w:ascii="仿宋" w:hAnsi="仿宋" w:eastAsia="仿宋" w:cs="仿宋"/>
          <w:sz w:val="24"/>
          <w:szCs w:val="24"/>
          <w:lang w:eastAsia="zh-CN"/>
        </w:rPr>
      </w:r>
      <w:r>
        <w:rPr>
          <w:rFonts w:hint="eastAsia" w:ascii="仿宋" w:hAnsi="仿宋" w:eastAsia="仿宋" w:cs="仿宋"/>
          <w:sz w:val="24"/>
          <w:szCs w:val="24"/>
          <w:lang w:eastAsia="zh-CN"/>
        </w:rPr>
      </w:r>
    </w:p>
    <w:tbl>
      <w:tblPr>
        <w:tblStyle w:val="1012"/>
        <w:jc w:val="center"/>
        <w:tblW w:w="5059" w:type="pct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141"/>
        <w:gridCol w:w="776"/>
        <w:gridCol w:w="651"/>
        <w:gridCol w:w="756"/>
        <w:gridCol w:w="723"/>
        <w:gridCol w:w="816"/>
        <w:gridCol w:w="602"/>
        <w:gridCol w:w="768"/>
        <w:gridCol w:w="550"/>
        <w:gridCol w:w="664"/>
        <w:gridCol w:w="531"/>
        <w:gridCol w:w="768"/>
        <w:gridCol w:w="480"/>
      </w:tblGrid>
      <w:tr>
        <w:trPr>
          <w:jc w:val="center"/>
          <w:trHeight w:val="1248"/>
        </w:trPr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val="en-US" w:eastAsia="zh-CN" w:bidi="ar"/>
              </w:rPr>
              <w:t xml:space="preserve">{{fj3}}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场站名称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计划完成率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计划偏差率得分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利用小时得分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逆变器台均故障次数得分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逆变器台均故障时长得分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输变电故障停运得分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限电率得分限值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性能损失得分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综合场用电率得分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预警关闭有效率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场站总分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排名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312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8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[site]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0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[jhwcl]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[jhpcl]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9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[lyxs]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[nbqtjgzcs]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2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[nbqtjgzsc]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[lbdgzty]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6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[xdl]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8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[xnss]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9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[zhcydl]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[yjgbyxl]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6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[total]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[row]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</w:tr>
    </w:tbl>
    <w:p>
      <w:pPr>
        <w:pBdr/>
        <w:spacing/>
        <w:ind/>
        <w:rPr>
          <w:rFonts w:hint="eastAsia" w:ascii="仿宋" w:hAnsi="仿宋" w:eastAsia="仿宋" w:cs="仿宋"/>
          <w:b/>
          <w:bCs/>
          <w:spacing w:val="-4"/>
          <w:sz w:val="24"/>
          <w:szCs w:val="24"/>
        </w:rPr>
      </w:pPr>
      <w:r/>
      <w:bookmarkStart w:id="134" w:name="_Toc24099"/>
      <w:r/>
      <w:bookmarkStart w:id="135" w:name="_Toc525"/>
      <w:r/>
      <w:bookmarkStart w:id="136" w:name="_Toc3594"/>
      <w:r/>
      <w:bookmarkStart w:id="137" w:name="_Toc2954"/>
      <w:r/>
      <w:bookmarkStart w:id="138" w:name="_Toc23479"/>
      <w:r/>
      <w:bookmarkStart w:id="139" w:name="_Toc31696"/>
      <w:r/>
      <w:bookmarkStart w:id="140" w:name="_Toc24685"/>
      <w:r>
        <w:rPr>
          <w:rFonts w:hint="eastAsia" w:ascii="仿宋" w:hAnsi="仿宋" w:eastAsia="仿宋" w:cs="仿宋"/>
          <w:b/>
          <w:bCs/>
          <w:spacing w:val="-4"/>
          <w:sz w:val="24"/>
          <w:szCs w:val="24"/>
        </w:rPr>
        <w:br w:type="page" w:clear="all"/>
      </w:r>
      <w:r>
        <w:rPr>
          <w:rFonts w:hint="eastAsia" w:ascii="仿宋" w:hAnsi="仿宋" w:eastAsia="仿宋" w:cs="仿宋"/>
          <w:b/>
          <w:bCs/>
          <w:spacing w:val="-4"/>
          <w:sz w:val="24"/>
          <w:szCs w:val="24"/>
        </w:rPr>
      </w:r>
      <w:r>
        <w:rPr>
          <w:rFonts w:hint="eastAsia" w:ascii="仿宋" w:hAnsi="仿宋" w:eastAsia="仿宋" w:cs="仿宋"/>
          <w:b/>
          <w:bCs/>
          <w:spacing w:val="-4"/>
          <w:sz w:val="24"/>
          <w:szCs w:val="24"/>
        </w:rPr>
      </w:r>
    </w:p>
    <w:p>
      <w:pPr>
        <w:pBdr/>
        <w:spacing w:before="313" w:line="221" w:lineRule="auto"/>
        <w:ind/>
        <w:outlineLvl w:val="0"/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</w:pPr>
      <w:r/>
      <w:bookmarkStart w:id="141" w:name="_Toc5745"/>
      <w:r/>
      <w:bookmarkStart w:id="142" w:name="_Toc14063"/>
      <w:r/>
      <w:bookmarkStart w:id="143" w:name="_Toc1445"/>
      <w:r/>
      <w:bookmarkStart w:id="144" w:name="_Toc26253"/>
      <w:r/>
      <w:bookmarkStart w:id="145" w:name="_Toc18316"/>
      <w:r>
        <w:rPr>
          <w:rFonts w:hint="eastAsia" w:ascii="仿宋" w:hAnsi="仿宋" w:eastAsia="仿宋" w:cs="仿宋"/>
          <w:b/>
          <w:bCs/>
          <w:spacing w:val="-4"/>
          <w:sz w:val="24"/>
          <w:szCs w:val="24"/>
        </w:rPr>
        <w:t xml:space="preserve">附</w:t>
      </w:r>
      <w:bookmarkEnd w:id="134"/>
      <w:r/>
      <w:bookmarkEnd w:id="135"/>
      <w:r/>
      <w:bookmarkEnd w:id="136"/>
      <w:r/>
      <w:bookmarkEnd w:id="137"/>
      <w:r/>
      <w:bookmarkEnd w:id="138"/>
      <w:r/>
      <w:bookmarkEnd w:id="139"/>
      <w:r/>
      <w:bookmarkEnd w:id="140"/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  <w:t xml:space="preserve">件4：发电量完成情况</w:t>
      </w:r>
      <w:bookmarkEnd w:id="141"/>
      <w:r/>
      <w:bookmarkEnd w:id="142"/>
      <w:r/>
      <w:bookmarkEnd w:id="143"/>
      <w:r/>
      <w:bookmarkEnd w:id="144"/>
      <w:r/>
      <w:bookmarkEnd w:id="145"/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</w:r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</w:r>
    </w:p>
    <w:p>
      <w:pPr>
        <w:pStyle w:val="1013"/>
        <w:pBdr/>
        <w:spacing/>
        <w:ind/>
        <w:jc w:val="right"/>
        <w:rPr>
          <w:rFonts w:hint="eastAsia" w:ascii="仿宋" w:hAnsi="仿宋" w:eastAsia="仿宋" w:cs="仿宋"/>
          <w:lang w:eastAsia="zh-CN"/>
        </w:rPr>
      </w:pPr>
      <w:r>
        <w:rPr>
          <w:rFonts w:hint="eastAsia" w:ascii="仿宋" w:hAnsi="仿宋" w:eastAsia="仿宋" w:cs="仿宋"/>
          <w:sz w:val="20"/>
          <w:szCs w:val="20"/>
          <w:lang w:eastAsia="zh-CN"/>
        </w:rPr>
        <w:t xml:space="preserve">单位：万千瓦、亿千瓦时、%</w:t>
      </w:r>
      <w:r>
        <w:rPr>
          <w:rFonts w:hint="eastAsia" w:ascii="仿宋" w:hAnsi="仿宋" w:eastAsia="仿宋" w:cs="仿宋"/>
          <w:lang w:eastAsia="zh-CN"/>
        </w:rPr>
      </w:r>
      <w:r>
        <w:rPr>
          <w:rFonts w:hint="eastAsia" w:ascii="仿宋" w:hAnsi="仿宋" w:eastAsia="仿宋" w:cs="仿宋"/>
          <w:lang w:eastAsia="zh-CN"/>
        </w:rPr>
      </w:r>
    </w:p>
    <w:tbl>
      <w:tblPr>
        <w:tblStyle w:val="1023"/>
        <w:jc w:val="center"/>
        <w:tblW w:w="5217" w:type="pct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392"/>
        <w:gridCol w:w="922"/>
        <w:gridCol w:w="827"/>
        <w:gridCol w:w="876"/>
        <w:gridCol w:w="829"/>
        <w:gridCol w:w="776"/>
        <w:gridCol w:w="959"/>
        <w:gridCol w:w="974"/>
        <w:gridCol w:w="1126"/>
        <w:gridCol w:w="833"/>
      </w:tblGrid>
      <w:tr>
        <w:trPr>
          <w:jc w:val="center"/>
          <w:trHeight w:val="113"/>
        </w:trPr>
        <w:tc>
          <w:tcPr>
            <w:shd w:val="clear" w:color="auto" w:fill="f1f1f1" w:themeFill="background1" w:themeFillShade="F2"/>
            <w:tcBorders/>
            <w:tcW w:w="731" w:type="pct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val="en-US" w:eastAsia="zh-CN"/>
              </w:rPr>
              <w:t xml:space="preserve">{fj4}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项目名称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/>
            <w:tcW w:w="484" w:type="pct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rFonts w:hint="default" w:ascii="仿宋" w:hAnsi="仿宋" w:eastAsia="仿宋" w:cs="仿宋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val="en-US" w:eastAsia="zh-CN"/>
              </w:rPr>
              <w:t xml:space="preserve">装机</w:t>
            </w:r>
            <w:r>
              <w:rPr>
                <w:rFonts w:hint="default" w:ascii="仿宋" w:hAnsi="仿宋" w:eastAsia="仿宋" w:cs="仿宋"/>
                <w:b/>
                <w:bCs/>
                <w:sz w:val="21"/>
                <w:szCs w:val="21"/>
                <w:lang w:val="en-US" w:eastAsia="zh-CN"/>
              </w:rPr>
            </w:r>
            <w:r>
              <w:rPr>
                <w:rFonts w:hint="default" w:ascii="仿宋" w:hAnsi="仿宋" w:eastAsia="仿宋" w:cs="仿宋"/>
                <w:b/>
                <w:bCs/>
                <w:sz w:val="21"/>
                <w:szCs w:val="21"/>
                <w:lang w:val="en-US" w:eastAsia="zh-CN"/>
              </w:rPr>
            </w:r>
          </w:p>
        </w:tc>
        <w:tc>
          <w:tcPr>
            <w:shd w:val="clear" w:color="auto" w:fill="f1f1f1" w:themeFill="background1" w:themeFillShade="F2"/>
            <w:tcBorders/>
            <w:tcW w:w="434" w:type="pct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月度计划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/>
            <w:tcW w:w="460" w:type="pct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月度完成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/>
            <w:tcW w:w="435" w:type="pct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月度超欠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/>
            <w:tcW w:w="407" w:type="pct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月度同比幅度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/>
            <w:tcW w:w="503" w:type="pct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年度计划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/>
            <w:tcW w:w="511" w:type="pct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年度完成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/>
            <w:tcW w:w="591" w:type="pct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年度超欠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/>
            <w:tcW w:w="437" w:type="pct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年度同比幅度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</w:tc>
      </w:tr>
      <w:tr>
        <w:trPr>
          <w:jc w:val="center"/>
          <w:trHeight w:val="454" w:hRule="exact"/>
        </w:trPr>
        <w:tc>
          <w:tcPr>
            <w:shd w:val="clear" w:color="auto" w:fill="auto"/>
            <w:tcBorders/>
            <w:tcW w:w="73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 xml:space="preserve">[branch]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r>
          </w:p>
        </w:tc>
        <w:tc>
          <w:tcPr>
            <w:shd w:val="clear" w:color="auto" w:fill="auto"/>
            <w:tcBorders/>
            <w:tcW w:w="48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[zj]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/>
            <w:tcW w:w="43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[ydjh]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/>
            <w:tcW w:w="46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[ydwc]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/>
            <w:tcW w:w="43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[ydcq]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/>
            <w:tcW w:w="407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[ydtb]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auto"/>
            <w:tcBorders/>
            <w:tcW w:w="503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[ndjh]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/>
            <w:tcW w:w="51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[ndwc]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/>
            <w:tcW w:w="59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[ndcq]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/>
            <w:tcW w:w="437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[ndtb]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</w:tr>
    </w:tbl>
    <w:p>
      <w:pPr>
        <w:pBdr/>
        <w:spacing/>
        <w:ind/>
        <w:rPr>
          <w:rFonts w:hint="eastAsia" w:ascii="仿宋" w:hAnsi="仿宋" w:eastAsia="仿宋" w:cs="仿宋"/>
          <w:b/>
          <w:bCs/>
          <w:spacing w:val="-4"/>
          <w:sz w:val="24"/>
          <w:szCs w:val="24"/>
        </w:rPr>
      </w:pPr>
      <w:r/>
      <w:bookmarkStart w:id="146" w:name="_Toc12866"/>
      <w:r/>
      <w:bookmarkStart w:id="147" w:name="_Toc18728"/>
      <w:r/>
      <w:bookmarkStart w:id="148" w:name="_Toc4981"/>
      <w:r/>
      <w:bookmarkStart w:id="149" w:name="_Toc2697"/>
      <w:r/>
      <w:bookmarkStart w:id="150" w:name="_Toc26035"/>
      <w:r/>
      <w:bookmarkStart w:id="151" w:name="_Toc13172"/>
      <w:r/>
      <w:bookmarkStart w:id="152" w:name="_Toc1079"/>
      <w:r>
        <w:rPr>
          <w:rFonts w:hint="eastAsia" w:ascii="仿宋" w:hAnsi="仿宋" w:eastAsia="仿宋" w:cs="仿宋"/>
          <w:b/>
          <w:bCs/>
          <w:spacing w:val="-4"/>
          <w:sz w:val="24"/>
          <w:szCs w:val="24"/>
        </w:rPr>
        <w:br w:type="page" w:clear="all"/>
      </w:r>
      <w:r>
        <w:rPr>
          <w:rFonts w:hint="eastAsia" w:ascii="仿宋" w:hAnsi="仿宋" w:eastAsia="仿宋" w:cs="仿宋"/>
          <w:b/>
          <w:bCs/>
          <w:spacing w:val="-4"/>
          <w:sz w:val="24"/>
          <w:szCs w:val="24"/>
        </w:rPr>
      </w:r>
      <w:r>
        <w:rPr>
          <w:rFonts w:hint="eastAsia" w:ascii="仿宋" w:hAnsi="仿宋" w:eastAsia="仿宋" w:cs="仿宋"/>
          <w:b/>
          <w:bCs/>
          <w:spacing w:val="-4"/>
          <w:sz w:val="24"/>
          <w:szCs w:val="24"/>
        </w:rPr>
      </w:r>
    </w:p>
    <w:p>
      <w:pPr>
        <w:pBdr/>
        <w:spacing w:before="313" w:line="221" w:lineRule="auto"/>
        <w:ind/>
        <w:outlineLvl w:val="0"/>
        <w:rPr>
          <w:rFonts w:hint="eastAsia" w:ascii="仿宋" w:hAnsi="仿宋" w:eastAsia="仿宋" w:cs="仿宋"/>
          <w:spacing w:val="-4"/>
          <w:sz w:val="24"/>
          <w:szCs w:val="24"/>
          <w:lang w:eastAsia="zh-CN"/>
        </w:rPr>
      </w:pPr>
      <w:r/>
      <w:bookmarkStart w:id="153" w:name="_Toc25442"/>
      <w:r/>
      <w:bookmarkStart w:id="154" w:name="_Toc24893"/>
      <w:r/>
      <w:bookmarkStart w:id="155" w:name="_Toc7417"/>
      <w:r/>
      <w:bookmarkStart w:id="156" w:name="_Toc11923"/>
      <w:r/>
      <w:bookmarkStart w:id="157" w:name="_Toc23404"/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  <w:t xml:space="preserve">附</w:t>
      </w:r>
      <w:bookmarkEnd w:id="146"/>
      <w:r/>
      <w:bookmarkEnd w:id="147"/>
      <w:r/>
      <w:bookmarkEnd w:id="148"/>
      <w:r/>
      <w:bookmarkEnd w:id="149"/>
      <w:r/>
      <w:bookmarkEnd w:id="150"/>
      <w:r/>
      <w:bookmarkEnd w:id="151"/>
      <w:r/>
      <w:bookmarkEnd w:id="152"/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  <w:t xml:space="preserve">件5：生产指标完成情况-风电</w:t>
      </w:r>
      <w:bookmarkEnd w:id="153"/>
      <w:r/>
      <w:bookmarkEnd w:id="154"/>
      <w:r/>
      <w:bookmarkEnd w:id="155"/>
      <w:r/>
      <w:bookmarkEnd w:id="156"/>
      <w:r/>
      <w:bookmarkEnd w:id="157"/>
      <w:r>
        <w:rPr>
          <w:rFonts w:hint="eastAsia" w:ascii="仿宋" w:hAnsi="仿宋" w:eastAsia="仿宋" w:cs="仿宋"/>
          <w:spacing w:val="-4"/>
          <w:sz w:val="24"/>
          <w:szCs w:val="24"/>
          <w:lang w:eastAsia="zh-CN"/>
        </w:rPr>
      </w:r>
      <w:r>
        <w:rPr>
          <w:rFonts w:hint="eastAsia" w:ascii="仿宋" w:hAnsi="仿宋" w:eastAsia="仿宋" w:cs="仿宋"/>
          <w:spacing w:val="-4"/>
          <w:sz w:val="24"/>
          <w:szCs w:val="24"/>
          <w:lang w:eastAsia="zh-CN"/>
        </w:rPr>
      </w:r>
    </w:p>
    <w:p>
      <w:pPr>
        <w:pStyle w:val="1013"/>
        <w:pBdr/>
        <w:spacing/>
        <w:ind/>
        <w:jc w:val="right"/>
        <w:rPr>
          <w:rFonts w:hint="eastAsia" w:ascii="仿宋" w:hAnsi="仿宋" w:eastAsia="仿宋" w:cs="仿宋"/>
          <w:lang w:eastAsia="zh-CN"/>
        </w:rPr>
      </w:pPr>
      <w:r>
        <w:rPr>
          <w:rFonts w:hint="eastAsia" w:ascii="仿宋" w:hAnsi="仿宋" w:eastAsia="仿宋" w:cs="仿宋"/>
          <w:sz w:val="20"/>
          <w:szCs w:val="20"/>
          <w:lang w:eastAsia="zh-CN"/>
        </w:rPr>
        <w:t xml:space="preserve">单位：万千瓦、亿千瓦时、小时、%</w:t>
      </w:r>
      <w:r>
        <w:rPr>
          <w:rFonts w:hint="eastAsia" w:ascii="仿宋" w:hAnsi="仿宋" w:eastAsia="仿宋" w:cs="仿宋"/>
          <w:lang w:eastAsia="zh-CN"/>
        </w:rPr>
      </w:r>
      <w:r>
        <w:rPr>
          <w:rFonts w:hint="eastAsia" w:ascii="仿宋" w:hAnsi="仿宋" w:eastAsia="仿宋" w:cs="仿宋"/>
          <w:lang w:eastAsia="zh-CN"/>
        </w:rPr>
      </w:r>
    </w:p>
    <w:tbl>
      <w:tblPr>
        <w:tblStyle w:val="1023"/>
        <w:jc w:val="center"/>
        <w:tblW w:w="9973" w:type="dxa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60"/>
        <w:gridCol w:w="834"/>
        <w:gridCol w:w="577"/>
        <w:gridCol w:w="745"/>
        <w:gridCol w:w="599"/>
        <w:gridCol w:w="846"/>
        <w:gridCol w:w="587"/>
        <w:gridCol w:w="679"/>
        <w:gridCol w:w="640"/>
        <w:gridCol w:w="556"/>
        <w:gridCol w:w="698"/>
        <w:gridCol w:w="613"/>
        <w:gridCol w:w="684"/>
        <w:gridCol w:w="755"/>
      </w:tblGrid>
      <w:tr>
        <w:trPr>
          <w:jc w:val="center"/>
          <w:trHeight w:val="462"/>
        </w:trPr>
        <w:tc>
          <w:tcPr>
            <w:shd w:val="clear" w:color="auto" w:fill="f1f1f1" w:themeFill="background1" w:themeFillShade="F2"/>
            <w:tcBorders>
              <w:left w:val="single" w:color="auto" w:sz="6" w:space="0"/>
              <w:right w:val="single" w:color="auto" w:sz="2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val="en-US" w:eastAsia="zh-CN"/>
              </w:rPr>
              <w:t xml:space="preserve">{{fj5}}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项目名称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1"/>
                <w:szCs w:val="21"/>
                <w:lang w:val="en-US" w:eastAsia="zh-CN" w:bidi="ar-SA"/>
              </w:rPr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1"/>
                <w:szCs w:val="21"/>
                <w:lang w:val="en-US" w:eastAsia="zh-CN" w:bidi="ar-SA"/>
              </w:rPr>
            </w:r>
          </w:p>
        </w:tc>
        <w:tc>
          <w:tcPr>
            <w:shd w:val="clear" w:color="auto" w:fill="f1f1f1" w:themeFill="background1" w:themeFillShade="F2"/>
            <w:tcBorders>
              <w:left w:val="single" w:color="auto" w:sz="2" w:space="0"/>
              <w:bottom w:val="single" w:color="auto" w:sz="2" w:space="0"/>
              <w:right w:val="single" w:color="auto" w:sz="4" w:space="0"/>
            </w:tcBorders>
            <w:tcW w:w="834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装机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1"/>
                <w:szCs w:val="21"/>
                <w:lang w:val="en-US" w:eastAsia="zh-CN" w:bidi="ar-SA"/>
              </w:rPr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1"/>
                <w:szCs w:val="21"/>
                <w:lang w:val="en-US" w:eastAsia="zh-CN" w:bidi="ar-SA"/>
              </w:rPr>
            </w:r>
          </w:p>
        </w:tc>
        <w:tc>
          <w:tcPr>
            <w:shd w:val="clear" w:color="auto" w:fill="f1f1f1" w:themeFill="background1" w:themeFillShade="F2"/>
            <w:tcBorders>
              <w:left w:val="single" w:color="auto" w:sz="4" w:space="0"/>
            </w:tcBorders>
            <w:tcW w:w="577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发电量本月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/>
            <w:tcW w:w="745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发电量同比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幅度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right w:val="single" w:color="auto" w:sz="4" w:space="0"/>
            </w:tcBorders>
            <w:tcW w:w="599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发电量环比幅度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left w:val="single" w:color="auto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可利用小时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本月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/>
            <w:tcW w:w="587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可利用小时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同比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幅度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right w:val="single" w:color="auto" w:sz="4" w:space="0"/>
            </w:tcBorders>
            <w:tcW w:w="679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可利用小时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环比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幅度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left w:val="single" w:color="auto" w:sz="4" w:space="0"/>
            </w:tcBorders>
            <w:tcW w:w="640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风速本月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/>
            <w:tcW w:w="556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风速同比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幅度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right w:val="single" w:color="auto" w:sz="4" w:space="0"/>
            </w:tcBorders>
            <w:tcW w:w="698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风速环比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幅度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left w:val="single" w:color="auto" w:sz="4" w:space="0"/>
            </w:tcBorders>
            <w:tcW w:w="613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限电率本月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/>
            <w:tcW w:w="684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限电率同比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幅度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right w:val="single" w:color="auto" w:sz="4" w:space="0"/>
            </w:tcBorders>
            <w:tcW w:w="755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限电率环比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  <w:p>
            <w:pPr>
              <w:pStyle w:val="1013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 xml:space="preserve">幅度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r>
          </w:p>
        </w:tc>
      </w:tr>
      <w:tr>
        <w:trPr>
          <w:jc w:val="center"/>
          <w:trHeight w:val="454" w:hRule="exact"/>
        </w:trPr>
        <w:tc>
          <w:tcPr>
            <w:shd w:val="clear" w:color="auto" w:fill="auto"/>
            <w:tcBorders>
              <w:top w:val="single" w:color="auto" w:sz="2" w:space="0"/>
              <w:left w:val="single" w:color="auto" w:sz="6" w:space="0"/>
              <w:bottom w:val="single" w:color="auto" w:sz="2" w:space="0"/>
              <w:right w:val="single" w:color="auto" w:sz="2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[branch]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tcW w:w="8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[zj]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</w:tcBorders>
            <w:tcW w:w="5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[fdlby]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/>
            <w:tcW w:w="7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[fdltb]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[fdlhb]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[klyxsby]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/>
            <w:tcW w:w="5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[klyxstb]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6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[klyxshb]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</w:tcBorders>
            <w:tcW w:w="6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[fsby]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/>
            <w:tcW w:w="55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[fstb]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6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[fshb]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</w:tcBorders>
            <w:tcW w:w="61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[xdlby]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auto"/>
            <w:tcBorders/>
            <w:tcW w:w="6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[xdltb]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7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[xdlhb]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</w:tr>
    </w:tbl>
    <w:p>
      <w:pPr>
        <w:pBdr/>
        <w:spacing/>
        <w:ind/>
        <w:rPr>
          <w:rFonts w:hint="eastAsia" w:ascii="仿宋" w:hAnsi="仿宋" w:eastAsia="仿宋" w:cs="仿宋"/>
          <w:b/>
          <w:bCs/>
          <w:spacing w:val="-4"/>
          <w:sz w:val="24"/>
          <w:szCs w:val="24"/>
        </w:rPr>
      </w:pPr>
      <w:r/>
      <w:bookmarkStart w:id="158" w:name="_Toc4451"/>
      <w:r/>
      <w:bookmarkStart w:id="159" w:name="_Toc918"/>
      <w:r/>
      <w:bookmarkStart w:id="160" w:name="_Toc25195"/>
      <w:r/>
      <w:bookmarkStart w:id="161" w:name="_Toc30774"/>
      <w:r/>
      <w:bookmarkStart w:id="162" w:name="_Toc4097"/>
      <w:r/>
      <w:bookmarkStart w:id="163" w:name="_Toc10532"/>
      <w:r/>
      <w:bookmarkStart w:id="164" w:name="_Toc11961"/>
      <w:r>
        <w:rPr>
          <w:rFonts w:hint="eastAsia" w:ascii="仿宋" w:hAnsi="仿宋" w:eastAsia="仿宋" w:cs="仿宋"/>
          <w:b/>
          <w:bCs/>
          <w:spacing w:val="-4"/>
          <w:sz w:val="24"/>
          <w:szCs w:val="24"/>
        </w:rPr>
        <w:br w:type="page" w:clear="all"/>
      </w:r>
      <w:r>
        <w:rPr>
          <w:rFonts w:hint="eastAsia" w:ascii="仿宋" w:hAnsi="仿宋" w:eastAsia="仿宋" w:cs="仿宋"/>
          <w:b/>
          <w:bCs/>
          <w:spacing w:val="-4"/>
          <w:sz w:val="24"/>
          <w:szCs w:val="24"/>
        </w:rPr>
      </w:r>
      <w:r>
        <w:rPr>
          <w:rFonts w:hint="eastAsia" w:ascii="仿宋" w:hAnsi="仿宋" w:eastAsia="仿宋" w:cs="仿宋"/>
          <w:b/>
          <w:bCs/>
          <w:spacing w:val="-4"/>
          <w:sz w:val="24"/>
          <w:szCs w:val="24"/>
        </w:rPr>
      </w:r>
    </w:p>
    <w:p>
      <w:pPr>
        <w:pBdr/>
        <w:spacing w:before="313" w:line="221" w:lineRule="auto"/>
        <w:ind/>
        <w:outlineLvl w:val="0"/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</w:pPr>
      <w:r/>
      <w:bookmarkStart w:id="165" w:name="_Toc12924"/>
      <w:r/>
      <w:bookmarkStart w:id="166" w:name="_Toc13804"/>
      <w:r/>
      <w:bookmarkStart w:id="167" w:name="_Toc6394"/>
      <w:r/>
      <w:bookmarkStart w:id="168" w:name="_Toc28251"/>
      <w:r/>
      <w:bookmarkStart w:id="169" w:name="_Toc12325"/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  <w:t xml:space="preserve">附件6：</w:t>
      </w:r>
      <w:bookmarkEnd w:id="158"/>
      <w:r/>
      <w:bookmarkEnd w:id="159"/>
      <w:r/>
      <w:bookmarkEnd w:id="160"/>
      <w:r/>
      <w:bookmarkEnd w:id="161"/>
      <w:r/>
      <w:bookmarkEnd w:id="162"/>
      <w:r/>
      <w:bookmarkEnd w:id="163"/>
      <w:r/>
      <w:bookmarkEnd w:id="164"/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  <w:t xml:space="preserve">生产指标完成情况-光伏</w:t>
      </w:r>
      <w:bookmarkEnd w:id="165"/>
      <w:r/>
      <w:bookmarkEnd w:id="166"/>
      <w:r/>
      <w:bookmarkEnd w:id="167"/>
      <w:r/>
      <w:bookmarkEnd w:id="168"/>
      <w:r/>
      <w:bookmarkEnd w:id="169"/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</w:r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</w:r>
    </w:p>
    <w:p>
      <w:pPr>
        <w:pStyle w:val="1013"/>
        <w:pBdr/>
        <w:spacing/>
        <w:ind/>
        <w:jc w:val="right"/>
        <w:rPr>
          <w:rFonts w:hint="eastAsia" w:ascii="仿宋" w:hAnsi="仿宋" w:eastAsia="仿宋" w:cs="仿宋"/>
          <w:sz w:val="20"/>
          <w:szCs w:val="20"/>
          <w:lang w:eastAsia="zh-CN"/>
        </w:rPr>
      </w:pPr>
      <w:r>
        <w:rPr>
          <w:rFonts w:hint="eastAsia" w:ascii="仿宋" w:hAnsi="仿宋" w:eastAsia="仿宋" w:cs="仿宋"/>
          <w:sz w:val="20"/>
          <w:szCs w:val="20"/>
          <w:lang w:eastAsia="zh-CN"/>
        </w:rPr>
        <w:t xml:space="preserve">单位：万千瓦、亿千瓦时、小时、%</w:t>
      </w:r>
      <w:r>
        <w:rPr>
          <w:rFonts w:hint="eastAsia" w:ascii="仿宋" w:hAnsi="仿宋" w:eastAsia="仿宋" w:cs="仿宋"/>
          <w:sz w:val="20"/>
          <w:szCs w:val="20"/>
          <w:lang w:eastAsia="zh-CN"/>
        </w:rPr>
      </w:r>
      <w:r>
        <w:rPr>
          <w:rFonts w:hint="eastAsia" w:ascii="仿宋" w:hAnsi="仿宋" w:eastAsia="仿宋" w:cs="仿宋"/>
          <w:sz w:val="20"/>
          <w:szCs w:val="20"/>
          <w:lang w:eastAsia="zh-CN"/>
        </w:rPr>
      </w:r>
    </w:p>
    <w:tbl>
      <w:tblPr>
        <w:tblStyle w:val="1023"/>
        <w:jc w:val="center"/>
        <w:tblW w:w="10106" w:type="dxa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47"/>
        <w:gridCol w:w="720"/>
        <w:gridCol w:w="746"/>
        <w:gridCol w:w="814"/>
        <w:gridCol w:w="773"/>
        <w:gridCol w:w="627"/>
        <w:gridCol w:w="640"/>
        <w:gridCol w:w="666"/>
        <w:gridCol w:w="707"/>
        <w:gridCol w:w="667"/>
        <w:gridCol w:w="746"/>
        <w:gridCol w:w="520"/>
        <w:gridCol w:w="608"/>
        <w:gridCol w:w="725"/>
      </w:tblGrid>
      <w:tr>
        <w:trPr>
          <w:jc w:val="center"/>
          <w:trHeight w:val="462"/>
        </w:trPr>
        <w:tc>
          <w:tcPr>
            <w:shd w:val="clear" w:color="auto" w:fill="f1f1f1" w:themeFill="background1" w:themeFillShade="F2"/>
            <w:tcBorders>
              <w:top w:val="single" w:color="auto" w:sz="6" w:space="0"/>
              <w:left w:val="single" w:color="auto" w:sz="6" w:space="0"/>
              <w:right w:val="single" w:color="auto" w:sz="2" w:space="0"/>
            </w:tcBorders>
            <w:tcW w:w="114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 w:bidi="ar"/>
              </w:rPr>
              <w:t xml:space="preserve">{{fj6}}</w:t>
            </w:r>
            <w:r>
              <w:rPr>
                <w:rFonts w:hint="eastAsia" w:ascii="仿宋" w:hAnsi="仿宋" w:eastAsia="仿宋" w:cs="仿宋"/>
                <w:b/>
                <w:bCs/>
                <w:lang w:eastAsia="zh-CN" w:bidi="ar"/>
              </w:rPr>
              <w:t xml:space="preserve">光伏</w:t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auto" w:sz="6" w:space="0"/>
              <w:left w:val="single" w:color="auto" w:sz="2" w:space="0"/>
              <w:right w:val="single" w:color="auto" w:sz="4" w:space="0"/>
            </w:tcBorders>
            <w:tcW w:w="72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eastAsia="zh-CN" w:bidi="ar"/>
              </w:rPr>
              <w:t xml:space="preserve">装机</w:t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</w:p>
        </w:tc>
        <w:tc>
          <w:tcPr>
            <w:gridSpan w:val="3"/>
            <w:shd w:val="clear" w:color="auto" w:fill="f1f1f1" w:themeFill="background1" w:themeFillShade="F2"/>
            <w:tcBorders>
              <w:left w:val="single" w:color="auto" w:sz="4" w:space="0"/>
              <w:right w:val="single" w:color="auto" w:sz="4" w:space="0"/>
            </w:tcBorders>
            <w:tcW w:w="23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eastAsia="zh-CN" w:bidi="ar"/>
              </w:rPr>
              <w:t xml:space="preserve">发电量</w:t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</w:p>
        </w:tc>
        <w:tc>
          <w:tcPr>
            <w:gridSpan w:val="3"/>
            <w:shd w:val="clear" w:color="auto" w:fill="f1f1f1" w:themeFill="background1" w:themeFillShade="F2"/>
            <w:tcBorders>
              <w:left w:val="single" w:color="auto" w:sz="4" w:space="0"/>
              <w:right w:val="single" w:color="auto" w:sz="4" w:space="0"/>
            </w:tcBorders>
            <w:tcW w:w="19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eastAsia="zh-CN" w:bidi="ar"/>
              </w:rPr>
              <w:t xml:space="preserve">可利用小时</w:t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</w:p>
        </w:tc>
        <w:tc>
          <w:tcPr>
            <w:gridSpan w:val="3"/>
            <w:shd w:val="clear" w:color="auto" w:fill="f1f1f1" w:themeFill="background1" w:themeFillShade="F2"/>
            <w:tcBorders>
              <w:left w:val="single" w:color="auto" w:sz="4" w:space="0"/>
              <w:right w:val="single" w:color="auto" w:sz="4" w:space="0"/>
            </w:tcBorders>
            <w:tcW w:w="21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eastAsia="zh-CN" w:bidi="ar"/>
              </w:rPr>
              <w:t xml:space="preserve">辐照度</w:t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</w:p>
        </w:tc>
        <w:tc>
          <w:tcPr>
            <w:gridSpan w:val="3"/>
            <w:shd w:val="clear" w:color="auto" w:fill="f1f1f1" w:themeFill="background1" w:themeFillShade="F2"/>
            <w:tcBorders>
              <w:left w:val="single" w:color="auto" w:sz="4" w:space="0"/>
              <w:right w:val="single" w:color="auto" w:sz="4" w:space="0"/>
            </w:tcBorders>
            <w:tcW w:w="185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eastAsia="zh-CN" w:bidi="ar"/>
              </w:rPr>
              <w:t xml:space="preserve">限电率</w:t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f1f1f1" w:themeFill="background1" w:themeFillShade="F2"/>
            <w:tcBorders>
              <w:left w:val="single" w:color="auto" w:sz="6" w:space="0"/>
              <w:right w:val="single" w:color="auto" w:sz="2" w:space="0"/>
            </w:tcBorders>
            <w:tcW w:w="114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left w:val="single" w:color="auto" w:sz="2" w:space="0"/>
              <w:bottom w:val="single" w:color="auto" w:sz="2" w:space="0"/>
              <w:right w:val="single" w:color="auto" w:sz="4" w:space="0"/>
            </w:tcBorders>
            <w:tcW w:w="72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left w:val="single" w:color="auto" w:sz="4" w:space="0"/>
            </w:tcBorders>
            <w:tcW w:w="7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eastAsia="zh-CN" w:bidi="ar"/>
              </w:rPr>
              <w:t xml:space="preserve">本月</w:t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/>
            <w:tcW w:w="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eastAsia="zh-CN" w:bidi="ar"/>
              </w:rPr>
              <w:t xml:space="preserve">同比</w:t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right w:val="single" w:color="auto" w:sz="4" w:space="0"/>
            </w:tcBorders>
            <w:tcW w:w="77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eastAsia="zh-CN" w:bidi="ar"/>
              </w:rPr>
              <w:t xml:space="preserve">环比</w:t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left w:val="single" w:color="auto" w:sz="4" w:space="0"/>
            </w:tcBorders>
            <w:tcW w:w="6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eastAsia="zh-CN" w:bidi="ar"/>
              </w:rPr>
              <w:t xml:space="preserve">本月</w:t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/>
            <w:tcW w:w="6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eastAsia="zh-CN" w:bidi="ar"/>
              </w:rPr>
              <w:t xml:space="preserve">同比</w:t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right w:val="single" w:color="auto" w:sz="4" w:space="0"/>
            </w:tcBorders>
            <w:tcW w:w="6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eastAsia="zh-CN" w:bidi="ar"/>
              </w:rPr>
              <w:t xml:space="preserve">环比</w:t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left w:val="single" w:color="auto" w:sz="4" w:space="0"/>
            </w:tcBorders>
            <w:tcW w:w="7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eastAsia="zh-CN" w:bidi="ar"/>
              </w:rPr>
              <w:t xml:space="preserve">本月</w:t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/>
            <w:tcW w:w="6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eastAsia="zh-CN" w:bidi="ar"/>
              </w:rPr>
              <w:t xml:space="preserve">同比</w:t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right w:val="single" w:color="auto" w:sz="4" w:space="0"/>
            </w:tcBorders>
            <w:tcW w:w="7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eastAsia="zh-CN" w:bidi="ar"/>
              </w:rPr>
              <w:t xml:space="preserve">环比</w:t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left w:val="single" w:color="auto" w:sz="4" w:space="0"/>
            </w:tcBorders>
            <w:tcW w:w="5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eastAsia="zh-CN" w:bidi="ar"/>
              </w:rPr>
              <w:t xml:space="preserve">本月</w:t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/>
            <w:tcW w:w="6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eastAsia="zh-CN" w:bidi="ar"/>
              </w:rPr>
              <w:t xml:space="preserve">同比</w:t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</w:p>
        </w:tc>
        <w:tc>
          <w:tcPr>
            <w:shd w:val="clear" w:color="auto" w:fill="f1f1f1" w:themeFill="background1" w:themeFillShade="F2"/>
            <w:tcBorders>
              <w:right w:val="single" w:color="auto" w:sz="4" w:space="0"/>
            </w:tcBorders>
            <w:tcW w:w="7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eastAsia="zh-CN" w:bidi="ar"/>
              </w:rPr>
              <w:t xml:space="preserve">环比</w:t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  <w:r>
              <w:rPr>
                <w:rFonts w:hint="eastAsia" w:ascii="仿宋" w:hAnsi="仿宋" w:eastAsia="仿宋" w:cs="仿宋"/>
                <w:b/>
                <w:bCs/>
                <w:lang w:eastAsia="zh-CN"/>
              </w:rPr>
            </w:r>
          </w:p>
        </w:tc>
      </w:tr>
      <w:tr>
        <w:trPr>
          <w:jc w:val="center"/>
          <w:trHeight w:val="454" w:hRule="exact"/>
        </w:trPr>
        <w:tc>
          <w:tcPr>
            <w:shd w:val="clear" w:color="auto" w:fill="auto"/>
            <w:tcBorders>
              <w:top w:val="single" w:color="auto" w:sz="2" w:space="0"/>
              <w:left w:val="single" w:color="auto" w:sz="6" w:space="0"/>
              <w:bottom w:val="single" w:color="auto" w:sz="2" w:space="0"/>
              <w:right w:val="single" w:color="auto" w:sz="2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[branch]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[zj]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</w:tcBorders>
            <w:tcW w:w="7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[fdlby]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/>
            <w:tcW w:w="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[fdltb]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77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[fdlhb]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</w:tcBorders>
            <w:tcW w:w="6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[klyxsby]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/>
            <w:tcW w:w="6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[klyxstb]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6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[klyxshb]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</w:tcBorders>
            <w:tcW w:w="7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[fzdby]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/>
            <w:tcW w:w="6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[fzdby]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7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[fzdhb]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</w:tcBorders>
            <w:tcW w:w="5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[xdlby]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/>
            <w:tcW w:w="6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[xdltb]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7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[xdlhb]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</w:tbl>
    <w:p>
      <w:pPr>
        <w:pBdr/>
        <w:spacing/>
        <w:ind/>
        <w:rPr>
          <w:rFonts w:hint="eastAsia"/>
          <w:lang w:eastAsia="zh-CN"/>
        </w:rPr>
      </w:pPr>
      <w:r>
        <w:rPr>
          <w:rFonts w:hint="eastAsia"/>
          <w:lang w:eastAsia="zh-CN"/>
        </w:rPr>
      </w:r>
      <w:r>
        <w:rPr>
          <w:rFonts w:hint="eastAsia"/>
          <w:lang w:eastAsia="zh-CN"/>
        </w:rPr>
      </w:r>
      <w:r>
        <w:rPr>
          <w:rFonts w:hint="eastAsia"/>
          <w:lang w:eastAsia="zh-CN"/>
        </w:rPr>
      </w:r>
    </w:p>
    <w:p>
      <w:pPr>
        <w:pBdr/>
        <w:spacing/>
        <w:ind/>
        <w:rPr>
          <w:rFonts w:hint="eastAsia" w:ascii="仿宋" w:hAnsi="仿宋" w:eastAsia="仿宋" w:cs="仿宋"/>
          <w:b/>
          <w:bCs/>
          <w:spacing w:val="-4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pacing w:val="-4"/>
          <w:sz w:val="24"/>
          <w:szCs w:val="24"/>
        </w:rPr>
        <w:br w:type="page" w:clear="all"/>
      </w:r>
      <w:r>
        <w:rPr>
          <w:rFonts w:hint="eastAsia" w:ascii="仿宋" w:hAnsi="仿宋" w:eastAsia="仿宋" w:cs="仿宋"/>
          <w:b/>
          <w:bCs/>
          <w:spacing w:val="-4"/>
          <w:sz w:val="24"/>
          <w:szCs w:val="24"/>
        </w:rPr>
      </w:r>
      <w:r>
        <w:rPr>
          <w:rFonts w:hint="eastAsia" w:ascii="仿宋" w:hAnsi="仿宋" w:eastAsia="仿宋" w:cs="仿宋"/>
          <w:b/>
          <w:bCs/>
          <w:spacing w:val="-4"/>
          <w:sz w:val="24"/>
          <w:szCs w:val="24"/>
        </w:rPr>
      </w:r>
    </w:p>
    <w:p>
      <w:pPr>
        <w:pStyle w:val="1010"/>
        <w:pBdr/>
        <w:spacing w:after="0" w:before="0" w:line="240" w:lineRule="auto"/>
        <w:ind/>
        <w:rPr>
          <w:rFonts w:hint="eastAsia" w:ascii="仿宋" w:hAnsi="仿宋" w:eastAsia="仿宋" w:cs="仿宋"/>
          <w:bCs/>
          <w:lang w:eastAsia="zh-CN"/>
        </w:rPr>
      </w:pPr>
      <w:r/>
      <w:bookmarkStart w:id="170" w:name="_Toc26821"/>
      <w:r/>
      <w:bookmarkStart w:id="171" w:name="_Toc1564"/>
      <w:r/>
      <w:bookmarkStart w:id="172" w:name="_Toc5513"/>
      <w:r/>
      <w:bookmarkStart w:id="173" w:name="_Toc31128"/>
      <w:r/>
      <w:bookmarkStart w:id="174" w:name="_Toc11149"/>
      <w:r>
        <w:rPr>
          <w:rFonts w:hint="eastAsia" w:ascii="仿宋" w:hAnsi="仿宋" w:eastAsia="仿宋" w:cs="仿宋"/>
          <w:sz w:val="24"/>
          <w:szCs w:val="24"/>
          <w:lang w:eastAsia="zh-CN"/>
        </w:rPr>
        <w:t xml:space="preserve">附件7：子分公司能量利用率</w:t>
      </w:r>
      <w:bookmarkEnd w:id="170"/>
      <w:r/>
      <w:bookmarkEnd w:id="171"/>
      <w:r/>
      <w:bookmarkEnd w:id="172"/>
      <w:r/>
      <w:bookmarkEnd w:id="173"/>
      <w:r/>
      <w:bookmarkEnd w:id="174"/>
      <w:r>
        <w:rPr>
          <w:rFonts w:hint="eastAsia" w:ascii="仿宋" w:hAnsi="仿宋" w:eastAsia="仿宋" w:cs="仿宋"/>
          <w:bCs/>
          <w:lang w:eastAsia="zh-CN"/>
        </w:rPr>
      </w:r>
      <w:r>
        <w:rPr>
          <w:rFonts w:hint="eastAsia" w:ascii="仿宋" w:hAnsi="仿宋" w:eastAsia="仿宋" w:cs="仿宋"/>
          <w:bCs/>
          <w:lang w:eastAsia="zh-CN"/>
        </w:rPr>
      </w:r>
    </w:p>
    <w:p>
      <w:pPr>
        <w:pStyle w:val="1022"/>
        <w:pBdr/>
        <w:spacing/>
        <w:ind w:firstLine="0" w:left="0"/>
        <w:jc w:val="right"/>
        <w:rPr>
          <w:rFonts w:hint="eastAsia" w:ascii="仿宋" w:hAnsi="仿宋" w:eastAsia="仿宋" w:cs="仿宋"/>
          <w:spacing w:val="-4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pacing w:val="-4"/>
          <w:sz w:val="24"/>
          <w:szCs w:val="24"/>
          <w:lang w:eastAsia="zh-CN"/>
        </w:rPr>
        <w:t xml:space="preserve">单位：%</w:t>
      </w:r>
      <w:r>
        <w:rPr>
          <w:rFonts w:hint="eastAsia" w:ascii="仿宋" w:hAnsi="仿宋" w:eastAsia="仿宋" w:cs="仿宋"/>
          <w:spacing w:val="-4"/>
          <w:sz w:val="24"/>
          <w:szCs w:val="24"/>
          <w:lang w:eastAsia="zh-CN"/>
        </w:rPr>
      </w:r>
      <w:r>
        <w:rPr>
          <w:rFonts w:hint="eastAsia" w:ascii="仿宋" w:hAnsi="仿宋" w:eastAsia="仿宋" w:cs="仿宋"/>
          <w:spacing w:val="-4"/>
          <w:sz w:val="24"/>
          <w:szCs w:val="24"/>
          <w:lang w:eastAsia="zh-CN"/>
        </w:rPr>
      </w:r>
    </w:p>
    <w:tbl>
      <w:tblPr>
        <w:tblStyle w:val="1023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072"/>
        <w:gridCol w:w="2134"/>
        <w:gridCol w:w="1812"/>
        <w:gridCol w:w="1949"/>
        <w:gridCol w:w="2151"/>
      </w:tblGrid>
      <w:tr>
        <w:trPr>
          <w:trHeight w:val="510"/>
        </w:trPr>
        <w:tc>
          <w:tcPr>
            <w:shd w:val="clear" w:color="auto" w:fill="f1f1f1" w:themeFill="background1" w:themeFillShade="F2"/>
            <w:tcBorders/>
            <w:tcW w:w="1072" w:type="dxa"/>
            <w:vAlign w:val="center"/>
            <w:textDirection w:val="lrTb"/>
            <w:noWrap w:val="false"/>
          </w:tcPr>
          <w:p>
            <w:pPr>
              <w:pStyle w:val="1021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pacing w:val="-4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val="en-US" w:eastAsia="zh-CN"/>
              </w:rPr>
              <w:t xml:space="preserve">{{fj7}}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  <w:t xml:space="preserve">序号</w:t>
            </w:r>
            <w:r>
              <w:rPr>
                <w:rFonts w:hint="eastAsia" w:ascii="仿宋" w:hAnsi="仿宋" w:eastAsia="仿宋" w:cs="仿宋"/>
                <w:b/>
                <w:bCs/>
                <w:spacing w:val="-4"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pacing w:val="-4"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/>
            <w:tcW w:w="2134" w:type="dxa"/>
            <w:vAlign w:val="center"/>
            <w:textDirection w:val="lrTb"/>
            <w:noWrap w:val="false"/>
          </w:tcPr>
          <w:p>
            <w:pPr>
              <w:pStyle w:val="1021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pacing w:val="-4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  <w:t xml:space="preserve">单位</w:t>
            </w:r>
            <w:r>
              <w:rPr>
                <w:rFonts w:hint="eastAsia" w:ascii="仿宋" w:hAnsi="仿宋" w:eastAsia="仿宋" w:cs="仿宋"/>
                <w:b/>
                <w:bCs/>
                <w:spacing w:val="-4"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pacing w:val="-4"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/>
            <w:tcW w:w="1812" w:type="dxa"/>
            <w:vAlign w:val="center"/>
            <w:textDirection w:val="lrTb"/>
            <w:noWrap w:val="false"/>
          </w:tcPr>
          <w:p>
            <w:pPr>
              <w:pStyle w:val="1021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pacing w:val="-4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  <w:t xml:space="preserve">能量利用率</w:t>
            </w:r>
            <w:r>
              <w:rPr>
                <w:rFonts w:hint="eastAsia" w:ascii="仿宋" w:hAnsi="仿宋" w:eastAsia="仿宋" w:cs="仿宋"/>
                <w:b/>
                <w:bCs/>
                <w:spacing w:val="-4"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pacing w:val="-4"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/>
            <w:tcW w:w="1949" w:type="dxa"/>
            <w:vAlign w:val="center"/>
            <w:textDirection w:val="lrTb"/>
            <w:noWrap w:val="false"/>
          </w:tcPr>
          <w:p>
            <w:pPr>
              <w:pStyle w:val="1021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pacing w:val="-4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  <w:t xml:space="preserve">风电能量利用率</w:t>
            </w:r>
            <w:r>
              <w:rPr>
                <w:rFonts w:hint="eastAsia" w:ascii="仿宋" w:hAnsi="仿宋" w:eastAsia="仿宋" w:cs="仿宋"/>
                <w:b/>
                <w:bCs/>
                <w:spacing w:val="-4"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pacing w:val="-4"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/>
            <w:tcW w:w="2151" w:type="dxa"/>
            <w:vAlign w:val="center"/>
            <w:textDirection w:val="lrTb"/>
            <w:noWrap w:val="false"/>
          </w:tcPr>
          <w:p>
            <w:pPr>
              <w:pStyle w:val="1021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pacing w:val="-4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  <w:t xml:space="preserve">光伏能量利用率</w:t>
            </w:r>
            <w:r>
              <w:rPr>
                <w:rFonts w:hint="eastAsia" w:ascii="仿宋" w:hAnsi="仿宋" w:eastAsia="仿宋" w:cs="仿宋"/>
                <w:b/>
                <w:bCs/>
                <w:spacing w:val="-4"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pacing w:val="-4"/>
                <w:sz w:val="18"/>
                <w:szCs w:val="18"/>
              </w:rPr>
            </w:r>
          </w:p>
        </w:tc>
      </w:tr>
      <w:tr>
        <w:trPr>
          <w:trHeight w:val="510"/>
        </w:trPr>
        <w:tc>
          <w:tcPr>
            <w:tcBorders/>
            <w:tcW w:w="1072" w:type="dxa"/>
            <w:vAlign w:val="center"/>
            <w:textDirection w:val="lrTb"/>
            <w:noWrap w:val="false"/>
          </w:tcPr>
          <w:p>
            <w:pPr>
              <w:pStyle w:val="1021"/>
              <w:pBdr/>
              <w:spacing/>
              <w:ind/>
              <w:jc w:val="center"/>
              <w:rPr>
                <w:rFonts w:hint="default" w:ascii="仿宋" w:hAnsi="仿宋" w:eastAsia="仿宋" w:cs="仿宋"/>
                <w:b/>
                <w:bCs/>
                <w:spacing w:val="-4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4"/>
                <w:sz w:val="18"/>
                <w:szCs w:val="18"/>
                <w:lang w:val="en-US" w:eastAsia="zh-CN"/>
              </w:rPr>
              <w:t xml:space="preserve">[row]</w:t>
            </w:r>
            <w:r>
              <w:rPr>
                <w:rFonts w:hint="default" w:ascii="仿宋" w:hAnsi="仿宋" w:eastAsia="仿宋" w:cs="仿宋"/>
                <w:b/>
                <w:bCs/>
                <w:spacing w:val="-4"/>
                <w:sz w:val="18"/>
                <w:szCs w:val="18"/>
                <w:lang w:val="en-US" w:eastAsia="zh-CN"/>
              </w:rPr>
            </w:r>
            <w:r>
              <w:rPr>
                <w:rFonts w:hint="default" w:ascii="仿宋" w:hAnsi="仿宋" w:eastAsia="仿宋" w:cs="仿宋"/>
                <w:b/>
                <w:bCs/>
                <w:spacing w:val="-4"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2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b/>
                <w:bCs/>
                <w:spacing w:val="-4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4"/>
                <w:sz w:val="18"/>
                <w:szCs w:val="18"/>
                <w:lang w:val="en-US" w:eastAsia="zh-CN"/>
              </w:rPr>
              <w:t xml:space="preserve">[branch]</w:t>
            </w:r>
            <w:r>
              <w:rPr>
                <w:rFonts w:hint="default" w:ascii="仿宋" w:hAnsi="仿宋" w:eastAsia="仿宋" w:cs="仿宋"/>
                <w:b/>
                <w:bCs/>
                <w:spacing w:val="-4"/>
                <w:sz w:val="18"/>
                <w:szCs w:val="18"/>
                <w:lang w:val="en-US" w:eastAsia="zh-CN"/>
              </w:rPr>
            </w:r>
            <w:r>
              <w:rPr>
                <w:rFonts w:hint="default" w:ascii="仿宋" w:hAnsi="仿宋" w:eastAsia="仿宋" w:cs="仿宋"/>
                <w:b/>
                <w:bCs/>
                <w:spacing w:val="-4"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18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[lllyl]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tcBorders/>
            <w:tcW w:w="194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[fdlllly]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tcBorders/>
            <w:tcW w:w="21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[gflllyl]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</w:tr>
      <w:tr>
        <w:trPr>
          <w:trHeight w:val="510"/>
        </w:trPr>
        <w:tc>
          <w:tcPr>
            <w:gridSpan w:val="2"/>
            <w:tcBorders/>
            <w:tcW w:w="3206" w:type="dxa"/>
            <w:vAlign w:val="center"/>
            <w:textDirection w:val="lrTb"/>
            <w:noWrap w:val="false"/>
          </w:tcPr>
          <w:p>
            <w:pPr>
              <w:pStyle w:val="1021"/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pacing w:val="-4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  <w:t xml:space="preserve">合计</w:t>
            </w:r>
            <w:r>
              <w:rPr>
                <w:rFonts w:hint="eastAsia" w:ascii="仿宋" w:hAnsi="仿宋" w:eastAsia="仿宋" w:cs="仿宋"/>
                <w:b/>
                <w:bCs/>
                <w:spacing w:val="-4"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pacing w:val="-4"/>
                <w:sz w:val="18"/>
                <w:szCs w:val="18"/>
              </w:rPr>
            </w:r>
          </w:p>
        </w:tc>
        <w:tc>
          <w:tcPr>
            <w:tcBorders/>
            <w:tcW w:w="1812" w:type="dxa"/>
            <w:vAlign w:val="center"/>
            <w:textDirection w:val="lrTb"/>
            <w:noWrap w:val="false"/>
          </w:tcPr>
          <w:p>
            <w:pPr>
              <w:pStyle w:val="1021"/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 xml:space="preserve">88.87</w:t>
            </w:r>
            <w:r>
              <w:rPr>
                <w:rFonts w:hint="eastAsia" w:ascii="仿宋" w:hAnsi="仿宋" w:eastAsia="仿宋" w:cs="仿宋"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</w:rPr>
            </w:r>
          </w:p>
        </w:tc>
        <w:tc>
          <w:tcPr>
            <w:tcBorders/>
            <w:tcW w:w="1949" w:type="dxa"/>
            <w:vAlign w:val="center"/>
            <w:textDirection w:val="lrTb"/>
            <w:noWrap w:val="false"/>
          </w:tcPr>
          <w:p>
            <w:pPr>
              <w:pStyle w:val="1021"/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 xml:space="preserve">88.49</w:t>
            </w:r>
            <w:r>
              <w:rPr>
                <w:rFonts w:hint="eastAsia" w:ascii="仿宋" w:hAnsi="仿宋" w:eastAsia="仿宋" w:cs="仿宋"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</w:rPr>
            </w:r>
          </w:p>
        </w:tc>
        <w:tc>
          <w:tcPr>
            <w:tcBorders/>
            <w:tcW w:w="2151" w:type="dxa"/>
            <w:vAlign w:val="center"/>
            <w:textDirection w:val="lrTb"/>
            <w:noWrap w:val="false"/>
          </w:tcPr>
          <w:p>
            <w:pPr>
              <w:pStyle w:val="1021"/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 xml:space="preserve">91.67</w:t>
            </w:r>
            <w:r>
              <w:rPr>
                <w:rFonts w:hint="eastAsia" w:ascii="仿宋" w:hAnsi="仿宋" w:eastAsia="仿宋" w:cs="仿宋"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</w:rPr>
            </w:r>
          </w:p>
        </w:tc>
      </w:tr>
    </w:tbl>
    <w:p>
      <w:pPr>
        <w:pBdr/>
        <w:spacing/>
        <w:ind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br w:type="page" w:clear="all"/>
      </w:r>
      <w:r>
        <w:rPr>
          <w:rFonts w:hint="eastAsia" w:ascii="仿宋" w:hAnsi="仿宋" w:eastAsia="仿宋" w:cs="仿宋"/>
          <w:sz w:val="24"/>
          <w:szCs w:val="24"/>
          <w:lang w:eastAsia="zh-CN"/>
        </w:rPr>
      </w:r>
      <w:r>
        <w:rPr>
          <w:rFonts w:hint="eastAsia" w:ascii="仿宋" w:hAnsi="仿宋" w:eastAsia="仿宋" w:cs="仿宋"/>
          <w:sz w:val="24"/>
          <w:szCs w:val="24"/>
          <w:lang w:eastAsia="zh-CN"/>
        </w:rPr>
      </w:r>
    </w:p>
    <w:p>
      <w:pPr>
        <w:pStyle w:val="1010"/>
        <w:pBdr/>
        <w:spacing w:after="0" w:before="0" w:line="240" w:lineRule="auto"/>
        <w:ind/>
        <w:rPr>
          <w:rFonts w:hint="eastAsia" w:ascii="仿宋" w:hAnsi="仿宋" w:eastAsia="仿宋" w:cs="仿宋"/>
          <w:sz w:val="24"/>
          <w:szCs w:val="24"/>
          <w:lang w:eastAsia="zh-CN"/>
        </w:rPr>
      </w:pPr>
      <w:r/>
      <w:bookmarkStart w:id="175" w:name="_Toc6866"/>
      <w:r/>
      <w:bookmarkStart w:id="176" w:name="_Toc7292"/>
      <w:r/>
      <w:bookmarkStart w:id="177" w:name="_Toc11709"/>
      <w:r/>
      <w:bookmarkStart w:id="178" w:name="_Toc1692"/>
      <w:r/>
      <w:bookmarkStart w:id="179" w:name="_Toc26650"/>
      <w:r>
        <w:rPr>
          <w:rFonts w:hint="eastAsia" w:ascii="仿宋" w:hAnsi="仿宋" w:eastAsia="仿宋" w:cs="仿宋"/>
          <w:sz w:val="24"/>
          <w:szCs w:val="24"/>
          <w:lang w:eastAsia="zh-CN"/>
        </w:rPr>
        <w:t xml:space="preserve">附件8：子分公司输变电故障统计</w:t>
      </w:r>
      <w:bookmarkEnd w:id="175"/>
      <w:r/>
      <w:bookmarkEnd w:id="176"/>
      <w:r/>
      <w:bookmarkEnd w:id="177"/>
      <w:r/>
      <w:bookmarkEnd w:id="178"/>
      <w:r/>
      <w:bookmarkEnd w:id="179"/>
      <w:r>
        <w:rPr>
          <w:rFonts w:hint="eastAsia" w:ascii="仿宋" w:hAnsi="仿宋" w:eastAsia="仿宋" w:cs="仿宋"/>
          <w:sz w:val="24"/>
          <w:szCs w:val="24"/>
          <w:lang w:eastAsia="zh-CN"/>
        </w:rPr>
      </w:r>
      <w:r>
        <w:rPr>
          <w:rFonts w:hint="eastAsia" w:ascii="仿宋" w:hAnsi="仿宋" w:eastAsia="仿宋" w:cs="仿宋"/>
          <w:sz w:val="24"/>
          <w:szCs w:val="24"/>
          <w:lang w:eastAsia="zh-CN"/>
        </w:rPr>
      </w:r>
    </w:p>
    <w:p>
      <w:pPr>
        <w:pBdr/>
        <w:spacing/>
        <w:ind/>
        <w:jc w:val="right"/>
        <w:rPr>
          <w:rFonts w:hint="eastAsia" w:ascii="仿宋" w:hAnsi="仿宋" w:eastAsia="仿宋" w:cs="仿宋"/>
          <w:lang w:eastAsia="zh-CN"/>
        </w:rPr>
      </w:pPr>
      <w:r>
        <w:rPr>
          <w:rFonts w:hint="eastAsia" w:ascii="仿宋" w:hAnsi="仿宋" w:eastAsia="仿宋" w:cs="仿宋"/>
          <w:lang w:eastAsia="zh-CN"/>
        </w:rPr>
        <w:t xml:space="preserve">单位：万千瓦、小时、万千瓦时</w:t>
      </w:r>
      <w:r>
        <w:rPr>
          <w:rFonts w:hint="eastAsia" w:ascii="仿宋" w:hAnsi="仿宋" w:eastAsia="仿宋" w:cs="仿宋"/>
          <w:lang w:eastAsia="zh-CN"/>
        </w:rPr>
      </w:r>
      <w:r>
        <w:rPr>
          <w:rFonts w:hint="eastAsia" w:ascii="仿宋" w:hAnsi="仿宋" w:eastAsia="仿宋" w:cs="仿宋"/>
          <w:lang w:eastAsia="zh-CN"/>
        </w:rPr>
      </w:r>
    </w:p>
    <w:tbl>
      <w:tblPr>
        <w:tblStyle w:val="1012"/>
        <w:tblInd w:w="0" w:type="dxa"/>
        <w:tblW w:w="4996" w:type="pct"/>
        <w:tblCellMar>
          <w:left w:w="108" w:type="dxa"/>
          <w:top w:w="0" w:type="dxa"/>
          <w:right w:w="108" w:type="dxa"/>
          <w:bottom w:w="0" w:type="dxa"/>
        </w:tblCellMar>
        <w:tblBorders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717"/>
        <w:gridCol w:w="938"/>
        <w:gridCol w:w="1004"/>
        <w:gridCol w:w="1265"/>
        <w:gridCol w:w="2670"/>
        <w:gridCol w:w="902"/>
        <w:gridCol w:w="791"/>
        <w:gridCol w:w="824"/>
      </w:tblGrid>
      <w:tr>
        <w:trPr>
          <w:trHeight w:val="1152"/>
        </w:trPr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3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val="en-US" w:eastAsia="zh-CN" w:bidi="ar"/>
              </w:rPr>
              <w:t xml:space="preserve">{{fj8}}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序号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分公司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场站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停运设备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6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停电原因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受影响容量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停电时长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损失电量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</w:tr>
      <w:tr>
        <w:trPr>
          <w:trHeight w:val="940"/>
        </w:trPr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3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 xml:space="preserve">[row]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[branch]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[site]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[tysb]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6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[reason]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[syxrl]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[tdsc]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[ssdl]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</w:tr>
    </w:tbl>
    <w:p>
      <w:pPr>
        <w:pStyle w:val="1010"/>
        <w:pBdr/>
        <w:spacing w:after="0" w:before="0" w:line="240" w:lineRule="auto"/>
        <w:ind/>
        <w:rPr>
          <w:rFonts w:hint="eastAsia" w:ascii="仿宋" w:hAnsi="仿宋" w:eastAsia="仿宋" w:cs="仿宋"/>
          <w:sz w:val="24"/>
          <w:szCs w:val="24"/>
          <w:lang w:eastAsia="zh-CN"/>
        </w:rPr>
      </w:pPr>
      <w:r/>
      <w:bookmarkStart w:id="180" w:name="_Toc26595"/>
      <w:r/>
      <w:bookmarkStart w:id="181" w:name="_Toc15581"/>
      <w:r/>
      <w:bookmarkStart w:id="182" w:name="_Toc20579"/>
      <w:r/>
      <w:bookmarkStart w:id="183" w:name="_Toc31969"/>
      <w:r/>
      <w:bookmarkStart w:id="184" w:name="_Toc7339"/>
      <w:r>
        <w:rPr>
          <w:rFonts w:hint="eastAsia" w:ascii="仿宋" w:hAnsi="仿宋" w:eastAsia="仿宋" w:cs="仿宋"/>
          <w:sz w:val="24"/>
          <w:szCs w:val="24"/>
          <w:lang w:eastAsia="zh-CN"/>
        </w:rPr>
        <w:t xml:space="preserve">附件9：子分公司输变电计划停运统计</w:t>
      </w:r>
      <w:bookmarkEnd w:id="180"/>
      <w:r/>
      <w:bookmarkEnd w:id="181"/>
      <w:r/>
      <w:bookmarkEnd w:id="182"/>
      <w:r/>
      <w:bookmarkEnd w:id="183"/>
      <w:r/>
      <w:bookmarkEnd w:id="184"/>
      <w:r>
        <w:rPr>
          <w:rFonts w:hint="eastAsia" w:ascii="仿宋" w:hAnsi="仿宋" w:eastAsia="仿宋" w:cs="仿宋"/>
          <w:sz w:val="24"/>
          <w:szCs w:val="24"/>
          <w:lang w:eastAsia="zh-CN"/>
        </w:rPr>
      </w:r>
      <w:r>
        <w:rPr>
          <w:rFonts w:hint="eastAsia" w:ascii="仿宋" w:hAnsi="仿宋" w:eastAsia="仿宋" w:cs="仿宋"/>
          <w:sz w:val="24"/>
          <w:szCs w:val="24"/>
          <w:lang w:eastAsia="zh-CN"/>
        </w:rPr>
      </w:r>
    </w:p>
    <w:p>
      <w:pPr>
        <w:pBdr/>
        <w:spacing/>
        <w:ind/>
        <w:jc w:val="right"/>
        <w:rPr>
          <w:rFonts w:hint="eastAsia" w:ascii="仿宋" w:hAnsi="仿宋" w:eastAsia="仿宋" w:cs="仿宋"/>
          <w:lang w:eastAsia="zh-CN"/>
        </w:rPr>
      </w:pPr>
      <w:r>
        <w:rPr>
          <w:rFonts w:hint="eastAsia" w:ascii="仿宋" w:hAnsi="仿宋" w:eastAsia="仿宋" w:cs="仿宋"/>
          <w:lang w:eastAsia="zh-CN"/>
        </w:rPr>
        <w:t xml:space="preserve">单位：万千瓦、小时、万千瓦时</w:t>
      </w:r>
      <w:r>
        <w:rPr>
          <w:rFonts w:hint="eastAsia" w:ascii="仿宋" w:hAnsi="仿宋" w:eastAsia="仿宋" w:cs="仿宋"/>
          <w:lang w:eastAsia="zh-CN"/>
        </w:rPr>
      </w:r>
      <w:r>
        <w:rPr>
          <w:rFonts w:hint="eastAsia" w:ascii="仿宋" w:hAnsi="仿宋" w:eastAsia="仿宋" w:cs="仿宋"/>
          <w:lang w:eastAsia="zh-CN"/>
        </w:rPr>
      </w:r>
    </w:p>
    <w:tbl>
      <w:tblPr>
        <w:tblStyle w:val="1012"/>
        <w:tblInd w:w="0" w:type="dxa"/>
        <w:tblW w:w="4996" w:type="pct"/>
        <w:tblCellMar>
          <w:left w:w="108" w:type="dxa"/>
          <w:top w:w="0" w:type="dxa"/>
          <w:right w:w="108" w:type="dxa"/>
          <w:bottom w:w="0" w:type="dxa"/>
        </w:tblCellMar>
        <w:tblBorders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60"/>
        <w:gridCol w:w="788"/>
        <w:gridCol w:w="847"/>
        <w:gridCol w:w="1223"/>
        <w:gridCol w:w="3010"/>
        <w:gridCol w:w="1066"/>
        <w:gridCol w:w="984"/>
        <w:gridCol w:w="733"/>
      </w:tblGrid>
      <w:tr>
        <w:trPr/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val="en-US" w:eastAsia="zh-CN" w:bidi="ar"/>
              </w:rPr>
              <w:t xml:space="preserve">{fj9}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序号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分公司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场站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停运设备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停电原因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受影响容量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停电时长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损失电量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 xml:space="preserve">[row]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[branch]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[site]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[tysb]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[reason]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[syxrl]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0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[tdsc]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[ssdl]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</w:tr>
    </w:tbl>
    <w:p>
      <w:pPr>
        <w:pBdr/>
        <w:spacing/>
        <w:ind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br w:type="page" w:clear="all"/>
      </w:r>
      <w:r>
        <w:rPr>
          <w:rFonts w:hint="eastAsia" w:ascii="仿宋" w:hAnsi="仿宋" w:eastAsia="仿宋" w:cs="仿宋"/>
          <w:sz w:val="24"/>
          <w:szCs w:val="24"/>
          <w:lang w:eastAsia="zh-CN"/>
        </w:rPr>
      </w:r>
      <w:r>
        <w:rPr>
          <w:rFonts w:hint="eastAsia" w:ascii="仿宋" w:hAnsi="仿宋" w:eastAsia="仿宋" w:cs="仿宋"/>
          <w:sz w:val="24"/>
          <w:szCs w:val="24"/>
          <w:lang w:eastAsia="zh-CN"/>
        </w:rPr>
      </w:r>
    </w:p>
    <w:p>
      <w:pPr>
        <w:pStyle w:val="1010"/>
        <w:pBdr/>
        <w:spacing w:after="0" w:before="0" w:line="240" w:lineRule="auto"/>
        <w:ind/>
        <w:rPr>
          <w:rFonts w:hint="eastAsia" w:ascii="仿宋" w:hAnsi="仿宋" w:eastAsia="仿宋" w:cs="仿宋"/>
          <w:sz w:val="24"/>
          <w:szCs w:val="24"/>
          <w:lang w:eastAsia="zh-CN"/>
        </w:rPr>
      </w:pPr>
      <w:r/>
      <w:bookmarkStart w:id="185" w:name="_Toc10243"/>
      <w:r/>
      <w:bookmarkStart w:id="186" w:name="_Toc7357"/>
      <w:r/>
      <w:bookmarkStart w:id="187" w:name="_Toc18793"/>
      <w:r/>
      <w:bookmarkStart w:id="188" w:name="_Toc14787"/>
      <w:r/>
      <w:bookmarkStart w:id="189" w:name="_Toc31716"/>
      <w:r>
        <w:rPr>
          <w:rFonts w:hint="eastAsia" w:ascii="仿宋" w:hAnsi="仿宋" w:eastAsia="仿宋" w:cs="仿宋"/>
          <w:sz w:val="24"/>
          <w:szCs w:val="24"/>
          <w:lang w:eastAsia="zh-CN"/>
        </w:rPr>
        <w:t xml:space="preserve">附件10：</w:t>
      </w:r>
      <w:bookmarkEnd w:id="185"/>
      <w:r>
        <w:rPr>
          <w:rFonts w:hint="eastAsia" w:ascii="仿宋" w:hAnsi="仿宋" w:eastAsia="仿宋" w:cs="仿宋"/>
          <w:sz w:val="24"/>
          <w:szCs w:val="24"/>
          <w:lang w:eastAsia="zh-CN"/>
        </w:rPr>
        <w:t xml:space="preserve">场站预警闭环统计表</w:t>
      </w:r>
      <w:bookmarkEnd w:id="186"/>
      <w:r/>
      <w:bookmarkEnd w:id="187"/>
      <w:r/>
      <w:bookmarkEnd w:id="188"/>
      <w:r/>
      <w:bookmarkEnd w:id="189"/>
      <w:r>
        <w:rPr>
          <w:rFonts w:hint="eastAsia" w:ascii="仿宋" w:hAnsi="仿宋" w:eastAsia="仿宋" w:cs="仿宋"/>
          <w:sz w:val="24"/>
          <w:szCs w:val="24"/>
          <w:lang w:eastAsia="zh-CN"/>
        </w:rPr>
      </w:r>
      <w:r>
        <w:rPr>
          <w:rFonts w:hint="eastAsia" w:ascii="仿宋" w:hAnsi="仿宋" w:eastAsia="仿宋" w:cs="仿宋"/>
          <w:sz w:val="24"/>
          <w:szCs w:val="24"/>
          <w:lang w:eastAsia="zh-CN"/>
        </w:rPr>
      </w:r>
    </w:p>
    <w:p>
      <w:pPr>
        <w:pBdr/>
        <w:spacing/>
        <w:ind/>
        <w:jc w:val="right"/>
        <w:rPr>
          <w:rFonts w:hint="eastAsia" w:ascii="仿宋" w:hAnsi="仿宋" w:eastAsia="仿宋" w:cs="仿宋"/>
          <w:lang w:eastAsia="zh-CN"/>
        </w:rPr>
      </w:pPr>
      <w:r>
        <w:rPr>
          <w:rFonts w:hint="eastAsia" w:ascii="仿宋" w:hAnsi="仿宋" w:eastAsia="仿宋" w:cs="仿宋"/>
          <w:sz w:val="18"/>
          <w:szCs w:val="18"/>
          <w:lang w:eastAsia="zh-CN"/>
        </w:rPr>
        <w:t xml:space="preserve">单位：条、天、%</w:t>
      </w:r>
      <w:r>
        <w:rPr>
          <w:rFonts w:hint="eastAsia" w:ascii="仿宋" w:hAnsi="仿宋" w:eastAsia="仿宋" w:cs="仿宋"/>
          <w:lang w:eastAsia="zh-CN"/>
        </w:rPr>
      </w:r>
      <w:r>
        <w:rPr>
          <w:rFonts w:hint="eastAsia" w:ascii="仿宋" w:hAnsi="仿宋" w:eastAsia="仿宋" w:cs="仿宋"/>
          <w:lang w:eastAsia="zh-CN"/>
        </w:rPr>
      </w:r>
    </w:p>
    <w:tbl>
      <w:tblPr>
        <w:tblStyle w:val="1012"/>
        <w:jc w:val="center"/>
        <w:tblW w:w="5000" w:type="pct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14"/>
        <w:gridCol w:w="1088"/>
        <w:gridCol w:w="2731"/>
        <w:gridCol w:w="1360"/>
        <w:gridCol w:w="1907"/>
        <w:gridCol w:w="1218"/>
      </w:tblGrid>
      <w:tr>
        <w:trPr>
          <w:jc w:val="center"/>
          <w:trHeight w:val="648"/>
        </w:trPr>
        <w:tc>
          <w:tcPr>
            <w:shd w:val="clear" w:color="auto" w:fill="f1f1f1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2"/>
                <w:szCs w:val="22"/>
                <w:lang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  <w:lang w:val="en-US" w:eastAsia="zh-CN" w:bidi="ar"/>
              </w:rPr>
              <w:t xml:space="preserve">{{fj10}}</w:t>
            </w: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  <w:lang w:eastAsia="zh-CN" w:bidi="ar"/>
              </w:rPr>
              <w:t xml:space="preserve">序号</w:t>
            </w: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  <w:lang w:eastAsia="zh-CN" w:bidi="ar"/>
              </w:rPr>
            </w: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  <w:lang w:eastAsia="zh-CN" w:bidi="ar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  <w:lang w:eastAsia="zh-CN" w:bidi="ar"/>
              </w:rPr>
              <w:t xml:space="preserve">分公司</w:t>
            </w: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</w:rPr>
            </w: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97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  <w:lang w:eastAsia="zh-CN" w:bidi="ar"/>
              </w:rPr>
              <w:t xml:space="preserve">场站</w:t>
            </w: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</w:rPr>
            </w: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  <w:lang w:eastAsia="zh-CN" w:bidi="ar"/>
              </w:rPr>
              <w:t xml:space="preserve">预警数量</w:t>
            </w: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</w:rPr>
            </w: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4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  <w:lang w:eastAsia="zh-CN" w:bidi="ar"/>
              </w:rPr>
              <w:t xml:space="preserve">平均闭环时长</w:t>
            </w: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</w:rPr>
            </w: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7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  <w:lang w:eastAsia="zh-CN" w:bidi="ar"/>
              </w:rPr>
              <w:t xml:space="preserve">闭环率</w:t>
            </w: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</w:rPr>
            </w: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</w:rPr>
            </w:r>
          </w:p>
        </w:tc>
      </w:tr>
      <w:tr>
        <w:trPr>
          <w:jc w:val="center"/>
          <w:trHeight w:val="312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6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[row]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6" w:type="pct"/>
            <w:vAlign w:val="bottom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[branch]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97" w:type="pct"/>
            <w:vAlign w:val="bottom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[site]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5" w:type="pct"/>
            <w:vAlign w:val="bottom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[num]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45" w:type="pct"/>
            <w:vAlign w:val="bottom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[pjbhsc]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7" w:type="pct"/>
            <w:vAlign w:val="bottom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 xml:space="preserve">[bhl]</w:t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r>
          </w:p>
        </w:tc>
      </w:tr>
    </w:tbl>
    <w:p>
      <w:pPr>
        <w:pBdr/>
        <w:spacing/>
        <w:ind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br w:type="page" w:clear="all"/>
      </w:r>
      <w:r>
        <w:rPr>
          <w:rFonts w:hint="eastAsia" w:ascii="仿宋" w:hAnsi="仿宋" w:eastAsia="仿宋" w:cs="仿宋"/>
          <w:sz w:val="24"/>
          <w:szCs w:val="24"/>
          <w:lang w:eastAsia="zh-CN"/>
        </w:rPr>
      </w:r>
      <w:r>
        <w:rPr>
          <w:rFonts w:hint="eastAsia" w:ascii="仿宋" w:hAnsi="仿宋" w:eastAsia="仿宋" w:cs="仿宋"/>
          <w:sz w:val="24"/>
          <w:szCs w:val="24"/>
          <w:lang w:eastAsia="zh-CN"/>
        </w:rPr>
      </w:r>
    </w:p>
    <w:p>
      <w:pPr>
        <w:pStyle w:val="1010"/>
        <w:pBdr/>
        <w:spacing w:after="0" w:before="0" w:line="240" w:lineRule="auto"/>
        <w:ind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 xml:space="preserve">附件11：月度存在问题统计表</w:t>
      </w:r>
      <w:r>
        <w:rPr>
          <w:rFonts w:hint="eastAsia" w:ascii="仿宋" w:hAnsi="仿宋" w:eastAsia="仿宋" w:cs="仿宋"/>
          <w:sz w:val="24"/>
          <w:szCs w:val="24"/>
          <w:lang w:eastAsia="zh-CN"/>
        </w:rPr>
      </w:r>
      <w:r>
        <w:rPr>
          <w:rFonts w:hint="eastAsia" w:ascii="仿宋" w:hAnsi="仿宋" w:eastAsia="仿宋" w:cs="仿宋"/>
          <w:sz w:val="24"/>
          <w:szCs w:val="24"/>
          <w:lang w:eastAsia="zh-CN"/>
        </w:rPr>
      </w:r>
    </w:p>
    <w:tbl>
      <w:tblPr>
        <w:tblStyle w:val="1012"/>
        <w:tblInd w:w="0" w:type="dxa"/>
        <w:tblW w:w="4998" w:type="pct"/>
        <w:tblCellMar>
          <w:left w:w="108" w:type="dxa"/>
          <w:top w:w="0" w:type="dxa"/>
          <w:right w:w="108" w:type="dxa"/>
          <w:bottom w:w="0" w:type="dxa"/>
        </w:tblCellMar>
        <w:tblBorders/>
        <w:tblLayout w:type="autofit"/>
        <w:tblLook w:val="04A0" w:firstRow="1" w:lastRow="0" w:firstColumn="1" w:lastColumn="0" w:noHBand="0" w:noVBand="1"/>
      </w:tblPr>
      <w:tblGrid>
        <w:gridCol w:w="696"/>
        <w:gridCol w:w="1184"/>
        <w:gridCol w:w="5230"/>
        <w:gridCol w:w="2004"/>
      </w:tblGrid>
      <w:tr>
        <w:trPr>
          <w:trHeight w:val="567"/>
        </w:trPr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序号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子分公司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存在问题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  <w:t xml:space="preserve">备注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57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1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山东分公司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本月光伏利用小时66.31小时，投资公司最低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投资公司光伏利用小时96.7小时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57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2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山东成山甲风电场荣成一期A07号风机，停机309小时，投资公司单次故障时长最长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3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山东公司13台风机本月故障次数超过10次，占比30.95%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投资公司共计42台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57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4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山东新户风电场A18号风机本月发生“高速泵过流保护器动作”故障7次，A20号风机发生“高速泵过流保护器动作”故障6次，注意重复故障处理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5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河北分公司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杏花山风电场、摩天岭风电场发电计划完成率不足80%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6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摩天岭风电场、冰峰风电场限电率同比增长超过16个百分点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57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7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冰峰风电场发生2次无功补偿装置故障，其中一次故障时间113.8小时，故障处理时间长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57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8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捷地减河风电场、冰峰风电场WPI低于80%，损失电量最高，占投资公司性能损失的67.59%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9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恒泰风电场太平沟15号风机单次计划停机1157小时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10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本月计划停机超过10次的风机共计91台，占比59.48%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投资公司共计153台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57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11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本月长停时长1194.22小时，损失电量 299.3万千瓦时，占比均为投资公司最高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12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本月综合场用电率同比增长14.3%，环比增长3.38%，且已连续3月环比增长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57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13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冰峰风电场综合场用电量385.45万千瓦时，同比增长123.2%，且已连续5月环比增长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14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河北霞城风电场综合场用电量387.67万千瓦时，连续6月环比增长。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15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蒙西分公司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光伏利用小时113.01小时，环比降幅16%，同比降幅25%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16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本月17台风机本月故障次数超过10次，占比40.48%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投资公司共计42台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17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金威风储电站限电率同比增长15.51个百分点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57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18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江苏（浙江、福建）分公司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本月利用小时184小时，本月平均风速同比增长0.18m/s的情况下，利用小时同比降低8小时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19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本月计划停运3.81台次，环比增长1.58台次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57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20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本月综合场用电率环比增幅75.09%，综合场用电量环比增加414.52万千瓦时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21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蒙东分公司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本月计划停机超过10次的风机共计</w:t>
            </w:r>
            <w:r>
              <w:rPr>
                <w:rFonts w:ascii="仿宋" w:hAnsi="仿宋" w:eastAsia="仿宋" w:cs="仿宋"/>
                <w:sz w:val="18"/>
                <w:szCs w:val="18"/>
                <w:lang w:eastAsia="zh-CN" w:bidi="ar"/>
              </w:rPr>
              <w:t xml:space="preserve">42台，占比27.45%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投资公司共计153台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22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杭盖风电场限电率同比增长超过17.06个百分点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23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吉林分公司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本月发电计划完成率75.43%，完成率排名21名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24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本月风电利用小时150小时，环比降幅29%，同比降幅38%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57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25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河南（江西）分公司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本月发电计划偏差率89.47%，偏差率排名22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26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辽宁分公司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辽中风电场35402风机单次计划停机824小时，停运时间长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57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27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海南分公司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本月光伏利用小时70小时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投资公司光伏利用小时96.7小时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28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本月限电率环比增长9个百分点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29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黑龙江分公司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本月发电计划完成率66.69%，国内完成率最低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57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30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本月利用小时86小时，环比降幅53%，同比降幅43%，风电利用小时投资公司最低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投资公司风电利用小时189小时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31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本月限电率同比增长15.62个百分点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57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32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本月台均故障次数3.63台次，同比增幅22.94%，环比增幅7.49%，台均故障时长5.02小时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57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33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广东分公司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本月利用小时106小时，偏低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投资公司风电利用小时189小时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34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天津分公司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本月限电率同比增长12.29个百分点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35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北大港风电场全站停电未提报月度停电检修计划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加强计划管理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36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甘肃（青海）分公司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本月发电计划偏差率168%，投资公司最高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未考虑新项目的投产情况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37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甘肃公司限电率持续高位，本月限电率20.86%，投资公司最高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38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能源公司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本月发电计划偏差率83.8%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57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39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京都公司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本月光伏利用小时76小时，偏低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投资公司光伏利用小时96.7小时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40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欧洲公司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  <w:t xml:space="preserve">本月发电计划完成率63.8%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 w:bidi="ar"/>
              </w:rPr>
            </w:r>
          </w:p>
        </w:tc>
      </w:tr>
    </w:tbl>
    <w:p>
      <w:pPr>
        <w:pStyle w:val="1022"/>
        <w:pBdr/>
        <w:spacing/>
        <w:ind w:firstLine="0" w:left="0"/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</w:r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</w:r>
      <w:r>
        <w:rPr>
          <w:rFonts w:hint="eastAsia" w:ascii="仿宋" w:hAnsi="仿宋" w:eastAsia="仿宋" w:cs="仿宋"/>
          <w:b/>
          <w:bCs/>
          <w:spacing w:val="-4"/>
          <w:sz w:val="24"/>
          <w:szCs w:val="24"/>
          <w:lang w:eastAsia="zh-CN"/>
        </w:rPr>
      </w:r>
    </w:p>
    <w:sectPr>
      <w:headerReference w:type="default" r:id="rId10"/>
      <w:headerReference w:type="even" r:id="rId11"/>
      <w:headerReference w:type="first" r:id="rId12"/>
      <w:footerReference w:type="default" r:id="rId13"/>
      <w:footerReference w:type="even" r:id="rId14"/>
      <w:footerReference w:type="first" r:id="rId15"/>
      <w:footnotePr/>
      <w:endnotePr/>
      <w:type w:val="nextPage"/>
      <w:pgSz w:h="16839" w:orient="portrait" w:w="11906"/>
      <w:pgMar w:top="2098" w:right="1417" w:bottom="1984" w:left="1587" w:header="0" w:footer="867" w:gutter="0"/>
      <w:pgNumType w:fmt="numberInDash"/>
      <w:cols w:num="1" w:sep="0" w:space="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仿宋">
    <w:panose1 w:val="02020603020101020101"/>
  </w:font>
  <w:font w:name="仿宋_GB2312">
    <w:panose1 w:val="020B0603030804020204"/>
  </w:font>
  <w:font w:name="Arial">
    <w:panose1 w:val="020B0604020202020204"/>
  </w:font>
  <w:font w:name="宋体">
    <w:panose1 w:val="0202060302010102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before="1" w:line="173" w:lineRule="auto"/>
      <w:ind w:left="4243"/>
      <w:rPr>
        <w:rFonts w:ascii="Calibri" w:hAnsi="Calibri" w:eastAsia="宋体" w:cs="Calibri"/>
        <w:sz w:val="28"/>
        <w:szCs w:val="28"/>
        <w:lang w:eastAsia="zh-CN"/>
      </w:rPr>
    </w:pPr>
    <w:r>
      <w:rPr>
        <w:sz w:val="2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18"/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251659264;o:allowoverlap:true;o:allowincell:true;mso-position-horizontal-relative:margin;mso-position-horizontal:center;mso-position-vertical-relative:text;margin-top:0.00pt;mso-position-vertical:absolute;width:144.00pt;height:144.00pt;mso-wrap-distance-left:9.00pt;mso-wrap-distance-top:0.00pt;mso-wrap-distance-right:9.00pt;mso-wrap-distance-bottom:0.00pt;v-text-anchor:top;visibility:visible;" filled="f" stroked="f" strokeweight="0.50pt">
              <v:textbox inset="0,0,0,0">
                <w:txbxContent>
                  <w:p>
                    <w:pPr>
                      <w:pStyle w:val="1018"/>
                      <w:pBdr/>
                      <w:spacing/>
                      <w:ind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>
      <w:rPr>
        <w:rFonts w:ascii="Calibri" w:hAnsi="Calibri" w:eastAsia="宋体" w:cs="Calibri"/>
        <w:sz w:val="28"/>
        <w:szCs w:val="28"/>
        <w:lang w:eastAsia="zh-CN"/>
      </w:rPr>
    </w:r>
    <w:r>
      <w:rPr>
        <w:rFonts w:ascii="Calibri" w:hAnsi="Calibri" w:eastAsia="宋体" w:cs="Calibri"/>
        <w:sz w:val="28"/>
        <w:szCs w:val="28"/>
        <w:lang w:eastAsia="zh-CN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8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7"/>
      <w:pBdr/>
      <w:spacing/>
      <w:ind/>
      <w:rPr>
        <w:rFonts w:eastAsia="宋体"/>
        <w:lang w:eastAsia="zh-CN"/>
      </w:rPr>
    </w:pPr>
    <w:r>
      <w:rPr>
        <w:rFonts w:eastAsia="宋体"/>
        <w:lang w:eastAsia="zh-CN"/>
      </w:rPr>
    </w:r>
    <w:r>
      <w:rPr>
        <w:rFonts w:eastAsia="宋体"/>
        <w:lang w:eastAsia="zh-CN"/>
      </w:rPr>
    </w:r>
    <w:r>
      <w:rPr>
        <w:rFonts w:eastAsia="宋体"/>
        <w:lang w:eastAsia="zh-CN"/>
      </w:rPr>
    </w:r>
  </w:p>
  <w:p>
    <w:pPr>
      <w:pStyle w:val="1017"/>
      <w:pBdr/>
      <w:spacing/>
      <w:ind/>
      <w:rPr>
        <w:rFonts w:eastAsia="宋体"/>
        <w:lang w:eastAsia="zh-CN"/>
      </w:rPr>
    </w:pPr>
    <w:r>
      <w:rPr>
        <w:rFonts w:eastAsia="宋体"/>
        <w:lang w:eastAsia="zh-CN"/>
      </w:rPr>
    </w:r>
    <w:r>
      <w:rPr>
        <w:rFonts w:eastAsia="宋体"/>
        <w:lang w:eastAsia="zh-CN"/>
      </w:rPr>
    </w:r>
    <w:r>
      <w:rPr>
        <w:rFonts w:eastAsia="宋体"/>
        <w:lang w:eastAsia="zh-CN"/>
      </w:rPr>
    </w:r>
  </w:p>
  <w:p>
    <w:pPr>
      <w:pStyle w:val="1017"/>
      <w:pBdr/>
      <w:spacing/>
      <w:ind/>
      <w:jc w:val="left"/>
      <w:rPr>
        <w:rFonts w:eastAsia="宋体"/>
        <w:lang w:eastAsia="zh-CN"/>
      </w:rPr>
    </w:pPr>
    <w:r>
      <w:rPr>
        <w:rFonts w:eastAsia="宋体"/>
        <w:lang w:eastAsia="zh-CN"/>
      </w:rPr>
    </w:r>
    <w:r>
      <w:rPr>
        <w:rFonts w:eastAsia="宋体"/>
        <w:lang w:eastAsia="zh-CN"/>
      </w:rPr>
    </w:r>
    <w:r>
      <w:rPr>
        <w:rFonts w:eastAsia="宋体"/>
        <w:lang w:eastAsia="zh-CN"/>
      </w:rPr>
    </w:r>
  </w:p>
  <w:p>
    <w:pPr>
      <w:pStyle w:val="1017"/>
      <w:pBdr/>
      <w:spacing/>
      <w:ind/>
      <w:jc w:val="left"/>
      <w:rPr>
        <w:rFonts w:eastAsia="宋体"/>
        <w:lang w:eastAsia="zh-CN"/>
      </w:rPr>
    </w:pPr>
    <w:r>
      <w:rPr>
        <w:rFonts w:eastAsia="宋体"/>
        <w:lang w:eastAsia="zh-CN"/>
      </w:rPr>
    </w:r>
    <w:r>
      <w:rPr>
        <w:rFonts w:eastAsia="宋体"/>
        <w:lang w:eastAsia="zh-CN"/>
      </w:rPr>
    </w:r>
    <w:r>
      <w:rPr>
        <w:rFonts w:eastAsia="宋体"/>
        <w:lang w:eastAsia="zh-CN"/>
      </w:rPr>
    </w:r>
  </w:p>
  <w:p>
    <w:pPr>
      <w:pStyle w:val="1017"/>
      <w:pBdr/>
      <w:spacing/>
      <w:ind/>
      <w:jc w:val="left"/>
      <w:rPr>
        <w:rFonts w:eastAsia="宋体"/>
        <w:lang w:eastAsia="zh-CN"/>
      </w:rPr>
    </w:pPr>
    <w:r>
      <w:rPr>
        <w:rFonts w:eastAsia="宋体"/>
        <w:lang w:eastAsia="zh-CN"/>
      </w:rPr>
    </w:r>
    <w:r>
      <w:rPr>
        <w:rFonts w:eastAsia="宋体"/>
        <w:lang w:eastAsia="zh-CN"/>
      </w:rPr>
    </w:r>
    <w:r>
      <w:rPr>
        <w:rFonts w:eastAsia="宋体"/>
        <w:lang w:eastAsia="zh-C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7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、"/>
      <w:numFmt w:val="decimal"/>
      <w:pPr>
        <w:pBdr/>
        <w:spacing/>
        <w:ind/>
      </w:pPr>
      <w:rPr/>
      <w:start w:val="1"/>
      <w:suff w:val="nothing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、"/>
      <w:numFmt w:val="decimal"/>
      <w:pPr>
        <w:pBdr/>
        <w:spacing/>
        <w:ind/>
      </w:pPr>
      <w:rPr/>
      <w:start w:val="1"/>
      <w:suff w:val="nothing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、"/>
      <w:numFmt w:val="decimal"/>
      <w:pPr>
        <w:pBdr/>
        <w:spacing/>
        <w:ind/>
      </w:pPr>
      <w:rPr/>
      <w:start w:val="1"/>
      <w:suff w:val="nothing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、"/>
      <w:numFmt w:val="decimal"/>
      <w:pPr>
        <w:pBdr/>
        <w:spacing/>
        <w:ind/>
      </w:pPr>
      <w:rPr/>
      <w:start w:val="1"/>
      <w:suff w:val="nothing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%1、"/>
      <w:numFmt w:val="decimal"/>
      <w:pPr>
        <w:pBdr/>
        <w:spacing/>
        <w:ind/>
      </w:pPr>
      <w:rPr/>
      <w:start w:val="1"/>
      <w:suff w:val="nothing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%1、"/>
      <w:numFmt w:val="decimal"/>
      <w:pPr>
        <w:pBdr/>
        <w:spacing/>
        <w:ind w:left="-144"/>
      </w:pPr>
      <w:rPr/>
      <w:start w:val="1"/>
      <w:suff w:val="nothing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%1、"/>
      <w:numFmt w:val="decimal"/>
      <w:pPr>
        <w:pBdr/>
        <w:spacing/>
        <w:ind/>
      </w:pPr>
      <w:rPr/>
      <w:start w:val="1"/>
      <w:suff w:val="nothing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、"/>
      <w:numFmt w:val="decimal"/>
      <w:pPr>
        <w:pBdr/>
        <w:spacing/>
        <w:ind/>
      </w:pPr>
      <w:rPr/>
      <w:start w:val="1"/>
      <w:suff w:val="nothing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%1、"/>
      <w:numFmt w:val="decimal"/>
      <w:pPr>
        <w:pBdr/>
        <w:spacing/>
        <w:ind/>
      </w:pPr>
      <w:rPr/>
      <w:start w:val="1"/>
      <w:suff w:val="nothing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8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8">
    <w:name w:val="Table Grid Light"/>
    <w:basedOn w:val="10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Plain Table 1"/>
    <w:basedOn w:val="10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Plain Table 2"/>
    <w:basedOn w:val="10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Plain Table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Plain Table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Plain Table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1 Light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1 Light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1 Light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1 Light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1 Light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2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2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2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2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2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3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3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3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3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3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"/>
    <w:basedOn w:val="10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- Accent 1"/>
    <w:basedOn w:val="10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4 - Accent 2"/>
    <w:basedOn w:val="10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4 - Accent 3"/>
    <w:basedOn w:val="10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4 - Accent 4"/>
    <w:basedOn w:val="10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4 - Accent 5"/>
    <w:basedOn w:val="10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4 - Accent 6"/>
    <w:basedOn w:val="10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5 Dark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5 Dark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5 Dark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5 Dark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5 Dark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6 Colorful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6 Colorful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6 Colorful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6 Colorful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6 Colorful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7 Colorful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7 Colorful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7 Colorful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7 Colorful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7 Colorful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1 Light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1 Light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1 Light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1 Light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1 Light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2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2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2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2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3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3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3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3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3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4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4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4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4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5 Dark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5 Dark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5 Dark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6 Colorful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6 Colorful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6 Colorful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7 Colorful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7 Colorful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7 Colorful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ned - Accent 1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ned - Accent 2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ned - Accent 3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ned - Accent 4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ned - Accent 5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ned - Accent 6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&amp; Lined - Accent 1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&amp; Lined - Accent 2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&amp; Lined - Accent 3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&amp; Lined - Accent 4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&amp; Lined - Accent 5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&amp; Lined - Accent 6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3">
    <w:name w:val="Heading 2"/>
    <w:basedOn w:val="1009"/>
    <w:next w:val="1009"/>
    <w:link w:val="96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54">
    <w:name w:val="Heading 3"/>
    <w:basedOn w:val="1009"/>
    <w:next w:val="1009"/>
    <w:link w:val="96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55">
    <w:name w:val="Heading 4"/>
    <w:basedOn w:val="1009"/>
    <w:next w:val="1009"/>
    <w:link w:val="96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56">
    <w:name w:val="Heading 5"/>
    <w:basedOn w:val="1009"/>
    <w:next w:val="1009"/>
    <w:link w:val="96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57">
    <w:name w:val="Heading 6"/>
    <w:basedOn w:val="1009"/>
    <w:next w:val="1009"/>
    <w:link w:val="96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58">
    <w:name w:val="Heading 7"/>
    <w:basedOn w:val="1009"/>
    <w:next w:val="1009"/>
    <w:link w:val="96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9">
    <w:name w:val="Heading 8"/>
    <w:basedOn w:val="1009"/>
    <w:next w:val="1009"/>
    <w:link w:val="96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60">
    <w:name w:val="Heading 9"/>
    <w:basedOn w:val="1009"/>
    <w:next w:val="1009"/>
    <w:link w:val="97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61" w:default="1">
    <w:name w:val="No List"/>
    <w:uiPriority w:val="99"/>
    <w:semiHidden/>
    <w:unhideWhenUsed/>
    <w:pPr>
      <w:pBdr/>
      <w:spacing/>
      <w:ind/>
    </w:pPr>
  </w:style>
  <w:style w:type="character" w:styleId="962">
    <w:name w:val="Heading 1 Char"/>
    <w:basedOn w:val="1011"/>
    <w:link w:val="10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3">
    <w:name w:val="Heading 2 Char"/>
    <w:basedOn w:val="1011"/>
    <w:link w:val="9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64">
    <w:name w:val="Heading 3 Char"/>
    <w:basedOn w:val="1011"/>
    <w:link w:val="9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65">
    <w:name w:val="Heading 4 Char"/>
    <w:basedOn w:val="1011"/>
    <w:link w:val="95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66">
    <w:name w:val="Heading 5 Char"/>
    <w:basedOn w:val="1011"/>
    <w:link w:val="9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7">
    <w:name w:val="Heading 6 Char"/>
    <w:basedOn w:val="1011"/>
    <w:link w:val="9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8">
    <w:name w:val="Heading 7 Char"/>
    <w:basedOn w:val="1011"/>
    <w:link w:val="95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9">
    <w:name w:val="Heading 8 Char"/>
    <w:basedOn w:val="1011"/>
    <w:link w:val="9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0">
    <w:name w:val="Heading 9 Char"/>
    <w:basedOn w:val="1011"/>
    <w:link w:val="9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71">
    <w:name w:val="Title"/>
    <w:basedOn w:val="1009"/>
    <w:next w:val="1009"/>
    <w:link w:val="97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72">
    <w:name w:val="Title Char"/>
    <w:basedOn w:val="1011"/>
    <w:link w:val="97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73">
    <w:name w:val="Subtitle"/>
    <w:basedOn w:val="1009"/>
    <w:next w:val="1009"/>
    <w:link w:val="97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74">
    <w:name w:val="Subtitle Char"/>
    <w:basedOn w:val="1011"/>
    <w:link w:val="97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5">
    <w:name w:val="Quote"/>
    <w:basedOn w:val="1009"/>
    <w:next w:val="1009"/>
    <w:link w:val="97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6">
    <w:name w:val="Quote Char"/>
    <w:basedOn w:val="1011"/>
    <w:link w:val="97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77">
    <w:name w:val="List Paragraph"/>
    <w:basedOn w:val="1009"/>
    <w:uiPriority w:val="34"/>
    <w:qFormat/>
    <w:pPr>
      <w:pBdr/>
      <w:spacing/>
      <w:ind w:left="720"/>
      <w:contextualSpacing w:val="true"/>
    </w:pPr>
  </w:style>
  <w:style w:type="character" w:styleId="978">
    <w:name w:val="Intense Emphasis"/>
    <w:basedOn w:val="101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9">
    <w:name w:val="Intense Quote"/>
    <w:basedOn w:val="1009"/>
    <w:next w:val="1009"/>
    <w:link w:val="9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0">
    <w:name w:val="Intense Quote Char"/>
    <w:basedOn w:val="1011"/>
    <w:link w:val="9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81">
    <w:name w:val="Intense Reference"/>
    <w:basedOn w:val="101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82">
    <w:name w:val="No Spacing"/>
    <w:basedOn w:val="1009"/>
    <w:uiPriority w:val="1"/>
    <w:qFormat/>
    <w:pPr>
      <w:pBdr/>
      <w:spacing w:after="0" w:line="240" w:lineRule="auto"/>
      <w:ind/>
    </w:pPr>
  </w:style>
  <w:style w:type="character" w:styleId="983">
    <w:name w:val="Subtle Emphasis"/>
    <w:basedOn w:val="101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84">
    <w:name w:val="Emphasis"/>
    <w:basedOn w:val="1011"/>
    <w:uiPriority w:val="20"/>
    <w:qFormat/>
    <w:pPr>
      <w:pBdr/>
      <w:spacing/>
      <w:ind/>
    </w:pPr>
    <w:rPr>
      <w:i/>
      <w:iCs/>
    </w:rPr>
  </w:style>
  <w:style w:type="character" w:styleId="985">
    <w:name w:val="Strong"/>
    <w:basedOn w:val="1011"/>
    <w:uiPriority w:val="22"/>
    <w:qFormat/>
    <w:pPr>
      <w:pBdr/>
      <w:spacing/>
      <w:ind/>
    </w:pPr>
    <w:rPr>
      <w:b/>
      <w:bCs/>
    </w:rPr>
  </w:style>
  <w:style w:type="character" w:styleId="986">
    <w:name w:val="Subtle Reference"/>
    <w:basedOn w:val="101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7">
    <w:name w:val="Book Title"/>
    <w:basedOn w:val="101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88">
    <w:name w:val="Header Char"/>
    <w:basedOn w:val="1011"/>
    <w:link w:val="1017"/>
    <w:uiPriority w:val="99"/>
    <w:pPr>
      <w:pBdr/>
      <w:spacing/>
      <w:ind/>
    </w:pPr>
  </w:style>
  <w:style w:type="character" w:styleId="989">
    <w:name w:val="Footer Char"/>
    <w:basedOn w:val="1011"/>
    <w:link w:val="1018"/>
    <w:uiPriority w:val="99"/>
    <w:pPr>
      <w:pBdr/>
      <w:spacing/>
      <w:ind/>
    </w:pPr>
  </w:style>
  <w:style w:type="paragraph" w:styleId="990">
    <w:name w:val="Caption"/>
    <w:basedOn w:val="1009"/>
    <w:next w:val="10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91">
    <w:name w:val="footnote text"/>
    <w:basedOn w:val="1009"/>
    <w:link w:val="9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2">
    <w:name w:val="Footnote Text Char"/>
    <w:basedOn w:val="1011"/>
    <w:link w:val="991"/>
    <w:uiPriority w:val="99"/>
    <w:semiHidden/>
    <w:pPr>
      <w:pBdr/>
      <w:spacing/>
      <w:ind/>
    </w:pPr>
    <w:rPr>
      <w:sz w:val="20"/>
      <w:szCs w:val="20"/>
    </w:rPr>
  </w:style>
  <w:style w:type="character" w:styleId="993">
    <w:name w:val="footnote reference"/>
    <w:basedOn w:val="1011"/>
    <w:uiPriority w:val="99"/>
    <w:semiHidden/>
    <w:unhideWhenUsed/>
    <w:pPr>
      <w:pBdr/>
      <w:spacing/>
      <w:ind/>
    </w:pPr>
    <w:rPr>
      <w:vertAlign w:val="superscript"/>
    </w:rPr>
  </w:style>
  <w:style w:type="paragraph" w:styleId="994">
    <w:name w:val="endnote text"/>
    <w:basedOn w:val="1009"/>
    <w:link w:val="9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5">
    <w:name w:val="Endnote Text Char"/>
    <w:basedOn w:val="1011"/>
    <w:link w:val="994"/>
    <w:uiPriority w:val="99"/>
    <w:semiHidden/>
    <w:pPr>
      <w:pBdr/>
      <w:spacing/>
      <w:ind/>
    </w:pPr>
    <w:rPr>
      <w:sz w:val="20"/>
      <w:szCs w:val="20"/>
    </w:rPr>
  </w:style>
  <w:style w:type="character" w:styleId="996">
    <w:name w:val="endnote reference"/>
    <w:basedOn w:val="1011"/>
    <w:uiPriority w:val="99"/>
    <w:semiHidden/>
    <w:unhideWhenUsed/>
    <w:pPr>
      <w:pBdr/>
      <w:spacing/>
      <w:ind/>
    </w:pPr>
    <w:rPr>
      <w:vertAlign w:val="superscript"/>
    </w:rPr>
  </w:style>
  <w:style w:type="character" w:styleId="997">
    <w:name w:val="Hyperlink"/>
    <w:basedOn w:val="101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98">
    <w:name w:val="FollowedHyperlink"/>
    <w:basedOn w:val="101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9">
    <w:name w:val="toc 3"/>
    <w:basedOn w:val="1009"/>
    <w:next w:val="1009"/>
    <w:uiPriority w:val="39"/>
    <w:unhideWhenUsed/>
    <w:pPr>
      <w:pBdr/>
      <w:spacing w:after="100"/>
      <w:ind w:left="440"/>
    </w:pPr>
  </w:style>
  <w:style w:type="paragraph" w:styleId="1000">
    <w:name w:val="toc 4"/>
    <w:basedOn w:val="1009"/>
    <w:next w:val="1009"/>
    <w:uiPriority w:val="39"/>
    <w:unhideWhenUsed/>
    <w:pPr>
      <w:pBdr/>
      <w:spacing w:after="100"/>
      <w:ind w:left="660"/>
    </w:pPr>
  </w:style>
  <w:style w:type="paragraph" w:styleId="1001">
    <w:name w:val="toc 5"/>
    <w:basedOn w:val="1009"/>
    <w:next w:val="1009"/>
    <w:uiPriority w:val="39"/>
    <w:unhideWhenUsed/>
    <w:pPr>
      <w:pBdr/>
      <w:spacing w:after="100"/>
      <w:ind w:left="880"/>
    </w:pPr>
  </w:style>
  <w:style w:type="paragraph" w:styleId="1002">
    <w:name w:val="toc 6"/>
    <w:basedOn w:val="1009"/>
    <w:next w:val="1009"/>
    <w:uiPriority w:val="39"/>
    <w:unhideWhenUsed/>
    <w:pPr>
      <w:pBdr/>
      <w:spacing w:after="100"/>
      <w:ind w:left="1100"/>
    </w:pPr>
  </w:style>
  <w:style w:type="paragraph" w:styleId="1003">
    <w:name w:val="toc 7"/>
    <w:basedOn w:val="1009"/>
    <w:next w:val="1009"/>
    <w:uiPriority w:val="39"/>
    <w:unhideWhenUsed/>
    <w:pPr>
      <w:pBdr/>
      <w:spacing w:after="100"/>
      <w:ind w:left="1320"/>
    </w:pPr>
  </w:style>
  <w:style w:type="paragraph" w:styleId="1004">
    <w:name w:val="toc 8"/>
    <w:basedOn w:val="1009"/>
    <w:next w:val="1009"/>
    <w:uiPriority w:val="39"/>
    <w:unhideWhenUsed/>
    <w:pPr>
      <w:pBdr/>
      <w:spacing w:after="100"/>
      <w:ind w:left="1540"/>
    </w:pPr>
  </w:style>
  <w:style w:type="paragraph" w:styleId="1005">
    <w:name w:val="toc 9"/>
    <w:basedOn w:val="1009"/>
    <w:next w:val="1009"/>
    <w:uiPriority w:val="39"/>
    <w:unhideWhenUsed/>
    <w:pPr>
      <w:pBdr/>
      <w:spacing w:after="100"/>
      <w:ind w:left="1760"/>
    </w:pPr>
  </w:style>
  <w:style w:type="character" w:styleId="1006">
    <w:name w:val="Placeholder Text"/>
    <w:basedOn w:val="1011"/>
    <w:uiPriority w:val="99"/>
    <w:semiHidden/>
    <w:pPr>
      <w:pBdr/>
      <w:spacing/>
      <w:ind/>
    </w:pPr>
    <w:rPr>
      <w:color w:val="666666"/>
    </w:rPr>
  </w:style>
  <w:style w:type="paragraph" w:styleId="1007">
    <w:name w:val="TOC Heading"/>
    <w:uiPriority w:val="39"/>
    <w:unhideWhenUsed/>
    <w:pPr>
      <w:pBdr/>
      <w:spacing/>
      <w:ind/>
    </w:pPr>
  </w:style>
  <w:style w:type="paragraph" w:styleId="1008">
    <w:name w:val="table of figures"/>
    <w:basedOn w:val="1009"/>
    <w:next w:val="1009"/>
    <w:uiPriority w:val="99"/>
    <w:unhideWhenUsed/>
    <w:pPr>
      <w:pBdr/>
      <w:spacing w:after="0" w:afterAutospacing="0"/>
      <w:ind/>
    </w:pPr>
  </w:style>
  <w:style w:type="paragraph" w:styleId="1009" w:default="1">
    <w:name w:val="Normal"/>
    <w:next w:val="1013"/>
    <w:uiPriority w:val="0"/>
    <w:qFormat/>
    <w:pPr>
      <w:pBdr/>
      <w:spacing/>
      <w:ind/>
    </w:pPr>
    <w:rPr>
      <w:rFonts w:ascii="Arial" w:hAnsi="Arial" w:eastAsia="Arial" w:cs="Arial"/>
      <w:color w:val="000000"/>
      <w:sz w:val="21"/>
      <w:szCs w:val="21"/>
      <w:lang w:val="en-US" w:eastAsia="en-US" w:bidi="ar-SA"/>
    </w:rPr>
  </w:style>
  <w:style w:type="paragraph" w:styleId="1010">
    <w:name w:val="Heading 1"/>
    <w:basedOn w:val="1009"/>
    <w:next w:val="1009"/>
    <w:uiPriority w:val="0"/>
    <w:qFormat/>
    <w:pPr>
      <w:keepNext w:val="true"/>
      <w:keepLines w:val="true"/>
      <w:pBdr/>
      <w:spacing w:after="330" w:before="340" w:line="576" w:lineRule="auto"/>
      <w:ind/>
      <w:outlineLvl w:val="0"/>
    </w:pPr>
    <w:rPr>
      <w:b/>
      <w:sz w:val="44"/>
    </w:rPr>
  </w:style>
  <w:style w:type="character" w:styleId="1011" w:default="1">
    <w:name w:val="Default Paragraph Font"/>
    <w:uiPriority w:val="1"/>
    <w:semiHidden/>
    <w:unhideWhenUsed/>
    <w:qFormat/>
    <w:pPr>
      <w:pBdr/>
      <w:spacing/>
      <w:ind/>
    </w:pPr>
  </w:style>
  <w:style w:type="table" w:styleId="1012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3" w:customStyle="1">
    <w:name w:val="Index8"/>
    <w:basedOn w:val="1009"/>
    <w:next w:val="1009"/>
    <w:uiPriority w:val="0"/>
    <w:qFormat/>
    <w:pPr>
      <w:pBdr/>
      <w:spacing/>
      <w:ind/>
    </w:pPr>
    <w:rPr>
      <w:rFonts w:eastAsia="仿宋_GB2312"/>
      <w:sz w:val="32"/>
      <w:szCs w:val="24"/>
    </w:rPr>
  </w:style>
  <w:style w:type="paragraph" w:styleId="1014">
    <w:name w:val="annotation text"/>
    <w:basedOn w:val="1009"/>
    <w:uiPriority w:val="0"/>
    <w:qFormat/>
    <w:pPr>
      <w:pBdr/>
      <w:spacing/>
      <w:ind/>
    </w:pPr>
  </w:style>
  <w:style w:type="paragraph" w:styleId="1015">
    <w:name w:val="Body Text"/>
    <w:basedOn w:val="1009"/>
    <w:uiPriority w:val="0"/>
    <w:semiHidden/>
    <w:qFormat/>
    <w:pPr>
      <w:pBdr/>
      <w:spacing/>
      <w:ind/>
    </w:pPr>
    <w:rPr>
      <w:rFonts w:ascii="仿宋_GB2312" w:hAnsi="仿宋_GB2312" w:eastAsia="仿宋_GB2312" w:cs="仿宋_GB2312"/>
      <w:sz w:val="31"/>
      <w:szCs w:val="31"/>
    </w:rPr>
  </w:style>
  <w:style w:type="paragraph" w:styleId="1016">
    <w:name w:val="Body Text Indent"/>
    <w:basedOn w:val="1009"/>
    <w:next w:val="1017"/>
    <w:uiPriority w:val="99"/>
    <w:unhideWhenUsed/>
    <w:qFormat/>
    <w:pPr>
      <w:pBdr/>
      <w:spacing/>
      <w:ind w:left="420"/>
    </w:pPr>
  </w:style>
  <w:style w:type="paragraph" w:styleId="1017">
    <w:name w:val="Header"/>
    <w:basedOn w:val="1009"/>
    <w:next w:val="1016"/>
    <w:uiPriority w:val="0"/>
    <w:unhideWhenUsed/>
    <w:qFormat/>
    <w:pPr>
      <w:pBdr/>
      <w:tabs>
        <w:tab w:val="center" w:leader="none" w:pos="4153"/>
        <w:tab w:val="right" w:leader="none" w:pos="8306"/>
      </w:tabs>
      <w:spacing/>
      <w:ind/>
      <w:jc w:val="center"/>
    </w:pPr>
    <w:rPr>
      <w:sz w:val="18"/>
      <w:szCs w:val="18"/>
    </w:rPr>
  </w:style>
  <w:style w:type="paragraph" w:styleId="1018">
    <w:name w:val="Footer"/>
    <w:basedOn w:val="1009"/>
    <w:uiPriority w:val="0"/>
    <w:qFormat/>
    <w:pPr>
      <w:pBdr/>
      <w:tabs>
        <w:tab w:val="center" w:leader="none" w:pos="4153"/>
        <w:tab w:val="right" w:leader="none" w:pos="8306"/>
      </w:tabs>
      <w:spacing/>
      <w:ind/>
    </w:pPr>
    <w:rPr>
      <w:sz w:val="18"/>
    </w:rPr>
  </w:style>
  <w:style w:type="paragraph" w:styleId="1019">
    <w:name w:val="toc 1"/>
    <w:basedOn w:val="1009"/>
    <w:next w:val="1009"/>
    <w:uiPriority w:val="0"/>
    <w:qFormat/>
    <w:pPr>
      <w:pBdr/>
      <w:spacing/>
      <w:ind/>
    </w:pPr>
  </w:style>
  <w:style w:type="paragraph" w:styleId="1020">
    <w:name w:val="toc 2"/>
    <w:basedOn w:val="1009"/>
    <w:next w:val="1009"/>
    <w:uiPriority w:val="0"/>
    <w:qFormat/>
    <w:pPr>
      <w:pBdr/>
      <w:spacing/>
      <w:ind w:left="420"/>
    </w:pPr>
  </w:style>
  <w:style w:type="paragraph" w:styleId="1021">
    <w:name w:val="Normal (Web)"/>
    <w:basedOn w:val="1009"/>
    <w:uiPriority w:val="0"/>
    <w:qFormat/>
    <w:pPr>
      <w:pBdr/>
      <w:spacing w:afterAutospacing="1" w:beforeAutospacing="1"/>
      <w:ind/>
    </w:pPr>
    <w:rPr>
      <w:rFonts w:cs="Times New Roman"/>
      <w:sz w:val="24"/>
      <w:lang w:eastAsia="zh-CN"/>
    </w:rPr>
  </w:style>
  <w:style w:type="paragraph" w:styleId="1022">
    <w:name w:val="Body Text First Indent 2"/>
    <w:basedOn w:val="1016"/>
    <w:uiPriority w:val="0"/>
    <w:qFormat/>
    <w:pPr>
      <w:pBdr/>
      <w:spacing w:line="580" w:lineRule="exact"/>
      <w:ind w:firstLine="420"/>
    </w:pPr>
    <w:rPr>
      <w:rFonts w:ascii="仿宋_GB2312" w:hAnsi="宋体" w:eastAsia="仿宋_GB2312"/>
      <w:sz w:val="32"/>
    </w:rPr>
  </w:style>
  <w:style w:type="table" w:styleId="1023">
    <w:name w:val="Table Grid"/>
    <w:basedOn w:val="1012"/>
    <w:uiPriority w:val="59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Table Normal"/>
    <w:uiPriority w:val="0"/>
    <w:semiHidden/>
    <w:unhideWhenUsed/>
    <w:qFormat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5" w:customStyle="1">
    <w:name w:val="Table Text"/>
    <w:basedOn w:val="1009"/>
    <w:uiPriority w:val="0"/>
    <w:semiHidden/>
    <w:qFormat/>
    <w:pPr>
      <w:pBdr/>
      <w:spacing/>
      <w:ind/>
    </w:pPr>
    <w:rPr>
      <w:rFonts w:ascii="仿宋" w:hAnsi="仿宋" w:eastAsia="仿宋" w:cs="仿宋"/>
      <w:sz w:val="24"/>
      <w:szCs w:val="24"/>
    </w:rPr>
  </w:style>
  <w:style w:type="paragraph" w:styleId="1026" w:customStyle="1">
    <w:name w:val="WPSOffice手动目录 1"/>
    <w:uiPriority w:val="0"/>
    <w:qFormat/>
    <w:pPr>
      <w:pBdr/>
      <w:spacing/>
      <w:ind/>
    </w:pPr>
    <w:rPr>
      <w:rFonts w:ascii="Times New Roman" w:hAnsi="Times New Roman" w:eastAsia="宋体" w:cs="Times New Roman"/>
      <w:lang w:val="en-US" w:eastAsia="zh-CN" w:bidi="ar-SA"/>
    </w:rPr>
  </w:style>
  <w:style w:type="paragraph" w:styleId="1027" w:customStyle="1">
    <w:name w:val="WPSOffice手动目录 2"/>
    <w:uiPriority w:val="0"/>
    <w:qFormat/>
    <w:pPr>
      <w:pBdr/>
      <w:spacing/>
      <w:ind w:left="200"/>
    </w:pPr>
    <w:rPr>
      <w:rFonts w:ascii="Times New Roman" w:hAnsi="Times New Roman" w:eastAsia="宋体" w:cs="Times New Roman"/>
      <w:lang w:val="en-US" w:eastAsia="zh-CN" w:bidi="ar-SA"/>
    </w:rPr>
  </w:style>
  <w:style w:type="paragraph" w:styleId="1028" w:customStyle="1">
    <w:name w:val="WPSOffice手动目录 3"/>
    <w:uiPriority w:val="0"/>
    <w:qFormat/>
    <w:pPr>
      <w:pBdr/>
      <w:spacing/>
      <w:ind w:left="400"/>
    </w:pPr>
    <w:rPr>
      <w:rFonts w:ascii="Times New Roman" w:hAnsi="Times New Roman" w:eastAsia="宋体" w:cs="Times New Roman"/>
      <w:lang w:val="en-US" w:eastAsia="zh-CN" w:bidi="ar-SA"/>
    </w:rPr>
  </w:style>
  <w:style w:type="paragraph" w:styleId="1029" w:customStyle="1">
    <w:name w:val="*正文"/>
    <w:basedOn w:val="1009"/>
    <w:uiPriority w:val="0"/>
    <w:qFormat/>
    <w:pPr>
      <w:pBdr/>
      <w:spacing w:line="360" w:lineRule="auto"/>
      <w:ind w:firstLine="200"/>
    </w:pPr>
    <w:rPr>
      <w:rFonts w:ascii="宋体" w:hAnsi="宋体" w:eastAsia="宋体" w:cs="仿宋_GB2312"/>
      <w:sz w:val="24"/>
    </w:rPr>
  </w:style>
  <w:style w:type="table" w:styleId="1030" w:customStyle="1">
    <w:name w:val="网格表 1 浅色 - 强调文字颜色 11"/>
    <w:basedOn w:val="1012"/>
    <w:uiPriority w:val="0"/>
    <w:qFormat/>
    <w:pPr>
      <w:pBdr/>
      <w:spacing/>
      <w:ind/>
    </w:pPr>
    <w:tblPr>
      <w:tblBorders>
        <w:top w:val="single" w:color="b8cce4" w:themeColor="accent1" w:themeTint="66" w:sz="4" w:space="0"/>
        <w:left w:val="single" w:color="b8cce4" w:themeColor="accent1" w:themeTint="66" w:sz="4" w:space="0"/>
        <w:bottom w:val="single" w:color="b8cce4" w:themeColor="accent1" w:themeTint="66" w:sz="4" w:space="0"/>
        <w:right w:val="single" w:color="b8cce4" w:themeColor="accent1" w:themeTint="66" w:sz="4" w:space="0"/>
        <w:insideH w:val="single" w:color="b8cce4" w:themeColor="accent1" w:themeTint="66" w:sz="4" w:space="0"/>
        <w:insideV w:val="single" w:color="b8cce4" w:themeColor="accent1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95b3d7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5b3d7" w:themeColor="accent1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31" w:customStyle="1">
    <w:name w:val="font11"/>
    <w:basedOn w:val="1011"/>
    <w:uiPriority w:val="0"/>
    <w:qFormat/>
    <w:pPr>
      <w:pBdr/>
      <w:spacing/>
      <w:ind/>
    </w:pPr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styleId="1032" w:customStyle="1">
    <w:name w:val="font01"/>
    <w:basedOn w:val="1011"/>
    <w:uiPriority w:val="0"/>
    <w:qFormat/>
    <w:pPr>
      <w:pBdr/>
      <w:spacing/>
      <w:ind/>
    </w:pPr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header" Target="header3.xml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footer" Target="footer3.xml" /><Relationship Id="rId16" Type="http://schemas.openxmlformats.org/officeDocument/2006/relationships/customXml" Target="../customXml/item1.xml" /><Relationship Id="rId17" Type="http://schemas.openxmlformats.org/officeDocument/2006/relationships/image" Target="media/image1.png"/><Relationship Id="rId18" Type="http://schemas.openxmlformats.org/officeDocument/2006/relationships/chart" Target="charts/chart1.xml" /><Relationship Id="rId19" Type="http://schemas.openxmlformats.org/officeDocument/2006/relationships/chart" Target="charts/chart2.xml" /><Relationship Id="rId20" Type="http://schemas.openxmlformats.org/officeDocument/2006/relationships/chart" Target="charts/chart3.xml" /><Relationship Id="rId21" Type="http://schemas.openxmlformats.org/officeDocument/2006/relationships/chart" Target="charts/chart4.xml" /><Relationship Id="rId22" Type="http://schemas.openxmlformats.org/officeDocument/2006/relationships/chart" Target="charts/chart5.xml" /><Relationship Id="rId23" Type="http://schemas.openxmlformats.org/officeDocument/2006/relationships/chart" Target="charts/chart6.xml" /><Relationship Id="rId24" Type="http://schemas.openxmlformats.org/officeDocument/2006/relationships/chart" Target="charts/chart7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charts/_rels/chart1.xml.rels><?xml version="1.0" encoding="UTF-8" standalone="yes"?><Relationships xmlns="http://schemas.openxmlformats.org/package/2006/relationships"><Relationship Id="rId1" Type="http://schemas.microsoft.com/office/2011/relationships/chartStyle" Target="style1.xml" /><Relationship Id="rId2" Type="http://schemas.microsoft.com/office/2011/relationships/chartColorStyle" Target="colors1.xml" /><Relationship Id="rId3" Type="http://schemas.openxmlformats.org/officeDocument/2006/relationships/package" Target="../embeddings/Microsoft_Excel_Worksheet1.xlsx" /></Relationships>
</file>

<file path=word/charts/_rels/chart2.xml.rels><?xml version="1.0" encoding="UTF-8" standalone="yes"?><Relationships xmlns="http://schemas.openxmlformats.org/package/2006/relationships"><Relationship Id="rId1" Type="http://schemas.microsoft.com/office/2011/relationships/chartStyle" Target="style2.xml" /><Relationship Id="rId2" Type="http://schemas.microsoft.com/office/2011/relationships/chartColorStyle" Target="colors2.xml" /><Relationship Id="rId3" Type="http://schemas.openxmlformats.org/officeDocument/2006/relationships/package" Target="../embeddings/Microsoft_Excel_Worksheet2.xlsx" /></Relationships>
</file>

<file path=word/charts/_rels/chart3.xml.rels><?xml version="1.0" encoding="UTF-8" standalone="yes"?><Relationships xmlns="http://schemas.openxmlformats.org/package/2006/relationships"><Relationship Id="rId1" Type="http://schemas.microsoft.com/office/2011/relationships/chartStyle" Target="style3.xml" /><Relationship Id="rId2" Type="http://schemas.microsoft.com/office/2011/relationships/chartColorStyle" Target="colors3.xml" /><Relationship Id="rId3" Type="http://schemas.openxmlformats.org/officeDocument/2006/relationships/package" Target="../embeddings/Microsoft_Excel_Worksheet3.xlsx" /></Relationships>
</file>

<file path=word/charts/_rels/chart4.xml.rels><?xml version="1.0" encoding="UTF-8" standalone="yes"?><Relationships xmlns="http://schemas.openxmlformats.org/package/2006/relationships"><Relationship Id="rId1" Type="http://schemas.microsoft.com/office/2011/relationships/chartStyle" Target="style4.xml" /><Relationship Id="rId2" Type="http://schemas.microsoft.com/office/2011/relationships/chartColorStyle" Target="colors4.xml" /><Relationship Id="rId3" Type="http://schemas.openxmlformats.org/officeDocument/2006/relationships/package" Target="../embeddings/Microsoft_Excel_Worksheet4.xlsx" /></Relationships>
</file>

<file path=word/charts/_rels/chart5.xml.rels><?xml version="1.0" encoding="UTF-8" standalone="yes"?><Relationships xmlns="http://schemas.openxmlformats.org/package/2006/relationships"><Relationship Id="rId1" Type="http://schemas.microsoft.com/office/2011/relationships/chartStyle" Target="style5.xml" /><Relationship Id="rId2" Type="http://schemas.microsoft.com/office/2011/relationships/chartColorStyle" Target="colors5.xml" /><Relationship Id="rId3" Type="http://schemas.openxmlformats.org/officeDocument/2006/relationships/package" Target="../embeddings/Microsoft_Excel_Worksheet5.xlsx" /></Relationships>
</file>

<file path=word/charts/_rels/chart6.xml.rels><?xml version="1.0" encoding="UTF-8" standalone="yes"?><Relationships xmlns="http://schemas.openxmlformats.org/package/2006/relationships"><Relationship Id="rId1" Type="http://schemas.microsoft.com/office/2011/relationships/chartStyle" Target="style6.xml" /><Relationship Id="rId2" Type="http://schemas.microsoft.com/office/2011/relationships/chartColorStyle" Target="colors6.xml" /><Relationship Id="rId3" Type="http://schemas.openxmlformats.org/officeDocument/2006/relationships/package" Target="../embeddings/Microsoft_Excel_Worksheet6.xlsx" /></Relationships>
</file>

<file path=word/charts/_rels/chart7.xml.rels><?xml version="1.0" encoding="UTF-8" standalone="yes"?><Relationships xmlns="http://schemas.openxmlformats.org/package/2006/relationships"><Relationship Id="rId1" Type="http://schemas.microsoft.com/office/2011/relationships/chartStyle" Target="style7.xml" /><Relationship Id="rId2" Type="http://schemas.microsoft.com/office/2011/relationships/chartColorStyle" Target="colors7.xml" /><Relationship Id="rId3" Type="http://schemas.openxmlformats.org/officeDocument/2006/relationships/package" Target="../embeddings/Microsoft_Excel_Worksheet7.xlsx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zh-CN"/>
  <c:roundedCorners val="0"/>
  <mc:AlternateContent>
    <mc:Choice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087492"/>
          <c:y val="0.068658"/>
          <c:w val="0.886514"/>
          <c:h val="0.79473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[1月月度数据统计表.xlsx]Sheet3!$H$1</c:f>
              <c:strCache>
                <c:ptCount val="1"/>
                <c:pt idx="0">
                  <c:v>利用小时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1"/>
            </a:solidFill>
            <a:ln>
              <a:noFill/>
            </a:ln>
            <a:effectLst>
              <a:outerShdw blurRad="50800" dist="38100" dir="2700000" algn="tl" rotWithShape="0">
                <a:prstClr val="black">
                  <a:alpha val="40000"/>
                </a:prstClr>
              </a:outerShdw>
            </a:effectLst>
          </c:spPr>
          <c:invertIfNegative val="0"/>
          <c:dLbls>
            <c:dLblPos val="outEnd"/>
            <c:numFmt formatCode="#,##0_);[Red]\(#,##0\)" sourceLinked="0"/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[1月月度数据统计表.xlsx]Sheet3!$G$2:$G$24</c:f>
              <c:strCache>
                <c:ptCount val="23"/>
                <c:pt idx="0">
                  <c:v>澳洲</c:v>
                </c:pt>
                <c:pt idx="1">
                  <c:v>辽宁</c:v>
                </c:pt>
                <c:pt idx="2">
                  <c:v>蒙东</c:v>
                </c:pt>
                <c:pt idx="3">
                  <c:v>山西</c:v>
                </c:pt>
                <c:pt idx="4">
                  <c:v>江苏</c:v>
                </c:pt>
                <c:pt idx="5">
                  <c:v>山东</c:v>
                </c:pt>
                <c:pt idx="6">
                  <c:v>河北</c:v>
                </c:pt>
                <c:pt idx="7">
                  <c:v>河南</c:v>
                </c:pt>
                <c:pt idx="8">
                  <c:v>蒙西</c:v>
                </c:pt>
                <c:pt idx="9">
                  <c:v>湖南</c:v>
                </c:pt>
                <c:pt idx="10">
                  <c:v>天津</c:v>
                </c:pt>
                <c:pt idx="11">
                  <c:v>吉林</c:v>
                </c:pt>
                <c:pt idx="12">
                  <c:v>宁夏</c:v>
                </c:pt>
                <c:pt idx="13">
                  <c:v>广西</c:v>
                </c:pt>
                <c:pt idx="14">
                  <c:v>陕西</c:v>
                </c:pt>
                <c:pt idx="15">
                  <c:v>欧洲</c:v>
                </c:pt>
                <c:pt idx="16">
                  <c:v>甘肃</c:v>
                </c:pt>
                <c:pt idx="17">
                  <c:v>广东</c:v>
                </c:pt>
                <c:pt idx="18">
                  <c:v>能源</c:v>
                </c:pt>
                <c:pt idx="19">
                  <c:v>湖北</c:v>
                </c:pt>
                <c:pt idx="20">
                  <c:v>黑龙</c:v>
                </c:pt>
                <c:pt idx="21">
                  <c:v>京都</c:v>
                </c:pt>
                <c:pt idx="22">
                  <c:v>海南</c:v>
                </c:pt>
              </c:strCache>
            </c:strRef>
          </c:cat>
          <c:val>
            <c:numRef>
              <c:f>[1月月度数据统计表.xlsx]Sheet3!$H$2:$H$24</c:f>
              <c:numCache>
                <c:formatCode xml:space="preserve">0.00_ </c:formatCode>
                <c:ptCount val="23"/>
                <c:pt idx="0">
                  <c:v>250.595990251828</c:v>
                </c:pt>
                <c:pt idx="1">
                  <c:v>207.68553093352</c:v>
                </c:pt>
                <c:pt idx="2">
                  <c:v>206.549031207211</c:v>
                </c:pt>
                <c:pt idx="3">
                  <c:v>195.967141275831</c:v>
                </c:pt>
                <c:pt idx="4">
                  <c:v>184.046579990002</c:v>
                </c:pt>
                <c:pt idx="5">
                  <c:v>182.690373939316</c:v>
                </c:pt>
                <c:pt idx="6">
                  <c:v>179.367639504914</c:v>
                </c:pt>
                <c:pt idx="7">
                  <c:v>173.018228582051</c:v>
                </c:pt>
                <c:pt idx="8">
                  <c:v>169.882023158361</c:v>
                </c:pt>
                <c:pt idx="9">
                  <c:v>163.454</c:v>
                </c:pt>
                <c:pt idx="10">
                  <c:v>150.878199295161</c:v>
                </c:pt>
                <c:pt idx="11">
                  <c:v>150.262300148588</c:v>
                </c:pt>
                <c:pt idx="12">
                  <c:v>143.522266197548</c:v>
                </c:pt>
                <c:pt idx="13">
                  <c:v>132.588598734596</c:v>
                </c:pt>
                <c:pt idx="14">
                  <c:v>131.164321636255</c:v>
                </c:pt>
                <c:pt idx="15">
                  <c:v>116.666240409207</c:v>
                </c:pt>
                <c:pt idx="16">
                  <c:v>108.628186945607</c:v>
                </c:pt>
                <c:pt idx="17">
                  <c:v>105.848953488372</c:v>
                </c:pt>
                <c:pt idx="18">
                  <c:v>89.1170303030303</c:v>
                </c:pt>
                <c:pt idx="19">
                  <c:v>87.274698</c:v>
                </c:pt>
                <c:pt idx="20">
                  <c:v>86.0848484848485</c:v>
                </c:pt>
                <c:pt idx="21">
                  <c:v>75.6396976483763</c:v>
                </c:pt>
                <c:pt idx="22">
                  <c:v>69.7648257086493</c:v>
                </c:pt>
              </c:numCache>
            </c:numRef>
          </c:val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1"/>
        </c:dLbls>
        <c:gapWidth val="219"/>
        <c:overlap val="-27"/>
        <c:axId val="602653448"/>
        <c:axId val="873654955"/>
      </c:barChart>
      <c:lineChart>
        <c:grouping val="standard"/>
        <c:varyColors val="0"/>
        <c:ser>
          <c:idx val="1"/>
          <c:order val="1"/>
          <c:tx>
            <c:strRef>
              <c:f>[1月月度数据统计表.xlsx]Sheet3!$I$1</c:f>
              <c:strCache>
                <c:ptCount val="1"/>
                <c:pt idx="0">
                  <c:v>投资公司均值</c:v>
                </c:pt>
              </c:strCache>
            </c:strRef>
          </c:tx>
          <c:spPr bwMode="auto">
            <a:prstGeom prst="rect">
              <a:avLst/>
            </a:prstGeom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[1月月度数据统计表.xlsx]Sheet3!$G$2:$G$24</c:f>
              <c:strCache>
                <c:ptCount val="23"/>
                <c:pt idx="0">
                  <c:v>澳洲</c:v>
                </c:pt>
                <c:pt idx="1">
                  <c:v>辽宁</c:v>
                </c:pt>
                <c:pt idx="2">
                  <c:v>蒙东</c:v>
                </c:pt>
                <c:pt idx="3">
                  <c:v>山西</c:v>
                </c:pt>
                <c:pt idx="4">
                  <c:v>江苏</c:v>
                </c:pt>
                <c:pt idx="5">
                  <c:v>山东</c:v>
                </c:pt>
                <c:pt idx="6">
                  <c:v>河北</c:v>
                </c:pt>
                <c:pt idx="7">
                  <c:v>河南</c:v>
                </c:pt>
                <c:pt idx="8">
                  <c:v>蒙西</c:v>
                </c:pt>
                <c:pt idx="9">
                  <c:v>湖南</c:v>
                </c:pt>
                <c:pt idx="10">
                  <c:v>天津</c:v>
                </c:pt>
                <c:pt idx="11">
                  <c:v>吉林</c:v>
                </c:pt>
                <c:pt idx="12">
                  <c:v>宁夏</c:v>
                </c:pt>
                <c:pt idx="13">
                  <c:v>广西</c:v>
                </c:pt>
                <c:pt idx="14">
                  <c:v>陕西</c:v>
                </c:pt>
                <c:pt idx="15">
                  <c:v>欧洲</c:v>
                </c:pt>
                <c:pt idx="16">
                  <c:v>甘肃</c:v>
                </c:pt>
                <c:pt idx="17">
                  <c:v>广东</c:v>
                </c:pt>
                <c:pt idx="18">
                  <c:v>能源</c:v>
                </c:pt>
                <c:pt idx="19">
                  <c:v>湖北</c:v>
                </c:pt>
                <c:pt idx="20">
                  <c:v>黑龙</c:v>
                </c:pt>
                <c:pt idx="21">
                  <c:v>京都</c:v>
                </c:pt>
                <c:pt idx="22">
                  <c:v>海南</c:v>
                </c:pt>
              </c:strCache>
            </c:strRef>
          </c:cat>
          <c:val>
            <c:numRef>
              <c:f>[1月月度数据统计表.xlsx]Sheet3!$I$2:$I$24</c:f>
              <c:numCache>
                <c:formatCode xml:space="preserve">0.00_ </c:formatCode>
                <c:ptCount val="23"/>
                <c:pt idx="0">
                  <c:v>168.998752051221</c:v>
                </c:pt>
                <c:pt idx="1">
                  <c:v>168.998752051221</c:v>
                </c:pt>
                <c:pt idx="2">
                  <c:v>168.998752051221</c:v>
                </c:pt>
                <c:pt idx="3">
                  <c:v>168.998752051221</c:v>
                </c:pt>
                <c:pt idx="4">
                  <c:v>168.998752051221</c:v>
                </c:pt>
                <c:pt idx="5">
                  <c:v>168.998752051221</c:v>
                </c:pt>
                <c:pt idx="6">
                  <c:v>168.998752051221</c:v>
                </c:pt>
                <c:pt idx="7">
                  <c:v>168.998752051221</c:v>
                </c:pt>
                <c:pt idx="8">
                  <c:v>168.998752051221</c:v>
                </c:pt>
                <c:pt idx="9">
                  <c:v>168.998752051221</c:v>
                </c:pt>
                <c:pt idx="10">
                  <c:v>168.998752051221</c:v>
                </c:pt>
                <c:pt idx="11">
                  <c:v>168.998752051221</c:v>
                </c:pt>
                <c:pt idx="12">
                  <c:v>168.998752051221</c:v>
                </c:pt>
                <c:pt idx="13">
                  <c:v>168.998752051221</c:v>
                </c:pt>
                <c:pt idx="14">
                  <c:v>168.998752051221</c:v>
                </c:pt>
                <c:pt idx="15">
                  <c:v>168.998752051221</c:v>
                </c:pt>
                <c:pt idx="16">
                  <c:v>168.998752051221</c:v>
                </c:pt>
                <c:pt idx="17">
                  <c:v>168.998752051221</c:v>
                </c:pt>
                <c:pt idx="18">
                  <c:v>168.998752051221</c:v>
                </c:pt>
                <c:pt idx="19">
                  <c:v>168.998752051221</c:v>
                </c:pt>
                <c:pt idx="20">
                  <c:v>168.998752051221</c:v>
                </c:pt>
                <c:pt idx="21">
                  <c:v>168.998752051221</c:v>
                </c:pt>
                <c:pt idx="22">
                  <c:v>168.998752051221</c:v>
                </c:pt>
              </c:numCache>
            </c:numRef>
          </c:val>
          <c:smooth val="0"/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0"/>
        </c:dLbls>
        <c:marker val="0"/>
        <c:smooth val="0"/>
        <c:axId val="602653448"/>
        <c:axId val="873654955"/>
      </c:lineChart>
      <c:catAx>
        <c:axId val="602653448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/>
          </a:p>
        </c:txPr>
        <c:crossAx val="873654955"/>
        <c:crosses val="autoZero"/>
        <c:auto val="1"/>
        <c:lblAlgn val="ctr"/>
        <c:lblOffset val="100"/>
        <c:noMultiLvlLbl val="0"/>
      </c:catAx>
      <c:valAx>
        <c:axId val="873654955"/>
        <c:scaling>
          <c:orientation val="minMax"/>
        </c:scaling>
        <c:delete val="0"/>
        <c:axPos val="l"/>
        <c:majorGridlines>
          <c:spPr bwMode="auto">
            <a:prstGeom prst="rect">
              <a:avLst/>
            </a:prstGeom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/>
                  <a:t>单位：小时</a:t>
                </a:r>
                <a:endParaRPr lang="zh-CN"/>
              </a:p>
            </c:rich>
          </c:tx>
          <c:layout>
            <c:manualLayout>
              <c:xMode val="edge"/>
              <c:yMode val="edge"/>
              <c:x val="0.005556"/>
              <c:y val="0.305718"/>
            </c:manualLayout>
          </c:layout>
          <c:overlay val="0"/>
          <c:spPr bwMode="auto">
            <a:prstGeom prst="rect">
              <a:avLst/>
            </a:prstGeom>
            <a:noFill/>
            <a:ln>
              <a:noFill/>
            </a:ln>
            <a:effectLst/>
          </c:spPr>
        </c:title>
        <c:numFmt formatCode="0_);[Red]\(0\)" sourceLinked="0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/>
          </a:p>
        </c:txPr>
        <c:crossAx val="602653448"/>
        <c:crosses val="autoZero"/>
        <c:crossBetween val="between"/>
      </c:valAx>
      <c:spPr bwMode="auto">
        <a:prstGeom prst="rect">
          <a:avLst/>
        </a:prstGeom>
        <a:noFill/>
        <a:ln>
          <a:noFill/>
        </a:ln>
        <a:effectLst/>
      </c:spPr>
    </c:plotArea>
    <c:plotVisOnly val="1"/>
    <c:dispBlanksAs val="gap"/>
    <c:showDLblsOverMax val="0"/>
  </c:chart>
  <c:spPr bwMode="auto"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en-US"/>
  <c:roundedCorners val="0"/>
  <mc:AlternateContent>
    <mc:Choice Requires="c14">
      <c14:style val="102"/>
    </mc:Choice>
    <mc:Fallback>
      <c:style val="2"/>
    </mc:Fallback>
  </mc:AlternateContent>
  <c:chart>
    <c:title>
      <c:layout/>
      <c:overlay val="0"/>
      <c:spPr bwMode="auto">
        <a:prstGeom prst="rect">
          <a:avLst/>
        </a:prstGeom>
        <a:noFill/>
        <a:ln>
          <a:noFill/>
        </a:ln>
      </c:spPr>
      <c:txPr>
        <a:bodyPr/>
        <a:p>
          <a:pPr>
            <a:defRPr sz="1400" b="0" spc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/>
        </a:p>
      </c:txPr>
    </c:title>
    <c:autoTitleDeleted val="0"/>
    <c:plotArea>
      <c:layout>
        <c:manualLayout/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Gold</c:v>
                </c:pt>
              </c:strCache>
            </c:strRef>
          </c:tx>
          <c:dPt>
            <c:idx val="0"/>
            <c:spPr bwMode="auto">
              <a:prstGeom prst="rect">
                <a:avLst/>
              </a:prstGeom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spPr bwMode="auto">
              <a:prstGeom prst="rect">
                <a:avLst/>
              </a:prstGeom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Pt>
            <c:idx val="2"/>
            <c:spPr bwMode="auto">
              <a:prstGeom prst="rect">
                <a:avLst/>
              </a:prstGeom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</c:dPt>
          <c:dPt>
            <c:idx val="3"/>
            <c:spPr bwMode="auto">
              <a:prstGeom prst="rect">
                <a:avLst/>
              </a:prstGeom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</c:dPt>
          <c:dPt>
            <c:idx val="4"/>
            <c:spPr bwMode="auto">
              <a:prstGeom prst="rect">
                <a:avLst/>
              </a:prstGeom>
              <a:solidFill>
                <a:schemeClr val="accent5"/>
              </a:solidFill>
              <a:ln w="19050">
                <a:solidFill>
                  <a:schemeClr val="lt1"/>
                </a:solidFill>
              </a:ln>
            </c:spPr>
          </c:dPt>
          <c:dPt>
            <c:idx val="5"/>
            <c:spPr bwMode="auto">
              <a:prstGeom prst="rect">
                <a:avLst/>
              </a:prstGeom>
              <a:solidFill>
                <a:schemeClr val="accent6"/>
              </a:solidFill>
              <a:ln w="19050">
                <a:solidFill>
                  <a:schemeClr val="lt1"/>
                </a:solidFill>
              </a:ln>
            </c:spPr>
          </c:dPt>
          <c:dLbls>
            <c:dLbl>
              <c:idx val="0"/>
              <c:dLblPos val="ctr"/>
              <c:layout/>
              <c:showBubbleSize val="0"/>
              <c:showCatName val="0"/>
              <c:showLegendKey val="0"/>
              <c:showPercent val="0"/>
              <c:showSerName val="0"/>
              <c:showVal val="0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>
              <c:idx val="1"/>
              <c:dLblPos val="ctr"/>
              <c:layout/>
              <c:showBubbleSize val="0"/>
              <c:showCatName val="0"/>
              <c:showLegendKey val="0"/>
              <c:showPercent val="0"/>
              <c:showSerName val="0"/>
              <c:showVal val="0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>
              <c:idx val="2"/>
              <c:dLblPos val="ctr"/>
              <c:layout/>
              <c:showBubbleSize val="0"/>
              <c:showCatName val="0"/>
              <c:showLegendKey val="0"/>
              <c:showPercent val="0"/>
              <c:showSerName val="0"/>
              <c:showVal val="0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>
              <c:idx val="3"/>
              <c:dLblPos val="ctr"/>
              <c:layout/>
              <c:showBubbleSize val="0"/>
              <c:showCatName val="0"/>
              <c:showLegendKey val="0"/>
              <c:showPercent val="0"/>
              <c:showSerName val="0"/>
              <c:showVal val="0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>
              <c:idx val="4"/>
              <c:dLblPos val="ctr"/>
              <c:layout/>
              <c:showBubbleSize val="0"/>
              <c:showCatName val="0"/>
              <c:showLegendKey val="0"/>
              <c:showPercent val="0"/>
              <c:showSerName val="0"/>
              <c:showVal val="0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>
              <c:idx val="5"/>
              <c:dLblPos val="ctr"/>
              <c:layout/>
              <c:showBubbleSize val="0"/>
              <c:showCatName val="0"/>
              <c:showLegendKey val="0"/>
              <c:showPercent val="0"/>
              <c:showSerName val="0"/>
              <c:showVal val="0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Pos val="ctr"/>
            <c:showBubbleSize val="0"/>
            <c:showCatName val="0"/>
            <c:showLeaderLines val="1"/>
            <c:showLegendKey val="0"/>
            <c:showPercent val="0"/>
            <c:showSerName val="0"/>
            <c:showVal val="0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p>
                <a:pPr>
                  <a:defRPr sz="90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Sheet1!$A$2:$A$7</c:f>
              <c:strCache>
                <c:ptCount val="6"/>
                <c:pt idx="0">
                  <c:v>USA</c:v>
                </c:pt>
                <c:pt idx="1">
                  <c:v>CHN</c:v>
                </c:pt>
                <c:pt idx="2">
                  <c:v>RUS</c:v>
                </c:pt>
                <c:pt idx="3">
                  <c:v>GBR</c:v>
                </c:pt>
                <c:pt idx="4">
                  <c:v>GER</c:v>
                </c:pt>
                <c:pt idx="5">
                  <c:v>JPN</c:v>
                </c:pt>
              </c:strCache>
            </c:strRef>
          </c:cat>
          <c:val>
            <c:numRef>
              <c:f>Sheet1!$B$2:$B$7</c:f>
              <c:numCache>
                <c:ptCount val="6"/>
                <c:pt idx="0" formatCode="General">
                  <c:v>46</c:v>
                </c:pt>
                <c:pt idx="1" formatCode="General">
                  <c:v>38</c:v>
                </c:pt>
                <c:pt idx="2" formatCode="General">
                  <c:v>24</c:v>
                </c:pt>
                <c:pt idx="3" formatCode="General">
                  <c:v>29</c:v>
                </c:pt>
                <c:pt idx="4" formatCode="General">
                  <c:v>11</c:v>
                </c:pt>
                <c:pt idx="5" formatCode="General">
                  <c:v>7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Silver</c:v>
                </c:pt>
              </c:strCache>
            </c:strRef>
          </c:tx>
          <c:dPt>
            <c:idx val="0"/>
            <c:spPr bwMode="auto">
              <a:prstGeom prst="rect">
                <a:avLst/>
              </a:prstGeom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spPr bwMode="auto">
              <a:prstGeom prst="rect">
                <a:avLst/>
              </a:prstGeom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Pt>
            <c:idx val="2"/>
            <c:spPr bwMode="auto">
              <a:prstGeom prst="rect">
                <a:avLst/>
              </a:prstGeom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</c:dPt>
          <c:dPt>
            <c:idx val="3"/>
            <c:spPr bwMode="auto">
              <a:prstGeom prst="rect">
                <a:avLst/>
              </a:prstGeom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</c:dPt>
          <c:dPt>
            <c:idx val="4"/>
            <c:spPr bwMode="auto">
              <a:prstGeom prst="rect">
                <a:avLst/>
              </a:prstGeom>
              <a:solidFill>
                <a:schemeClr val="accent5"/>
              </a:solidFill>
              <a:ln w="19050">
                <a:solidFill>
                  <a:schemeClr val="lt1"/>
                </a:solidFill>
              </a:ln>
            </c:spPr>
          </c:dPt>
          <c:dPt>
            <c:idx val="5"/>
            <c:spPr bwMode="auto">
              <a:prstGeom prst="rect">
                <a:avLst/>
              </a:prstGeom>
              <a:solidFill>
                <a:schemeClr val="accent6"/>
              </a:solidFill>
              <a:ln w="19050">
                <a:solidFill>
                  <a:schemeClr val="lt1"/>
                </a:solidFill>
              </a:ln>
            </c:spPr>
          </c:dPt>
          <c:dLbls>
            <c:dLbl>
              <c:idx val="0"/>
              <c:dLblPos val="ctr"/>
              <c:layout/>
              <c:showBubbleSize val="0"/>
              <c:showCatName val="0"/>
              <c:showLegendKey val="0"/>
              <c:showPercent val="0"/>
              <c:showSerName val="0"/>
              <c:showVal val="0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>
              <c:idx val="1"/>
              <c:dLblPos val="ctr"/>
              <c:layout/>
              <c:showBubbleSize val="0"/>
              <c:showCatName val="0"/>
              <c:showLegendKey val="0"/>
              <c:showPercent val="0"/>
              <c:showSerName val="0"/>
              <c:showVal val="0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>
              <c:idx val="2"/>
              <c:dLblPos val="ctr"/>
              <c:layout/>
              <c:showBubbleSize val="0"/>
              <c:showCatName val="0"/>
              <c:showLegendKey val="0"/>
              <c:showPercent val="0"/>
              <c:showSerName val="0"/>
              <c:showVal val="0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>
              <c:idx val="3"/>
              <c:dLblPos val="ctr"/>
              <c:layout/>
              <c:showBubbleSize val="0"/>
              <c:showCatName val="0"/>
              <c:showLegendKey val="0"/>
              <c:showPercent val="0"/>
              <c:showSerName val="0"/>
              <c:showVal val="0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>
              <c:idx val="4"/>
              <c:dLblPos val="ctr"/>
              <c:layout/>
              <c:showBubbleSize val="0"/>
              <c:showCatName val="0"/>
              <c:showLegendKey val="0"/>
              <c:showPercent val="0"/>
              <c:showSerName val="0"/>
              <c:showVal val="0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>
              <c:idx val="5"/>
              <c:dLblPos val="ctr"/>
              <c:layout/>
              <c:showBubbleSize val="0"/>
              <c:showCatName val="0"/>
              <c:showLegendKey val="0"/>
              <c:showPercent val="0"/>
              <c:showSerName val="0"/>
              <c:showVal val="0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Pos val="ctr"/>
            <c:showBubbleSize val="0"/>
            <c:showCatName val="0"/>
            <c:showLeaderLines val="1"/>
            <c:showLegendKey val="0"/>
            <c:showPercent val="0"/>
            <c:showSerName val="0"/>
            <c:showVal val="0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p>
                <a:pPr>
                  <a:defRPr sz="90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Sheet1!$A$2:$A$7</c:f>
              <c:strCache>
                <c:ptCount val="6"/>
                <c:pt idx="0">
                  <c:v>USA</c:v>
                </c:pt>
                <c:pt idx="1">
                  <c:v>CHN</c:v>
                </c:pt>
                <c:pt idx="2">
                  <c:v>RUS</c:v>
                </c:pt>
                <c:pt idx="3">
                  <c:v>GBR</c:v>
                </c:pt>
                <c:pt idx="4">
                  <c:v>GER</c:v>
                </c:pt>
                <c:pt idx="5">
                  <c:v>JPN</c:v>
                </c:pt>
              </c:strCache>
            </c:strRef>
          </c:cat>
          <c:val>
            <c:numRef>
              <c:f>Sheet1!$C$2:$C$7</c:f>
              <c:numCache>
                <c:ptCount val="6"/>
                <c:pt idx="0" formatCode="General">
                  <c:v>29</c:v>
                </c:pt>
                <c:pt idx="1" formatCode="General">
                  <c:v>27</c:v>
                </c:pt>
                <c:pt idx="2" formatCode="General">
                  <c:v>26</c:v>
                </c:pt>
                <c:pt idx="3" formatCode="General">
                  <c:v>17</c:v>
                </c:pt>
                <c:pt idx="4" formatCode="General">
                  <c:v>19</c:v>
                </c:pt>
                <c:pt idx="5" formatCode="General">
                  <c:v>14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Bronze</c:v>
                </c:pt>
              </c:strCache>
            </c:strRef>
          </c:tx>
          <c:dPt>
            <c:idx val="0"/>
            <c:spPr bwMode="auto">
              <a:prstGeom prst="rect">
                <a:avLst/>
              </a:prstGeom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spPr bwMode="auto">
              <a:prstGeom prst="rect">
                <a:avLst/>
              </a:prstGeom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Pt>
            <c:idx val="2"/>
            <c:spPr bwMode="auto">
              <a:prstGeom prst="rect">
                <a:avLst/>
              </a:prstGeom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</c:dPt>
          <c:dPt>
            <c:idx val="3"/>
            <c:spPr bwMode="auto">
              <a:prstGeom prst="rect">
                <a:avLst/>
              </a:prstGeom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</c:dPt>
          <c:dPt>
            <c:idx val="4"/>
            <c:spPr bwMode="auto">
              <a:prstGeom prst="rect">
                <a:avLst/>
              </a:prstGeom>
              <a:solidFill>
                <a:schemeClr val="accent5"/>
              </a:solidFill>
              <a:ln w="19050">
                <a:solidFill>
                  <a:schemeClr val="lt1"/>
                </a:solidFill>
              </a:ln>
            </c:spPr>
          </c:dPt>
          <c:dPt>
            <c:idx val="5"/>
            <c:spPr bwMode="auto">
              <a:prstGeom prst="rect">
                <a:avLst/>
              </a:prstGeom>
              <a:solidFill>
                <a:schemeClr val="accent6"/>
              </a:solidFill>
              <a:ln w="19050">
                <a:solidFill>
                  <a:schemeClr val="lt1"/>
                </a:solidFill>
              </a:ln>
            </c:spPr>
          </c:dPt>
          <c:dLbls>
            <c:dLbl>
              <c:idx val="0"/>
              <c:dLblPos val="ctr"/>
              <c:layout/>
              <c:showBubbleSize val="0"/>
              <c:showCatName val="0"/>
              <c:showLegendKey val="0"/>
              <c:showPercent val="0"/>
              <c:showSerName val="0"/>
              <c:showVal val="0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>
              <c:idx val="1"/>
              <c:dLblPos val="ctr"/>
              <c:layout/>
              <c:showBubbleSize val="0"/>
              <c:showCatName val="0"/>
              <c:showLegendKey val="0"/>
              <c:showPercent val="0"/>
              <c:showSerName val="0"/>
              <c:showVal val="0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>
              <c:idx val="2"/>
              <c:dLblPos val="ctr"/>
              <c:layout/>
              <c:showBubbleSize val="0"/>
              <c:showCatName val="0"/>
              <c:showLegendKey val="0"/>
              <c:showPercent val="0"/>
              <c:showSerName val="0"/>
              <c:showVal val="0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>
              <c:idx val="3"/>
              <c:dLblPos val="ctr"/>
              <c:layout/>
              <c:showBubbleSize val="0"/>
              <c:showCatName val="0"/>
              <c:showLegendKey val="0"/>
              <c:showPercent val="0"/>
              <c:showSerName val="0"/>
              <c:showVal val="0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>
              <c:idx val="4"/>
              <c:dLblPos val="ctr"/>
              <c:layout/>
              <c:showBubbleSize val="0"/>
              <c:showCatName val="0"/>
              <c:showLegendKey val="0"/>
              <c:showPercent val="0"/>
              <c:showSerName val="0"/>
              <c:showVal val="0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>
              <c:idx val="5"/>
              <c:dLblPos val="ctr"/>
              <c:layout/>
              <c:showBubbleSize val="0"/>
              <c:showCatName val="0"/>
              <c:showLegendKey val="0"/>
              <c:showPercent val="0"/>
              <c:showSerName val="0"/>
              <c:showVal val="0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Pos val="ctr"/>
            <c:showBubbleSize val="0"/>
            <c:showCatName val="0"/>
            <c:showLeaderLines val="1"/>
            <c:showLegendKey val="0"/>
            <c:showPercent val="0"/>
            <c:showSerName val="0"/>
            <c:showVal val="0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p>
                <a:pPr>
                  <a:defRPr sz="90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Sheet1!$A$2:$A$7</c:f>
              <c:strCache>
                <c:ptCount val="6"/>
                <c:pt idx="0">
                  <c:v>USA</c:v>
                </c:pt>
                <c:pt idx="1">
                  <c:v>CHN</c:v>
                </c:pt>
                <c:pt idx="2">
                  <c:v>RUS</c:v>
                </c:pt>
                <c:pt idx="3">
                  <c:v>GBR</c:v>
                </c:pt>
                <c:pt idx="4">
                  <c:v>GER</c:v>
                </c:pt>
                <c:pt idx="5">
                  <c:v>JPN</c:v>
                </c:pt>
              </c:strCache>
            </c:strRef>
          </c:cat>
          <c:val>
            <c:numRef>
              <c:f>Sheet1!$D$2:$D$7</c:f>
              <c:numCache>
                <c:ptCount val="6"/>
                <c:pt idx="0" formatCode="General">
                  <c:v>29</c:v>
                </c:pt>
                <c:pt idx="1" formatCode="General">
                  <c:v>23</c:v>
                </c:pt>
                <c:pt idx="2" formatCode="General">
                  <c:v>32</c:v>
                </c:pt>
                <c:pt idx="3" formatCode="General">
                  <c:v>19</c:v>
                </c:pt>
                <c:pt idx="4" formatCode="General">
                  <c:v>14</c:v>
                </c:pt>
                <c:pt idx="5" formatCode="General">
                  <c:v>17</c:v>
                </c:pt>
              </c:numCache>
            </c:numRef>
          </c:val>
        </c:ser>
        <c:dLbls>
          <c:dLblPos val="ctr"/>
          <c:showBubbleSize val="0"/>
          <c:showCatName val="0"/>
          <c:showLeaderLines val="1"/>
          <c:showLegendKey val="0"/>
          <c:showPercent val="0"/>
          <c:showSerName val="0"/>
          <c:showVal val="0"/>
          <c:spPr bwMode="auto">
            <a:prstGeom prst="rect">
              <a:avLst/>
            </a:prstGeom>
            <a:noFill/>
            <a:ln>
              <a:noFill/>
            </a:ln>
          </c:spPr>
          <c:txPr>
            <a:bodyPr/>
            <a:p>
              <a:pPr>
                <a:defRPr sz="90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/>
            </a:p>
          </c:txPr>
        </c:dLbls>
        <c:firstSliceAng val="0"/>
      </c:pieChart>
      <c:spPr bwMode="auto">
        <a:prstGeom prst="rect">
          <a:avLst/>
        </a:prstGeom>
        <a:noFill/>
        <a:ln>
          <a:noFill/>
        </a:ln>
      </c:spPr>
    </c:plotArea>
    <c:legend>
      <c:legendPos val="b"/>
      <c:layout/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 bwMode="auto">
    <a:xfrm>
      <a:off x="0" y="0"/>
      <a:ext cx="5472000" cy="3203999"/>
    </a:xfrm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</c:spPr>
  <c:txPr>
    <a:bodyPr/>
    <a:p>
      <a:pPr>
        <a:defRPr sz="900">
          <a:solidFill>
            <a:schemeClr val="tx1"/>
          </a:solidFill>
          <a:latin typeface="+mn-lt"/>
          <a:ea typeface="+mn-ea"/>
          <a:cs typeface="+mn-cs"/>
        </a:defRPr>
      </a:pPr>
      <a:endParaRPr/>
    </a:p>
  </c:txPr>
  <c:externalData r:id="rId3">
    <c:autoUpdate val="0"/>
  </c:externalData>
  <c:printSettings>
    <c:headerFooter/>
    <c:pageMargins l="0.69999999999999996" r="0.69999999999999996" t="0.75" b="0.75" header="0.29999999999999999" footer="0.29999999999999999"/>
    <c:pageSetup/>
  </c:printSettings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zh-CN"/>
  <c:roundedCorners val="0"/>
  <mc:AlternateContent>
    <mc:Choice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049868"/>
          <c:y val="0.041758"/>
          <c:w val="0.886950"/>
          <c:h val="0.84453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[2025年1月五类损失.xlsx]限电率!$F$1</c:f>
              <c:strCache>
                <c:ptCount val="1"/>
                <c:pt idx="0">
                  <c:v>限电率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1"/>
            </a:solidFill>
            <a:ln>
              <a:noFill/>
            </a:ln>
            <a:effectLst>
              <a:outerShdw blurRad="50800" dist="38100" dir="2700000" algn="tl" rotWithShape="0">
                <a:prstClr val="black">
                  <a:alpha val="40000"/>
                </a:prstClr>
              </a:outerShdw>
            </a:effectLst>
          </c:spPr>
          <c:invertIfNegative val="0"/>
          <c:dLbls>
            <c:dLbl>
              <c:idx val="6"/>
              <c:dLblPos val="outEnd"/>
              <c:layout>
                <c:manualLayout>
                  <c:x val="0.000990"/>
                  <c:y val="0.026098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8"/>
              <c:dLblPos val="outEnd"/>
              <c:layout>
                <c:manualLayout>
                  <c:x val="0.000990"/>
                  <c:y val="0.026098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4"/>
              <c:delete val="1"/>
              <c:layout/>
            </c:dLbl>
            <c:dLbl>
              <c:idx val="17"/>
              <c:delete val="1"/>
              <c:layout/>
            </c:dLbl>
            <c:dLbl>
              <c:idx val="18"/>
              <c:delete val="1"/>
              <c:layout/>
            </c:dLbl>
            <c:dLblPos val="outEnd"/>
            <c:numFmt formatCode="0%" sourceLinked="0"/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700" b="0" i="0" u="none" strike="noStrike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[2025年1月五类损失.xlsx]限电率!$E$2:$E$20</c:f>
              <c:strCache>
                <c:ptCount val="19"/>
                <c:pt idx="0">
                  <c:v>河北</c:v>
                </c:pt>
                <c:pt idx="1">
                  <c:v>蒙西</c:v>
                </c:pt>
                <c:pt idx="2">
                  <c:v>山东</c:v>
                </c:pt>
                <c:pt idx="3">
                  <c:v>吉林</c:v>
                </c:pt>
                <c:pt idx="4">
                  <c:v>蒙东</c:v>
                </c:pt>
                <c:pt idx="5">
                  <c:v>江苏</c:v>
                </c:pt>
                <c:pt idx="6">
                  <c:v>广西</c:v>
                </c:pt>
                <c:pt idx="7">
                  <c:v>宁夏</c:v>
                </c:pt>
                <c:pt idx="8">
                  <c:v>陕西</c:v>
                </c:pt>
                <c:pt idx="9">
                  <c:v>山西</c:v>
                </c:pt>
                <c:pt idx="10">
                  <c:v>甘肃</c:v>
                </c:pt>
                <c:pt idx="11">
                  <c:v>天津</c:v>
                </c:pt>
                <c:pt idx="12">
                  <c:v>黑龙</c:v>
                </c:pt>
                <c:pt idx="13">
                  <c:v>河南</c:v>
                </c:pt>
                <c:pt idx="14">
                  <c:v>海南</c:v>
                </c:pt>
                <c:pt idx="15">
                  <c:v>辽宁</c:v>
                </c:pt>
                <c:pt idx="16">
                  <c:v>湖北</c:v>
                </c:pt>
                <c:pt idx="17">
                  <c:v>广东</c:v>
                </c:pt>
                <c:pt idx="18">
                  <c:v>湖南</c:v>
                </c:pt>
              </c:strCache>
            </c:strRef>
          </c:cat>
          <c:val>
            <c:numRef>
              <c:f>[2025年1月五类损失.xlsx]限电率!$F$2:$F$20</c:f>
              <c:numCache>
                <c:formatCode>0.0%</c:formatCode>
                <c:ptCount val="19"/>
                <c:pt idx="0">
                  <c:v>0.0979402381154622</c:v>
                </c:pt>
                <c:pt idx="1">
                  <c:v>0.123887821759463</c:v>
                </c:pt>
                <c:pt idx="2">
                  <c:v>0.0782672756719505</c:v>
                </c:pt>
                <c:pt idx="3">
                  <c:v>0.106488051054095</c:v>
                </c:pt>
                <c:pt idx="4">
                  <c:v>0.0615579725609607</c:v>
                </c:pt>
                <c:pt idx="5">
                  <c:v>0.0433072893373656</c:v>
                </c:pt>
                <c:pt idx="6">
                  <c:v>0.0698055618230972</c:v>
                </c:pt>
                <c:pt idx="7">
                  <c:v>0.0577487015150565</c:v>
                </c:pt>
                <c:pt idx="8">
                  <c:v>0.0717040953895202</c:v>
                </c:pt>
                <c:pt idx="9">
                  <c:v>0.0869550326265512</c:v>
                </c:pt>
                <c:pt idx="10">
                  <c:v>0.208571796744256</c:v>
                </c:pt>
                <c:pt idx="11">
                  <c:v>0.135179229449174</c:v>
                </c:pt>
                <c:pt idx="12">
                  <c:v>0.167966732207174</c:v>
                </c:pt>
                <c:pt idx="13">
                  <c:v>0.0288291990409086</c:v>
                </c:pt>
                <c:pt idx="14">
                  <c:v>0.107148815287705</c:v>
                </c:pt>
                <c:pt idx="15">
                  <c:v>0.0290590440746201</c:v>
                </c:pt>
                <c:pt idx="16">
                  <c:v>0.0607865563960802</c:v>
                </c:pt>
                <c:pt idx="17">
                  <c:v>0.00442741132162635</c:v>
                </c:pt>
                <c:pt idx="18">
                  <c:v>0</c:v>
                </c:pt>
              </c:numCache>
            </c:numRef>
          </c:val>
        </c:ser>
        <c:ser>
          <c:idx val="1"/>
          <c:order val="1"/>
          <c:tx>
            <c:strRef>
              <c:f>[2025年1月五类损失.xlsx]限电率!$G$1</c:f>
              <c:strCache>
                <c:ptCount val="1"/>
                <c:pt idx="0">
                  <c:v>系列1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[2025年1月五类损失.xlsx]限电率!$E$2:$E$20</c:f>
              <c:strCache>
                <c:ptCount val="19"/>
                <c:pt idx="0">
                  <c:v>河北</c:v>
                </c:pt>
                <c:pt idx="1">
                  <c:v>蒙西</c:v>
                </c:pt>
                <c:pt idx="2">
                  <c:v>山东</c:v>
                </c:pt>
                <c:pt idx="3">
                  <c:v>吉林</c:v>
                </c:pt>
                <c:pt idx="4">
                  <c:v>蒙东</c:v>
                </c:pt>
                <c:pt idx="5">
                  <c:v>江苏</c:v>
                </c:pt>
                <c:pt idx="6">
                  <c:v>广西</c:v>
                </c:pt>
                <c:pt idx="7">
                  <c:v>宁夏</c:v>
                </c:pt>
                <c:pt idx="8">
                  <c:v>陕西</c:v>
                </c:pt>
                <c:pt idx="9">
                  <c:v>山西</c:v>
                </c:pt>
                <c:pt idx="10">
                  <c:v>甘肃</c:v>
                </c:pt>
                <c:pt idx="11">
                  <c:v>天津</c:v>
                </c:pt>
                <c:pt idx="12">
                  <c:v>黑龙</c:v>
                </c:pt>
                <c:pt idx="13">
                  <c:v>河南</c:v>
                </c:pt>
                <c:pt idx="14">
                  <c:v>海南</c:v>
                </c:pt>
                <c:pt idx="15">
                  <c:v>辽宁</c:v>
                </c:pt>
                <c:pt idx="16">
                  <c:v>湖北</c:v>
                </c:pt>
                <c:pt idx="17">
                  <c:v>广东</c:v>
                </c:pt>
                <c:pt idx="18">
                  <c:v>湖南</c:v>
                </c:pt>
              </c:strCache>
            </c:strRef>
          </c:cat>
          <c:val>
            <c:numRef>
              <c:f>[2025年1月五类损失.xlsx]限电率!$G$2:$G$20</c:f>
              <c:numCache>
                <c:formatCode>General</c:formatCode>
                <c:ptCount val="19"/>
              </c:numCache>
            </c:numRef>
          </c:val>
        </c:ser>
        <c:ser>
          <c:idx val="3"/>
          <c:order val="3"/>
          <c:tx>
            <c:strRef>
              <c:f>[2025年1月五类损失.xlsx]限电率!$I$1</c:f>
              <c:strCache>
                <c:ptCount val="1"/>
                <c:pt idx="0">
                  <c:v>系列2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[2025年1月五类损失.xlsx]限电率!$E$2:$E$20</c:f>
              <c:strCache>
                <c:ptCount val="19"/>
                <c:pt idx="0">
                  <c:v>河北</c:v>
                </c:pt>
                <c:pt idx="1">
                  <c:v>蒙西</c:v>
                </c:pt>
                <c:pt idx="2">
                  <c:v>山东</c:v>
                </c:pt>
                <c:pt idx="3">
                  <c:v>吉林</c:v>
                </c:pt>
                <c:pt idx="4">
                  <c:v>蒙东</c:v>
                </c:pt>
                <c:pt idx="5">
                  <c:v>江苏</c:v>
                </c:pt>
                <c:pt idx="6">
                  <c:v>广西</c:v>
                </c:pt>
                <c:pt idx="7">
                  <c:v>宁夏</c:v>
                </c:pt>
                <c:pt idx="8">
                  <c:v>陕西</c:v>
                </c:pt>
                <c:pt idx="9">
                  <c:v>山西</c:v>
                </c:pt>
                <c:pt idx="10">
                  <c:v>甘肃</c:v>
                </c:pt>
                <c:pt idx="11">
                  <c:v>天津</c:v>
                </c:pt>
                <c:pt idx="12">
                  <c:v>黑龙</c:v>
                </c:pt>
                <c:pt idx="13">
                  <c:v>河南</c:v>
                </c:pt>
                <c:pt idx="14">
                  <c:v>海南</c:v>
                </c:pt>
                <c:pt idx="15">
                  <c:v>辽宁</c:v>
                </c:pt>
                <c:pt idx="16">
                  <c:v>湖北</c:v>
                </c:pt>
                <c:pt idx="17">
                  <c:v>广东</c:v>
                </c:pt>
                <c:pt idx="18">
                  <c:v>湖南</c:v>
                </c:pt>
              </c:strCache>
            </c:strRef>
          </c:cat>
          <c:val>
            <c:numRef>
              <c:f>[2025年1月五类损失.xlsx]限电率!$I$2:$I$20</c:f>
              <c:numCache>
                <c:formatCode>General</c:formatCode>
                <c:ptCount val="19"/>
              </c:numCache>
            </c:numRef>
          </c:val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1"/>
        </c:dLbls>
        <c:gapWidth val="0"/>
        <c:overlap val="-11"/>
        <c:axId val="396352317"/>
        <c:axId val="444139086"/>
      </c:barChart>
      <c:barChart>
        <c:barDir val="col"/>
        <c:grouping val="clustered"/>
        <c:varyColors val="0"/>
        <c:ser>
          <c:idx val="4"/>
          <c:order val="4"/>
          <c:tx>
            <c:strRef>
              <c:f>[2025年1月五类损失.xlsx]限电率!$J$1</c:f>
              <c:strCache>
                <c:ptCount val="1"/>
                <c:pt idx="0">
                  <c:v>限电量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6"/>
            </a:solidFill>
            <a:ln>
              <a:noFill/>
            </a:ln>
            <a:effectLst>
              <a:outerShdw blurRad="50800" dist="38100" dir="2700000" algn="tl" rotWithShape="0">
                <a:prstClr val="black">
                  <a:alpha val="40000"/>
                </a:prstClr>
              </a:outerShdw>
            </a:effectLst>
          </c:spPr>
          <c:invertIfNegative val="0"/>
          <c:dLbls>
            <c:dLbl>
              <c:idx val="3"/>
              <c:dLblPos val="outEnd"/>
              <c:layout>
                <c:manualLayout>
                  <c:x val="0.005722"/>
                  <c:y val="0.018704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4"/>
              <c:dLblPos val="outEnd"/>
              <c:layout>
                <c:manualLayout>
                  <c:x val="0.005612"/>
                  <c:y val="0.022184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6"/>
              <c:dLblPos val="outEnd"/>
              <c:layout>
                <c:manualLayout>
                  <c:x val="0.004732"/>
                  <c:y val="0.020661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7"/>
              <c:dLblPos val="outEnd"/>
              <c:layout>
                <c:manualLayout>
                  <c:x val="0.005612"/>
                  <c:y val="0.009352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8"/>
              <c:dLblPos val="outEnd"/>
              <c:layout>
                <c:manualLayout>
                  <c:x val="0.005612"/>
                  <c:y val="0.013049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9"/>
              <c:dLblPos val="outEnd"/>
              <c:layout>
                <c:manualLayout>
                  <c:x val="0.005612"/>
                  <c:y val="0.015007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0"/>
              <c:dLblPos val="outEnd"/>
              <c:layout>
                <c:manualLayout>
                  <c:x val="0.003741"/>
                  <c:y val="0.011092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1"/>
              <c:dLblPos val="outEnd"/>
              <c:layout>
                <c:manualLayout>
                  <c:x val="0.004732"/>
                  <c:y val="0.015007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2"/>
              <c:dLblPos val="outEnd"/>
              <c:layout>
                <c:manualLayout>
                  <c:x val="0.006602"/>
                  <c:y val="0.015007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3"/>
              <c:dLblPos val="outEnd"/>
              <c:layout>
                <c:manualLayout>
                  <c:x val="0.009353"/>
                  <c:y val="0.013049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4"/>
              <c:delete val="1"/>
              <c:layout/>
            </c:dLbl>
            <c:dLbl>
              <c:idx val="15"/>
              <c:dLblPos val="outEnd"/>
              <c:layout>
                <c:manualLayout>
                  <c:x val="0.006602"/>
                  <c:y val="0.009352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6"/>
              <c:delete val="1"/>
              <c:layout/>
            </c:dLbl>
            <c:dLbl>
              <c:idx val="17"/>
              <c:delete val="1"/>
              <c:layout/>
            </c:dLbl>
            <c:dLbl>
              <c:idx val="18"/>
              <c:delete val="1"/>
              <c:layout/>
            </c:dLbl>
            <c:dLblPos val="outEnd"/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700" b="0" i="0" u="none" strike="noStrike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[2025年1月五类损失.xlsx]限电率!$E$2:$E$20</c:f>
              <c:strCache>
                <c:ptCount val="19"/>
                <c:pt idx="0">
                  <c:v>河北</c:v>
                </c:pt>
                <c:pt idx="1">
                  <c:v>蒙西</c:v>
                </c:pt>
                <c:pt idx="2">
                  <c:v>山东</c:v>
                </c:pt>
                <c:pt idx="3">
                  <c:v>吉林</c:v>
                </c:pt>
                <c:pt idx="4">
                  <c:v>蒙东</c:v>
                </c:pt>
                <c:pt idx="5">
                  <c:v>江苏</c:v>
                </c:pt>
                <c:pt idx="6">
                  <c:v>广西</c:v>
                </c:pt>
                <c:pt idx="7">
                  <c:v>宁夏</c:v>
                </c:pt>
                <c:pt idx="8">
                  <c:v>陕西</c:v>
                </c:pt>
                <c:pt idx="9">
                  <c:v>山西</c:v>
                </c:pt>
                <c:pt idx="10">
                  <c:v>甘肃</c:v>
                </c:pt>
                <c:pt idx="11">
                  <c:v>天津</c:v>
                </c:pt>
                <c:pt idx="12">
                  <c:v>黑龙</c:v>
                </c:pt>
                <c:pt idx="13">
                  <c:v>河南</c:v>
                </c:pt>
                <c:pt idx="14">
                  <c:v>海南</c:v>
                </c:pt>
                <c:pt idx="15">
                  <c:v>辽宁</c:v>
                </c:pt>
                <c:pt idx="16">
                  <c:v>湖北</c:v>
                </c:pt>
                <c:pt idx="17">
                  <c:v>广东</c:v>
                </c:pt>
                <c:pt idx="18">
                  <c:v>湖南</c:v>
                </c:pt>
              </c:strCache>
            </c:strRef>
          </c:cat>
          <c:val>
            <c:numRef>
              <c:f>[2025年1月五类损失.xlsx]限电率!$J$2:$J$20</c:f>
              <c:numCache>
                <c:formatCode xml:space="preserve">0.00_ </c:formatCode>
                <c:ptCount val="19"/>
                <c:pt idx="0">
                  <c:v>0.8594898815</c:v>
                </c:pt>
                <c:pt idx="1">
                  <c:v>0.5858726104</c:v>
                </c:pt>
                <c:pt idx="2">
                  <c:v>0.5178890228</c:v>
                </c:pt>
                <c:pt idx="3">
                  <c:v>0.2410436008</c:v>
                </c:pt>
                <c:pt idx="4">
                  <c:v>0.2038358958</c:v>
                </c:pt>
                <c:pt idx="5">
                  <c:v>0.1448601865</c:v>
                </c:pt>
                <c:pt idx="6">
                  <c:v>0.1365717584</c:v>
                </c:pt>
                <c:pt idx="7">
                  <c:v>0.118753006967</c:v>
                </c:pt>
                <c:pt idx="8">
                  <c:v>0.102444772</c:v>
                </c:pt>
                <c:pt idx="9">
                  <c:v>0.0782000428</c:v>
                </c:pt>
                <c:pt idx="10">
                  <c:v>0.0551776</c:v>
                </c:pt>
                <c:pt idx="11">
                  <c:v>0.0384245531</c:v>
                </c:pt>
                <c:pt idx="12">
                  <c:v>0.025806895</c:v>
                </c:pt>
                <c:pt idx="13">
                  <c:v>0.0210016895</c:v>
                </c:pt>
                <c:pt idx="14">
                  <c:v>0.018157</c:v>
                </c:pt>
                <c:pt idx="15">
                  <c:v>0.0154974617</c:v>
                </c:pt>
                <c:pt idx="16">
                  <c:v>0.0141212</c:v>
                </c:pt>
                <c:pt idx="17">
                  <c:v>0.00020241</c:v>
                </c:pt>
                <c:pt idx="18">
                  <c:v>0</c:v>
                </c:pt>
              </c:numCache>
            </c:numRef>
          </c:val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1"/>
        </c:dLbls>
        <c:gapWidth val="185"/>
        <c:overlap val="-7"/>
        <c:axId val="329772020"/>
        <c:axId val="622087191"/>
      </c:barChart>
      <c:lineChart>
        <c:grouping val="standard"/>
        <c:varyColors val="0"/>
        <c:ser>
          <c:idx val="2"/>
          <c:order val="2"/>
          <c:tx>
            <c:strRef>
              <c:f>[2025年1月五类损失.xlsx]限电率!$H$1</c:f>
              <c:strCache>
                <c:ptCount val="1"/>
                <c:pt idx="0">
                  <c:v>公司均值</c:v>
                </c:pt>
              </c:strCache>
            </c:strRef>
          </c:tx>
          <c:spPr bwMode="auto">
            <a:prstGeom prst="rect">
              <a:avLst/>
            </a:prstGeom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[2025年1月五类损失.xlsx]限电率!$E$2:$E$20</c:f>
              <c:strCache>
                <c:ptCount val="19"/>
                <c:pt idx="0">
                  <c:v>河北</c:v>
                </c:pt>
                <c:pt idx="1">
                  <c:v>蒙西</c:v>
                </c:pt>
                <c:pt idx="2">
                  <c:v>山东</c:v>
                </c:pt>
                <c:pt idx="3">
                  <c:v>吉林</c:v>
                </c:pt>
                <c:pt idx="4">
                  <c:v>蒙东</c:v>
                </c:pt>
                <c:pt idx="5">
                  <c:v>江苏</c:v>
                </c:pt>
                <c:pt idx="6">
                  <c:v>广西</c:v>
                </c:pt>
                <c:pt idx="7">
                  <c:v>宁夏</c:v>
                </c:pt>
                <c:pt idx="8">
                  <c:v>陕西</c:v>
                </c:pt>
                <c:pt idx="9">
                  <c:v>山西</c:v>
                </c:pt>
                <c:pt idx="10">
                  <c:v>甘肃</c:v>
                </c:pt>
                <c:pt idx="11">
                  <c:v>天津</c:v>
                </c:pt>
                <c:pt idx="12">
                  <c:v>黑龙</c:v>
                </c:pt>
                <c:pt idx="13">
                  <c:v>河南</c:v>
                </c:pt>
                <c:pt idx="14">
                  <c:v>海南</c:v>
                </c:pt>
                <c:pt idx="15">
                  <c:v>辽宁</c:v>
                </c:pt>
                <c:pt idx="16">
                  <c:v>湖北</c:v>
                </c:pt>
                <c:pt idx="17">
                  <c:v>广东</c:v>
                </c:pt>
                <c:pt idx="18">
                  <c:v>湖南</c:v>
                </c:pt>
              </c:strCache>
            </c:strRef>
          </c:cat>
          <c:val>
            <c:numRef>
              <c:f>[2025年1月五类损失.xlsx]限电率!$H$2:$H$20</c:f>
              <c:numCache>
                <c:formatCode>0.00%</c:formatCode>
                <c:ptCount val="19"/>
                <c:pt idx="0">
                  <c:v>0.0820149842057249</c:v>
                </c:pt>
                <c:pt idx="1">
                  <c:v>0.0820149842057249</c:v>
                </c:pt>
                <c:pt idx="2">
                  <c:v>0.0820149842057249</c:v>
                </c:pt>
                <c:pt idx="3">
                  <c:v>0.0820149842057249</c:v>
                </c:pt>
                <c:pt idx="4">
                  <c:v>0.0820149842057249</c:v>
                </c:pt>
                <c:pt idx="5">
                  <c:v>0.0820149842057249</c:v>
                </c:pt>
                <c:pt idx="6">
                  <c:v>0.0820149842057249</c:v>
                </c:pt>
                <c:pt idx="7">
                  <c:v>0.0820149842057249</c:v>
                </c:pt>
                <c:pt idx="8">
                  <c:v>0.0820149842057249</c:v>
                </c:pt>
                <c:pt idx="9">
                  <c:v>0.0820149842057249</c:v>
                </c:pt>
                <c:pt idx="10">
                  <c:v>0.0820149842057249</c:v>
                </c:pt>
                <c:pt idx="11">
                  <c:v>0.0820149842057249</c:v>
                </c:pt>
                <c:pt idx="12">
                  <c:v>0.0820149842057249</c:v>
                </c:pt>
                <c:pt idx="13">
                  <c:v>0.0820149842057249</c:v>
                </c:pt>
                <c:pt idx="14">
                  <c:v>0.0820149842057249</c:v>
                </c:pt>
                <c:pt idx="15">
                  <c:v>0.0820149842057249</c:v>
                </c:pt>
                <c:pt idx="16">
                  <c:v>0.0820149842057249</c:v>
                </c:pt>
                <c:pt idx="17">
                  <c:v>0.0820149842057249</c:v>
                </c:pt>
                <c:pt idx="18">
                  <c:v>0.0820149842057249</c:v>
                </c:pt>
              </c:numCache>
            </c:numRef>
          </c:val>
          <c:smooth val="0"/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0"/>
        </c:dLbls>
        <c:marker val="0"/>
        <c:smooth val="0"/>
        <c:axId val="396352317"/>
        <c:axId val="444139086"/>
      </c:lineChart>
      <c:catAx>
        <c:axId val="396352317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/>
          </a:p>
        </c:txPr>
        <c:crossAx val="444139086"/>
        <c:crosses val="autoZero"/>
        <c:auto val="1"/>
        <c:lblAlgn val="ctr"/>
        <c:lblOffset val="100"/>
        <c:noMultiLvlLbl val="0"/>
      </c:catAx>
      <c:valAx>
        <c:axId val="444139086"/>
        <c:scaling>
          <c:orientation val="minMax"/>
        </c:scaling>
        <c:delete val="0"/>
        <c:axPos val="l"/>
        <c:majorGridlines>
          <c:spPr bwMode="auto">
            <a:prstGeom prst="rect">
              <a:avLst/>
            </a:prstGeom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0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8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/>
          </a:p>
        </c:txPr>
        <c:crossAx val="396352317"/>
        <c:crosses val="autoZero"/>
        <c:crossBetween val="between"/>
      </c:valAx>
      <c:catAx>
        <c:axId val="32977202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6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/>
          </a:p>
        </c:txPr>
        <c:crossAx val="622087191"/>
        <c:crosses val="autoZero"/>
        <c:auto val="1"/>
        <c:lblAlgn val="ctr"/>
        <c:lblOffset val="100"/>
        <c:noMultiLvlLbl val="0"/>
      </c:catAx>
      <c:valAx>
        <c:axId val="622087191"/>
        <c:scaling>
          <c:orientation val="minMax"/>
        </c:scaling>
        <c:delete val="0"/>
        <c:axPos val="r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800" b="0" i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sz="800"/>
                  <a:t>单位：亿度</a:t>
                </a:r>
                <a:endParaRPr lang="zh-CN" sz="800"/>
              </a:p>
            </c:rich>
          </c:tx>
          <c:layout>
            <c:manualLayout>
              <c:xMode val="edge"/>
              <c:yMode val="edge"/>
              <c:x val="0.969410"/>
              <c:y val="0.402082"/>
            </c:manualLayout>
          </c:layout>
          <c:overlay val="0"/>
          <c:spPr bwMode="auto">
            <a:prstGeom prst="rect">
              <a:avLst/>
            </a:prstGeom>
            <a:noFill/>
            <a:ln>
              <a:noFill/>
            </a:ln>
            <a:effectLst/>
          </c:spPr>
        </c:title>
        <c:numFmt formatCode="0.0_);[Red]\(0.0\)" sourceLinked="0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8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/>
          </a:p>
        </c:txPr>
        <c:crossAx val="329772020"/>
        <c:crosses val="max"/>
        <c:crossBetween val="between"/>
      </c:valAx>
      <c:spPr bwMode="auto">
        <a:prstGeom prst="rect">
          <a:avLst/>
        </a:prstGeom>
        <a:noFill/>
        <a:ln>
          <a:noFill/>
        </a:ln>
        <a:effectLst/>
      </c:spPr>
    </c:plotArea>
    <c:plotVisOnly val="1"/>
    <c:dispBlanksAs val="gap"/>
    <c:showDLblsOverMax val="0"/>
  </c:chart>
  <c:spPr bwMode="auto"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 sz="600"/>
      </a:pPr>
      <a:endParaRPr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zh-CN"/>
  <c:roundedCorners val="0"/>
  <mc:AlternateContent>
    <mc:Choice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086044"/>
          <c:y val="0.075828"/>
          <c:w val="0.830938"/>
          <c:h val="0.75481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[工作簿24]Sheet1!$K$2</c:f>
              <c:strCache>
                <c:ptCount val="1"/>
                <c:pt idx="0">
                  <c:v>台均故障次数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1"/>
            </a:solidFill>
            <a:ln>
              <a:noFill/>
            </a:ln>
            <a:effectLst>
              <a:outerShdw blurRad="50800" dist="38100" dir="2700000" algn="tl" rotWithShape="0">
                <a:prstClr val="black">
                  <a:alpha val="40000"/>
                </a:prstClr>
              </a:outerShdw>
            </a:effectLst>
          </c:spPr>
          <c:invertIfNegative val="0"/>
          <c:dLbls>
            <c:dLbl>
              <c:idx val="0"/>
              <c:dLblPos val="outEnd"/>
              <c:layout>
                <c:manualLayout>
                  <c:x val="-0.013606"/>
                  <c:y val="0.027667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"/>
              <c:dLblPos val="outEnd"/>
              <c:layout>
                <c:manualLayout>
                  <c:x val="-0.012443"/>
                  <c:y val="0.009340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2"/>
              <c:dLblPos val="outEnd"/>
              <c:layout>
                <c:manualLayout>
                  <c:x val="-0.007454"/>
                  <c:y val="0.023240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3"/>
              <c:dLblPos val="outEnd"/>
              <c:layout>
                <c:manualLayout>
                  <c:x val="-0.008631"/>
                  <c:y val="0.011563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4"/>
              <c:dLblPos val="outEnd"/>
              <c:layout>
                <c:manualLayout>
                  <c:x val="-0.010804"/>
                  <c:y val="0.036361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5"/>
              <c:dLblPos val="outEnd"/>
              <c:layout>
                <c:manualLayout>
                  <c:x val="-0.003923"/>
                  <c:y val="0.020903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6"/>
              <c:dLblPos val="outEnd"/>
              <c:layout>
                <c:manualLayout>
                  <c:x val="-0.004820"/>
                  <c:y val="0.024683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7"/>
              <c:dLblPos val="outEnd"/>
              <c:layout>
                <c:manualLayout>
                  <c:x val="-0.010537"/>
                  <c:y val="0.026684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8"/>
              <c:dLblPos val="outEnd"/>
              <c:layout>
                <c:manualLayout>
                  <c:x val="-0.011546"/>
                  <c:y val="0.017123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9"/>
              <c:dLblPos val="outEnd"/>
              <c:layout>
                <c:manualLayout>
                  <c:x val="-0.014460"/>
                  <c:y val="0.030465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0"/>
              <c:dLblPos val="outEnd"/>
              <c:layout>
                <c:manualLayout>
                  <c:x val="-0.010537"/>
                  <c:y val="0.022904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1"/>
              <c:dLblPos val="outEnd"/>
              <c:layout>
                <c:manualLayout>
                  <c:x val="-0.009752"/>
                  <c:y val="0.015121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2"/>
              <c:dLblPos val="outEnd"/>
              <c:layout>
                <c:manualLayout>
                  <c:x val="-0.006875"/>
                  <c:y val="0.023718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3"/>
              <c:dLblPos val="outEnd"/>
              <c:layout>
                <c:manualLayout>
                  <c:x val="-0.004851"/>
                  <c:y val="0.021283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4"/>
              <c:dLblPos val="outEnd"/>
              <c:layout>
                <c:manualLayout>
                  <c:x val="-0.006152"/>
                  <c:y val="0.016158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Pos val="outEnd"/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[工作簿24]Sheet1!$J$3:$J$17</c:f>
              <c:strCache>
                <c:ptCount val="15"/>
                <c:pt idx="0">
                  <c:v>黑龙江</c:v>
                </c:pt>
                <c:pt idx="1">
                  <c:v>蒙东</c:v>
                </c:pt>
                <c:pt idx="2">
                  <c:v>山东</c:v>
                </c:pt>
                <c:pt idx="3">
                  <c:v>江苏</c:v>
                </c:pt>
                <c:pt idx="4">
                  <c:v>河北</c:v>
                </c:pt>
                <c:pt idx="5">
                  <c:v>吉林</c:v>
                </c:pt>
                <c:pt idx="6">
                  <c:v>山西</c:v>
                </c:pt>
                <c:pt idx="7">
                  <c:v>辽宁</c:v>
                </c:pt>
                <c:pt idx="8">
                  <c:v>蒙西</c:v>
                </c:pt>
                <c:pt idx="9">
                  <c:v>陕西</c:v>
                </c:pt>
                <c:pt idx="10">
                  <c:v>广西</c:v>
                </c:pt>
                <c:pt idx="11">
                  <c:v>天津</c:v>
                </c:pt>
                <c:pt idx="12">
                  <c:v>宁夏</c:v>
                </c:pt>
                <c:pt idx="13">
                  <c:v>广东</c:v>
                </c:pt>
                <c:pt idx="14">
                  <c:v>河南</c:v>
                </c:pt>
              </c:strCache>
            </c:strRef>
          </c:cat>
          <c:val>
            <c:numRef>
              <c:f>[工作簿24]Sheet1!$K$3:$K$17</c:f>
              <c:numCache>
                <c:formatCode xml:space="preserve">0.00_ </c:formatCode>
                <c:ptCount val="15"/>
                <c:pt idx="0">
                  <c:v>3.62626262626263</c:v>
                </c:pt>
                <c:pt idx="1">
                  <c:v>1.51395939086294</c:v>
                </c:pt>
                <c:pt idx="2">
                  <c:v>1.01298701298701</c:v>
                </c:pt>
                <c:pt idx="3">
                  <c:v>0.714975845410628</c:v>
                </c:pt>
                <c:pt idx="4">
                  <c:v>0.491046831955923</c:v>
                </c:pt>
                <c:pt idx="5">
                  <c:v>0.347715736040609</c:v>
                </c:pt>
                <c:pt idx="6">
                  <c:v>0.27710843373494</c:v>
                </c:pt>
                <c:pt idx="7">
                  <c:v>0.231884057971014</c:v>
                </c:pt>
                <c:pt idx="8">
                  <c:v>0.206349206349206</c:v>
                </c:pt>
                <c:pt idx="9">
                  <c:v>0.18562874251497</c:v>
                </c:pt>
                <c:pt idx="10">
                  <c:v>0.182509505703422</c:v>
                </c:pt>
                <c:pt idx="11">
                  <c:v>0.125</c:v>
                </c:pt>
                <c:pt idx="12">
                  <c:v>0.116822429906542</c:v>
                </c:pt>
                <c:pt idx="13">
                  <c:v>0.0714285714285714</c:v>
                </c:pt>
                <c:pt idx="14">
                  <c:v>0.032258064516129</c:v>
                </c:pt>
              </c:numCache>
            </c:numRef>
          </c:val>
        </c:ser>
        <c:ser>
          <c:idx val="1"/>
          <c:order val="1"/>
          <c:tx>
            <c:strRef>
              <c:f>[工作簿24]Sheet1!$L$2</c:f>
              <c:strCache>
                <c:ptCount val="1"/>
                <c:pt idx="0">
                  <c:v>1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Pos val="outEnd"/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[工作簿24]Sheet1!$J$3:$J$17</c:f>
              <c:strCache>
                <c:ptCount val="15"/>
                <c:pt idx="0">
                  <c:v>黑龙江</c:v>
                </c:pt>
                <c:pt idx="1">
                  <c:v>蒙东</c:v>
                </c:pt>
                <c:pt idx="2">
                  <c:v>山东</c:v>
                </c:pt>
                <c:pt idx="3">
                  <c:v>江苏</c:v>
                </c:pt>
                <c:pt idx="4">
                  <c:v>河北</c:v>
                </c:pt>
                <c:pt idx="5">
                  <c:v>吉林</c:v>
                </c:pt>
                <c:pt idx="6">
                  <c:v>山西</c:v>
                </c:pt>
                <c:pt idx="7">
                  <c:v>辽宁</c:v>
                </c:pt>
                <c:pt idx="8">
                  <c:v>蒙西</c:v>
                </c:pt>
                <c:pt idx="9">
                  <c:v>陕西</c:v>
                </c:pt>
                <c:pt idx="10">
                  <c:v>广西</c:v>
                </c:pt>
                <c:pt idx="11">
                  <c:v>天津</c:v>
                </c:pt>
                <c:pt idx="12">
                  <c:v>宁夏</c:v>
                </c:pt>
                <c:pt idx="13">
                  <c:v>广东</c:v>
                </c:pt>
                <c:pt idx="14">
                  <c:v>河南</c:v>
                </c:pt>
              </c:strCache>
            </c:strRef>
          </c:cat>
          <c:val>
            <c:numRef>
              <c:f>[工作簿24]Sheet1!$L$3:$L$17</c:f>
              <c:numCache>
                <c:formatCode>General</c:formatCode>
                <c:ptCount val="15"/>
              </c:numCache>
            </c:numRef>
          </c:val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1"/>
        </c:dLbls>
        <c:gapWidth val="219"/>
        <c:overlap val="-27"/>
        <c:axId val="359507460"/>
        <c:axId val="407181080"/>
      </c:barChart>
      <c:barChart>
        <c:barDir val="col"/>
        <c:grouping val="clustered"/>
        <c:varyColors val="0"/>
        <c:ser>
          <c:idx val="3"/>
          <c:order val="3"/>
          <c:tx>
            <c:strRef>
              <c:f>[工作簿24]Sheet1!$N$2</c:f>
              <c:strCache>
                <c:ptCount val="1"/>
                <c:pt idx="0">
                  <c:v>1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dLblPos val="outEnd"/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[工作簿24]Sheet1!$J$3:$J$17</c:f>
              <c:strCache>
                <c:ptCount val="15"/>
                <c:pt idx="0">
                  <c:v>黑龙江</c:v>
                </c:pt>
                <c:pt idx="1">
                  <c:v>蒙东</c:v>
                </c:pt>
                <c:pt idx="2">
                  <c:v>山东</c:v>
                </c:pt>
                <c:pt idx="3">
                  <c:v>江苏</c:v>
                </c:pt>
                <c:pt idx="4">
                  <c:v>河北</c:v>
                </c:pt>
                <c:pt idx="5">
                  <c:v>吉林</c:v>
                </c:pt>
                <c:pt idx="6">
                  <c:v>山西</c:v>
                </c:pt>
                <c:pt idx="7">
                  <c:v>辽宁</c:v>
                </c:pt>
                <c:pt idx="8">
                  <c:v>蒙西</c:v>
                </c:pt>
                <c:pt idx="9">
                  <c:v>陕西</c:v>
                </c:pt>
                <c:pt idx="10">
                  <c:v>广西</c:v>
                </c:pt>
                <c:pt idx="11">
                  <c:v>天津</c:v>
                </c:pt>
                <c:pt idx="12">
                  <c:v>宁夏</c:v>
                </c:pt>
                <c:pt idx="13">
                  <c:v>广东</c:v>
                </c:pt>
                <c:pt idx="14">
                  <c:v>河南</c:v>
                </c:pt>
              </c:strCache>
            </c:strRef>
          </c:cat>
          <c:val>
            <c:numRef>
              <c:f>[工作簿24]Sheet1!$N$3:$N$17</c:f>
              <c:numCache>
                <c:formatCode>General</c:formatCode>
                <c:ptCount val="15"/>
              </c:numCache>
            </c:numRef>
          </c:val>
        </c:ser>
        <c:ser>
          <c:idx val="4"/>
          <c:order val="4"/>
          <c:tx>
            <c:strRef>
              <c:f>[工作簿24]Sheet1!$O$2</c:f>
              <c:strCache>
                <c:ptCount val="1"/>
                <c:pt idx="0">
                  <c:v>台均故障时间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6"/>
            </a:solidFill>
            <a:ln>
              <a:noFill/>
            </a:ln>
            <a:effectLst>
              <a:outerShdw blurRad="50800" dist="38100" dir="2700000" algn="tl" rotWithShape="0">
                <a:prstClr val="black">
                  <a:alpha val="40000"/>
                </a:prstClr>
              </a:outerShdw>
            </a:effectLst>
          </c:spPr>
          <c:invertIfNegative val="0"/>
          <c:dLbls>
            <c:dLbl>
              <c:idx val="0"/>
              <c:dLblPos val="outEnd"/>
              <c:layout>
                <c:manualLayout>
                  <c:x val="0.011122"/>
                  <c:y val="0.002435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2"/>
              <c:dLblPos val="outEnd"/>
              <c:layout>
                <c:manualLayout>
                  <c:x val="0.004969"/>
                  <c:y val="-0.011510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4"/>
              <c:dLblPos val="outEnd"/>
              <c:layout>
                <c:manualLayout>
                  <c:x val="0.001301"/>
                  <c:y val="-0.030102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Pos val="outEnd"/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[工作簿24]Sheet1!$J$3:$J$17</c:f>
              <c:strCache>
                <c:ptCount val="15"/>
                <c:pt idx="0">
                  <c:v>黑龙江</c:v>
                </c:pt>
                <c:pt idx="1">
                  <c:v>蒙东</c:v>
                </c:pt>
                <c:pt idx="2">
                  <c:v>山东</c:v>
                </c:pt>
                <c:pt idx="3">
                  <c:v>江苏</c:v>
                </c:pt>
                <c:pt idx="4">
                  <c:v>河北</c:v>
                </c:pt>
                <c:pt idx="5">
                  <c:v>吉林</c:v>
                </c:pt>
                <c:pt idx="6">
                  <c:v>山西</c:v>
                </c:pt>
                <c:pt idx="7">
                  <c:v>辽宁</c:v>
                </c:pt>
                <c:pt idx="8">
                  <c:v>蒙西</c:v>
                </c:pt>
                <c:pt idx="9">
                  <c:v>陕西</c:v>
                </c:pt>
                <c:pt idx="10">
                  <c:v>广西</c:v>
                </c:pt>
                <c:pt idx="11">
                  <c:v>天津</c:v>
                </c:pt>
                <c:pt idx="12">
                  <c:v>宁夏</c:v>
                </c:pt>
                <c:pt idx="13">
                  <c:v>广东</c:v>
                </c:pt>
                <c:pt idx="14">
                  <c:v>河南</c:v>
                </c:pt>
              </c:strCache>
            </c:strRef>
          </c:cat>
          <c:val>
            <c:numRef>
              <c:f>[工作簿24]Sheet1!$O$3:$O$17</c:f>
              <c:numCache>
                <c:formatCode xml:space="preserve">0.00_ </c:formatCode>
                <c:ptCount val="15"/>
                <c:pt idx="0">
                  <c:v>18.1939421997755</c:v>
                </c:pt>
                <c:pt idx="1">
                  <c:v>10.048084108855</c:v>
                </c:pt>
                <c:pt idx="2">
                  <c:v>5.37463834776335</c:v>
                </c:pt>
                <c:pt idx="3">
                  <c:v>6.42319645732689</c:v>
                </c:pt>
                <c:pt idx="4">
                  <c:v>2.90017963728191</c:v>
                </c:pt>
                <c:pt idx="5">
                  <c:v>3.89819726452341</c:v>
                </c:pt>
                <c:pt idx="6">
                  <c:v>3.32795850066934</c:v>
                </c:pt>
                <c:pt idx="7">
                  <c:v>2.9359500805153</c:v>
                </c:pt>
                <c:pt idx="8">
                  <c:v>2.80057796884186</c:v>
                </c:pt>
                <c:pt idx="9">
                  <c:v>1.69866766467066</c:v>
                </c:pt>
                <c:pt idx="10">
                  <c:v>1.84932192648923</c:v>
                </c:pt>
                <c:pt idx="11">
                  <c:v>1.56604600694444</c:v>
                </c:pt>
                <c:pt idx="12">
                  <c:v>0.693320353063343</c:v>
                </c:pt>
                <c:pt idx="13">
                  <c:v>0.644940476190476</c:v>
                </c:pt>
                <c:pt idx="14">
                  <c:v>0.201617383512545</c:v>
                </c:pt>
              </c:numCache>
            </c:numRef>
          </c:val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1"/>
        </c:dLbls>
        <c:gapWidth val="219"/>
        <c:overlap val="-27"/>
        <c:axId val="455858806"/>
        <c:axId val="258173748"/>
      </c:barChart>
      <c:lineChart>
        <c:grouping val="standard"/>
        <c:varyColors val="0"/>
        <c:ser>
          <c:idx val="2"/>
          <c:order val="2"/>
          <c:tx>
            <c:strRef>
              <c:f>[工作簿24]Sheet1!$M$2</c:f>
              <c:strCache>
                <c:ptCount val="1"/>
                <c:pt idx="0">
                  <c:v>投资均值</c:v>
                </c:pt>
              </c:strCache>
            </c:strRef>
          </c:tx>
          <c:spPr bwMode="auto">
            <a:prstGeom prst="rect">
              <a:avLst/>
            </a:prstGeom>
            <a:ln w="28575" cap="rnd">
              <a:solidFill>
                <a:srgbClr val="C00000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[工作簿24]Sheet1!$J$3:$J$17</c:f>
              <c:strCache>
                <c:ptCount val="15"/>
                <c:pt idx="0">
                  <c:v>黑龙江</c:v>
                </c:pt>
                <c:pt idx="1">
                  <c:v>蒙东</c:v>
                </c:pt>
                <c:pt idx="2">
                  <c:v>山东</c:v>
                </c:pt>
                <c:pt idx="3">
                  <c:v>江苏</c:v>
                </c:pt>
                <c:pt idx="4">
                  <c:v>河北</c:v>
                </c:pt>
                <c:pt idx="5">
                  <c:v>吉林</c:v>
                </c:pt>
                <c:pt idx="6">
                  <c:v>山西</c:v>
                </c:pt>
                <c:pt idx="7">
                  <c:v>辽宁</c:v>
                </c:pt>
                <c:pt idx="8">
                  <c:v>蒙西</c:v>
                </c:pt>
                <c:pt idx="9">
                  <c:v>陕西</c:v>
                </c:pt>
                <c:pt idx="10">
                  <c:v>广西</c:v>
                </c:pt>
                <c:pt idx="11">
                  <c:v>天津</c:v>
                </c:pt>
                <c:pt idx="12">
                  <c:v>宁夏</c:v>
                </c:pt>
                <c:pt idx="13">
                  <c:v>广东</c:v>
                </c:pt>
                <c:pt idx="14">
                  <c:v>河南</c:v>
                </c:pt>
              </c:strCache>
            </c:strRef>
          </c:cat>
          <c:val>
            <c:numRef>
              <c:f>[工作簿24]Sheet1!$M$3:$M$17</c:f>
              <c:numCache>
                <c:formatCode xml:space="preserve">0.00_ </c:formatCode>
                <c:ptCount val="15"/>
                <c:pt idx="0">
                  <c:v>0.67</c:v>
                </c:pt>
                <c:pt idx="1">
                  <c:v>0.67</c:v>
                </c:pt>
                <c:pt idx="2">
                  <c:v>0.67</c:v>
                </c:pt>
                <c:pt idx="3">
                  <c:v>0.67</c:v>
                </c:pt>
                <c:pt idx="4">
                  <c:v>0.67</c:v>
                </c:pt>
                <c:pt idx="5">
                  <c:v>0.67</c:v>
                </c:pt>
                <c:pt idx="6">
                  <c:v>0.67</c:v>
                </c:pt>
                <c:pt idx="7">
                  <c:v>0.67</c:v>
                </c:pt>
                <c:pt idx="8">
                  <c:v>0.67</c:v>
                </c:pt>
                <c:pt idx="9">
                  <c:v>0.67</c:v>
                </c:pt>
                <c:pt idx="10">
                  <c:v>0.67</c:v>
                </c:pt>
                <c:pt idx="11">
                  <c:v>0.67</c:v>
                </c:pt>
                <c:pt idx="12">
                  <c:v>0.67</c:v>
                </c:pt>
                <c:pt idx="13">
                  <c:v>0.67</c:v>
                </c:pt>
                <c:pt idx="14">
                  <c:v>0.67</c:v>
                </c:pt>
              </c:numCache>
            </c:numRef>
          </c:val>
          <c:smooth val="0"/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1"/>
        </c:dLbls>
        <c:marker val="0"/>
        <c:smooth val="0"/>
        <c:axId val="359507460"/>
        <c:axId val="407181080"/>
      </c:lineChart>
      <c:catAx>
        <c:axId val="359507460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/>
          </a:p>
        </c:txPr>
        <c:crossAx val="407181080"/>
        <c:crosses val="autoZero"/>
        <c:auto val="1"/>
        <c:lblAlgn val="ctr"/>
        <c:lblOffset val="100"/>
        <c:noMultiLvlLbl val="0"/>
      </c:catAx>
      <c:valAx>
        <c:axId val="407181080"/>
        <c:scaling>
          <c:orientation val="minMax"/>
        </c:scaling>
        <c:delete val="0"/>
        <c:axPos val="l"/>
        <c:majorGridlines>
          <c:spPr bwMode="auto">
            <a:prstGeom prst="rect">
              <a:avLst/>
            </a:prstGeom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900" b="0" i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sz="900"/>
                  <a:t>单位：台次</a:t>
                </a:r>
                <a:endParaRPr lang="zh-CN" sz="900"/>
              </a:p>
            </c:rich>
          </c:tx>
          <c:layout/>
          <c:overlay val="0"/>
          <c:spPr bwMode="auto">
            <a:prstGeom prst="rect">
              <a:avLst/>
            </a:prstGeom>
            <a:noFill/>
            <a:ln>
              <a:noFill/>
            </a:ln>
            <a:effectLst/>
          </c:spPr>
        </c:title>
        <c:numFmt formatCode="0.0_);[Red]\(0.0\)" sourceLinked="0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/>
          </a:p>
        </c:txPr>
        <c:crossAx val="359507460"/>
        <c:crosses val="autoZero"/>
        <c:crossBetween val="between"/>
      </c:valAx>
      <c:catAx>
        <c:axId val="455858806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/>
          </a:p>
        </c:txPr>
        <c:crossAx val="258173748"/>
        <c:crosses val="autoZero"/>
        <c:auto val="1"/>
        <c:lblAlgn val="ctr"/>
        <c:lblOffset val="100"/>
        <c:noMultiLvlLbl val="0"/>
      </c:catAx>
      <c:valAx>
        <c:axId val="258173748"/>
        <c:scaling>
          <c:orientation val="minMax"/>
        </c:scaling>
        <c:delete val="0"/>
        <c:axPos val="r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900" b="0" i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sz="900"/>
                  <a:t>单位：小时</a:t>
                </a:r>
                <a:endParaRPr lang="zh-CN" sz="900"/>
              </a:p>
            </c:rich>
          </c:tx>
          <c:layout>
            <c:manualLayout>
              <c:xMode val="edge"/>
              <c:yMode val="edge"/>
              <c:x val="0.959693"/>
              <c:y val="0.278981"/>
            </c:manualLayout>
          </c:layout>
          <c:overlay val="0"/>
          <c:spPr bwMode="auto">
            <a:prstGeom prst="rect">
              <a:avLst/>
            </a:prstGeom>
            <a:noFill/>
            <a:ln>
              <a:noFill/>
            </a:ln>
            <a:effectLst/>
          </c:spPr>
        </c:title>
        <c:numFmt formatCode="0_);[Red]\(0\)" sourceLinked="0"/>
        <c:majorTickMark val="out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/>
          </a:p>
        </c:txPr>
        <c:crossAx val="455858806"/>
        <c:crosses val="max"/>
        <c:crossBetween val="between"/>
      </c:valAx>
      <c:spPr bwMode="auto">
        <a:prstGeom prst="rect">
          <a:avLst/>
        </a:prstGeom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/>
          </a:p>
        </c:txPr>
      </c:legendEntry>
      <c:legendEntry>
        <c:idx val="1"/>
        <c:delete val="1"/>
      </c:legendEntry>
      <c:legendEntry>
        <c:idx val="2"/>
        <c:delete val="1"/>
      </c:legendEntry>
      <c:legendEntry>
        <c:idx val="3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/>
          </a:p>
        </c:txPr>
      </c:legendEntry>
      <c:legendEntry>
        <c:idx val="4"/>
        <c:delete val="1"/>
      </c:legendEntry>
      <c:layout>
        <c:manualLayout>
          <c:xMode val="edge"/>
          <c:yMode val="edge"/>
          <c:x val="0.721604"/>
          <c:y val="0.095839"/>
          <c:w val="0.195693"/>
          <c:h val="0.153165"/>
        </c:manualLayout>
      </c:layout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/>
        </a:p>
      </c:txPr>
    </c:legend>
    <c:plotVisOnly val="1"/>
    <c:dispBlanksAs val="gap"/>
    <c:showDLblsOverMax val="0"/>
  </c:chart>
  <c:spPr bwMode="auto"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 sz="900"/>
      </a:pPr>
      <a:endParaRPr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zh-CN"/>
  <c:roundedCorners val="0"/>
  <mc:AlternateContent>
    <mc:Choice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075436"/>
          <c:y val="0.050992"/>
          <c:w val="0.823748"/>
          <c:h val="0.787156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[工作簿1]Sheet1!$C$1</c:f>
              <c:strCache>
                <c:ptCount val="1"/>
                <c:pt idx="0">
                  <c:v>功率曲线一致性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1"/>
            </a:solidFill>
            <a:ln>
              <a:noFill/>
            </a:ln>
            <a:effectLst>
              <a:outerShdw blurRad="50800" dist="38100" dir="2700000" algn="tl" rotWithShape="0">
                <a:prstClr val="black">
                  <a:alpha val="40000"/>
                </a:prstClr>
              </a:outerShdw>
            </a:effectLst>
          </c:spPr>
          <c:invertIfNegative val="0"/>
          <c:dLbls>
            <c:dLblPos val="outEnd"/>
            <c:numFmt formatCode="0%" sourceLinked="0"/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[工作簿1]Sheet1!$B$2:$B$17</c:f>
              <c:strCache>
                <c:ptCount val="16"/>
                <c:pt idx="0">
                  <c:v>广东</c:v>
                </c:pt>
                <c:pt idx="1">
                  <c:v>宁夏</c:v>
                </c:pt>
                <c:pt idx="2">
                  <c:v>陕西</c:v>
                </c:pt>
                <c:pt idx="3">
                  <c:v>天津</c:v>
                </c:pt>
                <c:pt idx="4">
                  <c:v>蒙西</c:v>
                </c:pt>
                <c:pt idx="5">
                  <c:v>山西</c:v>
                </c:pt>
                <c:pt idx="6">
                  <c:v>蒙东</c:v>
                </c:pt>
                <c:pt idx="7">
                  <c:v>江苏</c:v>
                </c:pt>
                <c:pt idx="8">
                  <c:v>辽宁</c:v>
                </c:pt>
                <c:pt idx="9">
                  <c:v>湖南</c:v>
                </c:pt>
                <c:pt idx="10">
                  <c:v>河南</c:v>
                </c:pt>
                <c:pt idx="11">
                  <c:v>广西</c:v>
                </c:pt>
                <c:pt idx="12">
                  <c:v>黑龙江</c:v>
                </c:pt>
                <c:pt idx="13">
                  <c:v>山东</c:v>
                </c:pt>
                <c:pt idx="14">
                  <c:v>河北</c:v>
                </c:pt>
                <c:pt idx="15">
                  <c:v>吉林</c:v>
                </c:pt>
              </c:strCache>
            </c:strRef>
          </c:cat>
          <c:val>
            <c:numRef>
              <c:f>[工作簿1]Sheet1!$C$2:$C$17</c:f>
              <c:numCache>
                <c:formatCode>0.0%</c:formatCode>
                <c:ptCount val="16"/>
                <c:pt idx="0">
                  <c:v>1.4936</c:v>
                </c:pt>
                <c:pt idx="1">
                  <c:v>1.2625</c:v>
                </c:pt>
                <c:pt idx="2">
                  <c:v>1.2302</c:v>
                </c:pt>
                <c:pt idx="3">
                  <c:v>1.183</c:v>
                </c:pt>
                <c:pt idx="4">
                  <c:v>1.1689</c:v>
                </c:pt>
                <c:pt idx="5">
                  <c:v>1.1454</c:v>
                </c:pt>
                <c:pt idx="6">
                  <c:v>1.1412</c:v>
                </c:pt>
                <c:pt idx="7">
                  <c:v>1.1266</c:v>
                </c:pt>
                <c:pt idx="8">
                  <c:v>1.1178</c:v>
                </c:pt>
                <c:pt idx="9">
                  <c:v>1.0945</c:v>
                </c:pt>
                <c:pt idx="10">
                  <c:v>1.0769</c:v>
                </c:pt>
                <c:pt idx="11">
                  <c:v>1.0715</c:v>
                </c:pt>
                <c:pt idx="12">
                  <c:v>1.0678</c:v>
                </c:pt>
                <c:pt idx="13">
                  <c:v>1.064</c:v>
                </c:pt>
                <c:pt idx="14">
                  <c:v>1.0603</c:v>
                </c:pt>
                <c:pt idx="15">
                  <c:v>1.0235</c:v>
                </c:pt>
              </c:numCache>
            </c:numRef>
          </c:val>
        </c:ser>
        <c:ser>
          <c:idx val="1"/>
          <c:order val="1"/>
          <c:tx>
            <c:strRef>
              <c:f>[工作簿1]Sheet1!$D$1</c:f>
              <c:strCache>
                <c:ptCount val="1"/>
                <c:pt idx="0">
                  <c:v>1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Pos val="outEnd"/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[工作簿1]Sheet1!$B$2:$B$17</c:f>
              <c:strCache>
                <c:ptCount val="16"/>
                <c:pt idx="0">
                  <c:v>广东</c:v>
                </c:pt>
                <c:pt idx="1">
                  <c:v>宁夏</c:v>
                </c:pt>
                <c:pt idx="2">
                  <c:v>陕西</c:v>
                </c:pt>
                <c:pt idx="3">
                  <c:v>天津</c:v>
                </c:pt>
                <c:pt idx="4">
                  <c:v>蒙西</c:v>
                </c:pt>
                <c:pt idx="5">
                  <c:v>山西</c:v>
                </c:pt>
                <c:pt idx="6">
                  <c:v>蒙东</c:v>
                </c:pt>
                <c:pt idx="7">
                  <c:v>江苏</c:v>
                </c:pt>
                <c:pt idx="8">
                  <c:v>辽宁</c:v>
                </c:pt>
                <c:pt idx="9">
                  <c:v>湖南</c:v>
                </c:pt>
                <c:pt idx="10">
                  <c:v>河南</c:v>
                </c:pt>
                <c:pt idx="11">
                  <c:v>广西</c:v>
                </c:pt>
                <c:pt idx="12">
                  <c:v>黑龙江</c:v>
                </c:pt>
                <c:pt idx="13">
                  <c:v>山东</c:v>
                </c:pt>
                <c:pt idx="14">
                  <c:v>河北</c:v>
                </c:pt>
                <c:pt idx="15">
                  <c:v>吉林</c:v>
                </c:pt>
              </c:strCache>
            </c:strRef>
          </c:cat>
          <c:val>
            <c:numRef>
              <c:f>[工作簿1]Sheet1!$D$2:$D$17</c:f>
              <c:numCache>
                <c:formatCode>General</c:formatCode>
                <c:ptCount val="16"/>
              </c:numCache>
            </c:numRef>
          </c:val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1"/>
        </c:dLbls>
        <c:gapWidth val="219"/>
        <c:overlap val="-27"/>
        <c:axId val="268241346"/>
        <c:axId val="880906146"/>
      </c:barChart>
      <c:barChart>
        <c:barDir val="col"/>
        <c:grouping val="clustered"/>
        <c:varyColors val="0"/>
        <c:ser>
          <c:idx val="3"/>
          <c:order val="3"/>
          <c:tx>
            <c:strRef>
              <c:f>[工作簿1]Sheet1!$F$1</c:f>
              <c:strCache>
                <c:ptCount val="1"/>
                <c:pt idx="0">
                  <c:v>1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dLblPos val="outEnd"/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[工作簿1]Sheet1!$B$2:$B$17</c:f>
              <c:strCache>
                <c:ptCount val="16"/>
                <c:pt idx="0">
                  <c:v>广东</c:v>
                </c:pt>
                <c:pt idx="1">
                  <c:v>宁夏</c:v>
                </c:pt>
                <c:pt idx="2">
                  <c:v>陕西</c:v>
                </c:pt>
                <c:pt idx="3">
                  <c:v>天津</c:v>
                </c:pt>
                <c:pt idx="4">
                  <c:v>蒙西</c:v>
                </c:pt>
                <c:pt idx="5">
                  <c:v>山西</c:v>
                </c:pt>
                <c:pt idx="6">
                  <c:v>蒙东</c:v>
                </c:pt>
                <c:pt idx="7">
                  <c:v>江苏</c:v>
                </c:pt>
                <c:pt idx="8">
                  <c:v>辽宁</c:v>
                </c:pt>
                <c:pt idx="9">
                  <c:v>湖南</c:v>
                </c:pt>
                <c:pt idx="10">
                  <c:v>河南</c:v>
                </c:pt>
                <c:pt idx="11">
                  <c:v>广西</c:v>
                </c:pt>
                <c:pt idx="12">
                  <c:v>黑龙江</c:v>
                </c:pt>
                <c:pt idx="13">
                  <c:v>山东</c:v>
                </c:pt>
                <c:pt idx="14">
                  <c:v>河北</c:v>
                </c:pt>
                <c:pt idx="15">
                  <c:v>吉林</c:v>
                </c:pt>
              </c:strCache>
            </c:strRef>
          </c:cat>
          <c:val>
            <c:numRef>
              <c:f>[工作簿1]Sheet1!$F$2:$F$17</c:f>
              <c:numCache>
                <c:formatCode>General</c:formatCode>
                <c:ptCount val="16"/>
              </c:numCache>
            </c:numRef>
          </c:val>
        </c:ser>
        <c:ser>
          <c:idx val="4"/>
          <c:order val="4"/>
          <c:tx>
            <c:strRef>
              <c:f>[工作簿1]Sheet1!$G$1</c:f>
              <c:strCache>
                <c:ptCount val="1"/>
                <c:pt idx="0">
                  <c:v>损失电量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6"/>
            </a:solidFill>
            <a:ln>
              <a:noFill/>
            </a:ln>
            <a:effectLst>
              <a:outerShdw blurRad="50800" dist="38100" dir="2700000" algn="tl" rotWithShape="0">
                <a:prstClr val="black">
                  <a:alpha val="40000"/>
                </a:prstClr>
              </a:outerShdw>
            </a:effectLst>
          </c:spPr>
          <c:invertIfNegative val="0"/>
          <c:dLbls>
            <c:dLbl>
              <c:idx val="7"/>
              <c:dLblPos val="outEnd"/>
              <c:layout>
                <c:manualLayout>
                  <c:x val="0.007504"/>
                  <c:y val="0.018349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3"/>
              <c:dLblPos val="outEnd"/>
              <c:layout>
                <c:manualLayout>
                  <c:x val="0.009490"/>
                  <c:y val="0.021976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4"/>
              <c:dLblPos val="outEnd"/>
              <c:layout>
                <c:manualLayout>
                  <c:x val="0.033492"/>
                  <c:y val="0.070365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5"/>
              <c:dLblPos val="outEnd"/>
              <c:layout>
                <c:manualLayout>
                  <c:x val="0.011366"/>
                  <c:y val="0.023683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Pos val="outEnd"/>
            <c:numFmt formatCode="#,##0_);[Red]\(#,##0\)" sourceLinked="0"/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[工作簿1]Sheet1!$B$2:$B$17</c:f>
              <c:strCache>
                <c:ptCount val="16"/>
                <c:pt idx="0">
                  <c:v>广东</c:v>
                </c:pt>
                <c:pt idx="1">
                  <c:v>宁夏</c:v>
                </c:pt>
                <c:pt idx="2">
                  <c:v>陕西</c:v>
                </c:pt>
                <c:pt idx="3">
                  <c:v>天津</c:v>
                </c:pt>
                <c:pt idx="4">
                  <c:v>蒙西</c:v>
                </c:pt>
                <c:pt idx="5">
                  <c:v>山西</c:v>
                </c:pt>
                <c:pt idx="6">
                  <c:v>蒙东</c:v>
                </c:pt>
                <c:pt idx="7">
                  <c:v>江苏</c:v>
                </c:pt>
                <c:pt idx="8">
                  <c:v>辽宁</c:v>
                </c:pt>
                <c:pt idx="9">
                  <c:v>湖南</c:v>
                </c:pt>
                <c:pt idx="10">
                  <c:v>河南</c:v>
                </c:pt>
                <c:pt idx="11">
                  <c:v>广西</c:v>
                </c:pt>
                <c:pt idx="12">
                  <c:v>黑龙江</c:v>
                </c:pt>
                <c:pt idx="13">
                  <c:v>山东</c:v>
                </c:pt>
                <c:pt idx="14">
                  <c:v>河北</c:v>
                </c:pt>
                <c:pt idx="15">
                  <c:v>吉林</c:v>
                </c:pt>
              </c:strCache>
            </c:strRef>
          </c:cat>
          <c:val>
            <c:numRef>
              <c:f>[工作簿1]Sheet1!$G$2:$G$17</c:f>
              <c:numCache>
                <c:formatCode xml:space="preserve">0.00_ </c:formatCode>
                <c:ptCount val="16"/>
                <c:pt idx="0">
                  <c:v>0</c:v>
                </c:pt>
                <c:pt idx="1">
                  <c:v>4.73790040741448</c:v>
                </c:pt>
                <c:pt idx="2">
                  <c:v>5.76982719792252</c:v>
                </c:pt>
                <c:pt idx="3">
                  <c:v>3.02970284751967</c:v>
                </c:pt>
                <c:pt idx="4">
                  <c:v>9.16691345313078</c:v>
                </c:pt>
                <c:pt idx="5">
                  <c:v>1.94362270324692</c:v>
                </c:pt>
                <c:pt idx="6">
                  <c:v>118.218746505259</c:v>
                </c:pt>
                <c:pt idx="7">
                  <c:v>188.904380357106</c:v>
                </c:pt>
                <c:pt idx="8">
                  <c:v>0.658254658572896</c:v>
                </c:pt>
                <c:pt idx="9">
                  <c:v>12.7793829195059</c:v>
                </c:pt>
                <c:pt idx="10">
                  <c:v>2.56235862236966</c:v>
                </c:pt>
                <c:pt idx="11">
                  <c:v>32.9312146140362</c:v>
                </c:pt>
                <c:pt idx="12">
                  <c:v>1.44544668610084</c:v>
                </c:pt>
                <c:pt idx="13">
                  <c:v>363.70607200893</c:v>
                </c:pt>
                <c:pt idx="14">
                  <c:v>3072.68356383636</c:v>
                </c:pt>
                <c:pt idx="15">
                  <c:v>727.85826780873</c:v>
                </c:pt>
              </c:numCache>
            </c:numRef>
          </c:val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1"/>
        </c:dLbls>
        <c:gapWidth val="219"/>
        <c:overlap val="-27"/>
        <c:axId val="795115417"/>
        <c:axId val="571389378"/>
      </c:barChart>
      <c:lineChart>
        <c:grouping val="standard"/>
        <c:varyColors val="0"/>
        <c:ser>
          <c:idx val="2"/>
          <c:order val="2"/>
          <c:tx>
            <c:strRef>
              <c:f>[工作簿1]Sheet1!$E$1</c:f>
              <c:strCache>
                <c:ptCount val="1"/>
                <c:pt idx="0">
                  <c:v>公司均值</c:v>
                </c:pt>
              </c:strCache>
            </c:strRef>
          </c:tx>
          <c:spPr bwMode="auto">
            <a:prstGeom prst="rect">
              <a:avLst/>
            </a:prstGeom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[工作簿1]Sheet1!$B$2:$B$17</c:f>
              <c:strCache>
                <c:ptCount val="16"/>
                <c:pt idx="0">
                  <c:v>广东</c:v>
                </c:pt>
                <c:pt idx="1">
                  <c:v>宁夏</c:v>
                </c:pt>
                <c:pt idx="2">
                  <c:v>陕西</c:v>
                </c:pt>
                <c:pt idx="3">
                  <c:v>天津</c:v>
                </c:pt>
                <c:pt idx="4">
                  <c:v>蒙西</c:v>
                </c:pt>
                <c:pt idx="5">
                  <c:v>山西</c:v>
                </c:pt>
                <c:pt idx="6">
                  <c:v>蒙东</c:v>
                </c:pt>
                <c:pt idx="7">
                  <c:v>江苏</c:v>
                </c:pt>
                <c:pt idx="8">
                  <c:v>辽宁</c:v>
                </c:pt>
                <c:pt idx="9">
                  <c:v>湖南</c:v>
                </c:pt>
                <c:pt idx="10">
                  <c:v>河南</c:v>
                </c:pt>
                <c:pt idx="11">
                  <c:v>广西</c:v>
                </c:pt>
                <c:pt idx="12">
                  <c:v>黑龙江</c:v>
                </c:pt>
                <c:pt idx="13">
                  <c:v>山东</c:v>
                </c:pt>
                <c:pt idx="14">
                  <c:v>河北</c:v>
                </c:pt>
                <c:pt idx="15">
                  <c:v>吉林</c:v>
                </c:pt>
              </c:strCache>
            </c:strRef>
          </c:cat>
          <c:val>
            <c:numRef>
              <c:f>[工作簿1]Sheet1!$E$2:$E$17</c:f>
              <c:numCache>
                <c:formatCode>0.0%</c:formatCode>
                <c:ptCount val="16"/>
                <c:pt idx="0">
                  <c:v>1.0992</c:v>
                </c:pt>
                <c:pt idx="1">
                  <c:v>1.0992</c:v>
                </c:pt>
                <c:pt idx="2">
                  <c:v>1.0992</c:v>
                </c:pt>
                <c:pt idx="3">
                  <c:v>1.0992</c:v>
                </c:pt>
                <c:pt idx="4">
                  <c:v>1.0992</c:v>
                </c:pt>
                <c:pt idx="5">
                  <c:v>1.0992</c:v>
                </c:pt>
                <c:pt idx="6">
                  <c:v>1.0992</c:v>
                </c:pt>
                <c:pt idx="7">
                  <c:v>1.0992</c:v>
                </c:pt>
                <c:pt idx="8">
                  <c:v>1.0992</c:v>
                </c:pt>
                <c:pt idx="9">
                  <c:v>1.0992</c:v>
                </c:pt>
                <c:pt idx="10">
                  <c:v>1.0992</c:v>
                </c:pt>
                <c:pt idx="11">
                  <c:v>1.0992</c:v>
                </c:pt>
                <c:pt idx="12">
                  <c:v>1.0992</c:v>
                </c:pt>
                <c:pt idx="13">
                  <c:v>1.0992</c:v>
                </c:pt>
                <c:pt idx="14">
                  <c:v>1.0992</c:v>
                </c:pt>
                <c:pt idx="15">
                  <c:v>1.0992</c:v>
                </c:pt>
              </c:numCache>
            </c:numRef>
          </c:val>
          <c:smooth val="0"/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1"/>
        </c:dLbls>
        <c:marker val="0"/>
        <c:smooth val="0"/>
        <c:axId val="268241346"/>
        <c:axId val="880906146"/>
      </c:lineChart>
      <c:catAx>
        <c:axId val="268241346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/>
          </a:p>
        </c:txPr>
        <c:crossAx val="880906146"/>
        <c:crosses val="autoZero"/>
        <c:auto val="1"/>
        <c:lblAlgn val="ctr"/>
        <c:lblOffset val="100"/>
        <c:noMultiLvlLbl val="0"/>
      </c:catAx>
      <c:valAx>
        <c:axId val="880906146"/>
        <c:scaling>
          <c:orientation val="minMax"/>
          <c:min val="0.800000"/>
        </c:scaling>
        <c:delete val="0"/>
        <c:axPos val="l"/>
        <c:majorGridlines>
          <c:spPr bwMode="auto">
            <a:prstGeom prst="rect">
              <a:avLst/>
            </a:prstGeom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0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/>
          </a:p>
        </c:txPr>
        <c:crossAx val="268241346"/>
        <c:crosses val="autoZero"/>
        <c:crossBetween val="between"/>
      </c:valAx>
      <c:catAx>
        <c:axId val="795115417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/>
          </a:p>
        </c:txPr>
        <c:crossAx val="571389378"/>
        <c:crosses val="autoZero"/>
        <c:auto val="1"/>
        <c:lblAlgn val="ctr"/>
        <c:lblOffset val="100"/>
        <c:noMultiLvlLbl val="0"/>
      </c:catAx>
      <c:valAx>
        <c:axId val="571389378"/>
        <c:scaling>
          <c:orientation val="minMax"/>
        </c:scaling>
        <c:delete val="0"/>
        <c:axPos val="r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/>
                  <a:t>单位：万千瓦时</a:t>
                </a:r>
                <a:endParaRPr lang="zh-CN"/>
              </a:p>
            </c:rich>
          </c:tx>
          <c:layout>
            <c:manualLayout>
              <c:xMode val="edge"/>
              <c:yMode val="edge"/>
              <c:x val="0.963992"/>
              <c:y val="0.258440"/>
            </c:manualLayout>
          </c:layout>
          <c:overlay val="0"/>
          <c:spPr bwMode="auto">
            <a:prstGeom prst="rect">
              <a:avLst/>
            </a:prstGeom>
            <a:noFill/>
            <a:ln>
              <a:noFill/>
            </a:ln>
            <a:effectLst/>
          </c:spPr>
        </c:title>
        <c:numFmt formatCode="#,##0_);[Red]\(#,##0\)" sourceLinked="0"/>
        <c:majorTickMark val="out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/>
          </a:p>
        </c:txPr>
        <c:crossAx val="795115417"/>
        <c:crosses val="max"/>
        <c:crossBetween val="between"/>
      </c:valAx>
      <c:spPr bwMode="auto">
        <a:prstGeom prst="rect">
          <a:avLst/>
        </a:prstGeom>
        <a:noFill/>
        <a:ln>
          <a:noFill/>
        </a:ln>
        <a:effectLst/>
      </c:spPr>
    </c:plotArea>
    <c:legend>
      <c:legendPos val="b"/>
      <c:legendEntry>
        <c:idx val="1"/>
        <c:delete val="1"/>
      </c:legendEntry>
      <c:legendEntry>
        <c:idx val="2"/>
        <c:delete val="1"/>
      </c:legendEntry>
      <c:legendEntry>
        <c:idx val="4"/>
        <c:delete val="1"/>
      </c:legendEntry>
      <c:layout>
        <c:manualLayout>
          <c:xMode val="edge"/>
          <c:yMode val="edge"/>
          <c:x val="0.666268"/>
          <c:y val="0.006401"/>
          <c:w val="0.240833"/>
          <c:h val="0.145602"/>
        </c:manualLayout>
      </c:layout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/>
        </a:p>
      </c:txPr>
    </c:legend>
    <c:plotVisOnly val="1"/>
    <c:dispBlanksAs val="gap"/>
    <c:showDLblsOverMax val="0"/>
  </c:chart>
  <c:spPr bwMode="auto"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zh-CN"/>
  <c:roundedCorners val="0"/>
  <mc:AlternateContent>
    <mc:Choice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066434"/>
          <c:y val="0.050933"/>
          <c:w val="0.854871"/>
          <c:h val="0.76778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'[记录结束时间-2025_02_16_01_11_32_069.xlsx]导出计数_区域'!$J$1</c:f>
              <c:strCache>
                <c:ptCount val="1"/>
                <c:pt idx="0">
                  <c:v>台均停运次数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1"/>
            </a:solidFill>
            <a:ln>
              <a:noFill/>
            </a:ln>
            <a:effectLst>
              <a:outerShdw blurRad="50800" dist="38100" dir="2700000" algn="tl" rotWithShape="0">
                <a:prstClr val="black">
                  <a:alpha val="40000"/>
                </a:prstClr>
              </a:outerShdw>
            </a:effectLst>
          </c:spPr>
          <c:invertIfNegative val="0"/>
          <c:dLbls>
            <c:dLbl>
              <c:idx val="9"/>
              <c:dLblPos val="outEnd"/>
              <c:layout>
                <c:manualLayout>
                  <c:x val="-0.007762"/>
                  <c:y val="0.000000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Pos val="outEnd"/>
            <c:numFmt formatCode="#,##0.0_);[Red]\(#,##0.0\)" sourceLinked="0"/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'[记录结束时间-2025_02_16_01_11_32_069.xlsx]导出计数_区域'!$I$2:$I$16</c:f>
              <c:strCache>
                <c:ptCount val="15"/>
                <c:pt idx="0">
                  <c:v>江苏</c:v>
                </c:pt>
                <c:pt idx="1">
                  <c:v>河北</c:v>
                </c:pt>
                <c:pt idx="2">
                  <c:v>广西</c:v>
                </c:pt>
                <c:pt idx="3">
                  <c:v>蒙东</c:v>
                </c:pt>
                <c:pt idx="4">
                  <c:v>辽宁</c:v>
                </c:pt>
                <c:pt idx="5">
                  <c:v>山东</c:v>
                </c:pt>
                <c:pt idx="6">
                  <c:v>吉林</c:v>
                </c:pt>
                <c:pt idx="7">
                  <c:v>黑龙江</c:v>
                </c:pt>
                <c:pt idx="8">
                  <c:v>陕西</c:v>
                </c:pt>
                <c:pt idx="9">
                  <c:v>山西</c:v>
                </c:pt>
                <c:pt idx="10">
                  <c:v>河南</c:v>
                </c:pt>
                <c:pt idx="11">
                  <c:v>宁夏</c:v>
                </c:pt>
                <c:pt idx="12">
                  <c:v>广东</c:v>
                </c:pt>
                <c:pt idx="13">
                  <c:v>蒙西</c:v>
                </c:pt>
                <c:pt idx="14">
                  <c:v>天津</c:v>
                </c:pt>
              </c:strCache>
            </c:strRef>
          </c:cat>
          <c:val>
            <c:numRef>
              <c:f>'[记录结束时间-2025_02_16_01_11_32_069.xlsx]导出计数_区域'!$J$2:$J$16</c:f>
              <c:numCache>
                <c:formatCode xml:space="preserve">0.0_ </c:formatCode>
                <c:ptCount val="15"/>
                <c:pt idx="0">
                  <c:v>3.81159420289855</c:v>
                </c:pt>
                <c:pt idx="1">
                  <c:v>3.16942148760331</c:v>
                </c:pt>
                <c:pt idx="2">
                  <c:v>2.32319391634981</c:v>
                </c:pt>
                <c:pt idx="3">
                  <c:v>2.30710659898477</c:v>
                </c:pt>
                <c:pt idx="4">
                  <c:v>1.91304347826087</c:v>
                </c:pt>
                <c:pt idx="5">
                  <c:v>1.63636363636364</c:v>
                </c:pt>
                <c:pt idx="6">
                  <c:v>1.62182741116751</c:v>
                </c:pt>
                <c:pt idx="7">
                  <c:v>1.02020202020202</c:v>
                </c:pt>
                <c:pt idx="8">
                  <c:v>0.877245508982036</c:v>
                </c:pt>
                <c:pt idx="9">
                  <c:v>0.843373493975904</c:v>
                </c:pt>
                <c:pt idx="10">
                  <c:v>0.661290322580645</c:v>
                </c:pt>
                <c:pt idx="11">
                  <c:v>0.630841121495327</c:v>
                </c:pt>
                <c:pt idx="12">
                  <c:v>0.6</c:v>
                </c:pt>
                <c:pt idx="13">
                  <c:v>0.537037037037037</c:v>
                </c:pt>
                <c:pt idx="14">
                  <c:v>0.484375</c:v>
                </c:pt>
              </c:numCache>
            </c:numRef>
          </c:val>
        </c:ser>
        <c:ser>
          <c:idx val="1"/>
          <c:order val="1"/>
          <c:tx>
            <c:strRef>
              <c:f>'[记录结束时间-2025_02_16_01_11_32_069.xlsx]导出计数_区域'!$K$1</c:f>
              <c:strCache>
                <c:ptCount val="1"/>
                <c:pt idx="0">
                  <c:v>1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Pos val="outEnd"/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'[记录结束时间-2025_02_16_01_11_32_069.xlsx]导出计数_区域'!$I$2:$I$16</c:f>
              <c:strCache>
                <c:ptCount val="15"/>
                <c:pt idx="0">
                  <c:v>江苏</c:v>
                </c:pt>
                <c:pt idx="1">
                  <c:v>河北</c:v>
                </c:pt>
                <c:pt idx="2">
                  <c:v>广西</c:v>
                </c:pt>
                <c:pt idx="3">
                  <c:v>蒙东</c:v>
                </c:pt>
                <c:pt idx="4">
                  <c:v>辽宁</c:v>
                </c:pt>
                <c:pt idx="5">
                  <c:v>山东</c:v>
                </c:pt>
                <c:pt idx="6">
                  <c:v>吉林</c:v>
                </c:pt>
                <c:pt idx="7">
                  <c:v>黑龙江</c:v>
                </c:pt>
                <c:pt idx="8">
                  <c:v>陕西</c:v>
                </c:pt>
                <c:pt idx="9">
                  <c:v>山西</c:v>
                </c:pt>
                <c:pt idx="10">
                  <c:v>河南</c:v>
                </c:pt>
                <c:pt idx="11">
                  <c:v>宁夏</c:v>
                </c:pt>
                <c:pt idx="12">
                  <c:v>广东</c:v>
                </c:pt>
                <c:pt idx="13">
                  <c:v>蒙西</c:v>
                </c:pt>
                <c:pt idx="14">
                  <c:v>天津</c:v>
                </c:pt>
              </c:strCache>
            </c:strRef>
          </c:cat>
          <c:val>
            <c:numRef>
              <c:f>'[记录结束时间-2025_02_16_01_11_32_069.xlsx]导出计数_区域'!$K$2:$K$16</c:f>
              <c:numCache>
                <c:formatCode>General</c:formatCode>
                <c:ptCount val="15"/>
              </c:numCache>
            </c:numRef>
          </c:val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1"/>
        </c:dLbls>
        <c:gapWidth val="219"/>
        <c:overlap val="-27"/>
        <c:axId val="268241346"/>
        <c:axId val="880906146"/>
      </c:barChart>
      <c:barChart>
        <c:barDir val="col"/>
        <c:grouping val="clustered"/>
        <c:varyColors val="0"/>
        <c:ser>
          <c:idx val="3"/>
          <c:order val="3"/>
          <c:tx>
            <c:strRef>
              <c:f>'[记录结束时间-2025_02_16_01_11_32_069.xlsx]导出计数_区域'!$M$1</c:f>
              <c:strCache>
                <c:ptCount val="1"/>
                <c:pt idx="0">
                  <c:v>1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dLblPos val="outEnd"/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'[记录结束时间-2025_02_16_01_11_32_069.xlsx]导出计数_区域'!$I$2:$I$16</c:f>
              <c:strCache>
                <c:ptCount val="15"/>
                <c:pt idx="0">
                  <c:v>江苏</c:v>
                </c:pt>
                <c:pt idx="1">
                  <c:v>河北</c:v>
                </c:pt>
                <c:pt idx="2">
                  <c:v>广西</c:v>
                </c:pt>
                <c:pt idx="3">
                  <c:v>蒙东</c:v>
                </c:pt>
                <c:pt idx="4">
                  <c:v>辽宁</c:v>
                </c:pt>
                <c:pt idx="5">
                  <c:v>山东</c:v>
                </c:pt>
                <c:pt idx="6">
                  <c:v>吉林</c:v>
                </c:pt>
                <c:pt idx="7">
                  <c:v>黑龙江</c:v>
                </c:pt>
                <c:pt idx="8">
                  <c:v>陕西</c:v>
                </c:pt>
                <c:pt idx="9">
                  <c:v>山西</c:v>
                </c:pt>
                <c:pt idx="10">
                  <c:v>河南</c:v>
                </c:pt>
                <c:pt idx="11">
                  <c:v>宁夏</c:v>
                </c:pt>
                <c:pt idx="12">
                  <c:v>广东</c:v>
                </c:pt>
                <c:pt idx="13">
                  <c:v>蒙西</c:v>
                </c:pt>
                <c:pt idx="14">
                  <c:v>天津</c:v>
                </c:pt>
              </c:strCache>
            </c:strRef>
          </c:cat>
          <c:val>
            <c:numRef>
              <c:f>'[记录结束时间-2025_02_16_01_11_32_069.xlsx]导出计数_区域'!$M$2:$M$16</c:f>
              <c:numCache>
                <c:formatCode>General</c:formatCode>
                <c:ptCount val="15"/>
              </c:numCache>
            </c:numRef>
          </c:val>
        </c:ser>
        <c:ser>
          <c:idx val="4"/>
          <c:order val="4"/>
          <c:tx>
            <c:strRef>
              <c:f>'[记录结束时间-2025_02_16_01_11_32_069.xlsx]导出计数_区域'!$N$1</c:f>
              <c:strCache>
                <c:ptCount val="1"/>
                <c:pt idx="0">
                  <c:v>台均停运时长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6"/>
            </a:solidFill>
            <a:ln>
              <a:noFill/>
            </a:ln>
            <a:effectLst>
              <a:outerShdw blurRad="50800" dist="38100" dir="2700000" algn="tl" rotWithShape="0">
                <a:prstClr val="black">
                  <a:alpha val="40000"/>
                </a:prstClr>
              </a:outerShdw>
            </a:effectLst>
          </c:spPr>
          <c:invertIfNegative val="0"/>
          <c:dLbls>
            <c:dLbl>
              <c:idx val="0"/>
              <c:dLblPos val="outEnd"/>
              <c:layout>
                <c:manualLayout>
                  <c:x val="0.012486"/>
                  <c:y val="0.025812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"/>
              <c:dLblPos val="outEnd"/>
              <c:layout>
                <c:manualLayout>
                  <c:x val="0.005737"/>
                  <c:y val="0.019820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2"/>
              <c:dLblPos val="outEnd"/>
              <c:layout>
                <c:manualLayout>
                  <c:x val="0.011586"/>
                  <c:y val="0.015902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3"/>
              <c:dLblPos val="outEnd"/>
              <c:layout>
                <c:manualLayout>
                  <c:x val="0.009561"/>
                  <c:y val="0.021894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5"/>
              <c:dLblPos val="outEnd"/>
              <c:layout>
                <c:manualLayout>
                  <c:x val="0.009561"/>
                  <c:y val="0.009910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6"/>
              <c:dLblPos val="outEnd"/>
              <c:layout>
                <c:manualLayout>
                  <c:x val="0.007762"/>
                  <c:y val="0.021664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7"/>
              <c:dLblPos val="outEnd"/>
              <c:layout>
                <c:manualLayout>
                  <c:x val="0.006749"/>
                  <c:y val="0.019820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8"/>
              <c:dLblPos val="outEnd"/>
              <c:layout>
                <c:manualLayout>
                  <c:x val="0.006749"/>
                  <c:y val="0.017746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0"/>
              <c:dLblPos val="outEnd"/>
              <c:layout>
                <c:manualLayout>
                  <c:x val="0.004837"/>
                  <c:y val="0.017746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1"/>
              <c:dLblPos val="outEnd"/>
              <c:layout>
                <c:manualLayout>
                  <c:x val="0.008661"/>
                  <c:y val="0.017976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2"/>
              <c:dLblPos val="outEnd"/>
              <c:layout>
                <c:manualLayout>
                  <c:x val="0.001912"/>
                  <c:y val="0.001844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3"/>
              <c:dLblPos val="outEnd"/>
              <c:layout>
                <c:manualLayout>
                  <c:x val="0.003825"/>
                  <c:y val="0.007836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4"/>
              <c:dLblPos val="outEnd"/>
              <c:layout>
                <c:manualLayout>
                  <c:x val="0.001912"/>
                  <c:y val="0.017746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Pos val="outEnd"/>
            <c:numFmt formatCode="#,##0.0_);[Red]\(#,##0.0\)" sourceLinked="0"/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'[记录结束时间-2025_02_16_01_11_32_069.xlsx]导出计数_区域'!$I$2:$I$16</c:f>
              <c:strCache>
                <c:ptCount val="15"/>
                <c:pt idx="0">
                  <c:v>江苏</c:v>
                </c:pt>
                <c:pt idx="1">
                  <c:v>河北</c:v>
                </c:pt>
                <c:pt idx="2">
                  <c:v>广西</c:v>
                </c:pt>
                <c:pt idx="3">
                  <c:v>蒙东</c:v>
                </c:pt>
                <c:pt idx="4">
                  <c:v>辽宁</c:v>
                </c:pt>
                <c:pt idx="5">
                  <c:v>山东</c:v>
                </c:pt>
                <c:pt idx="6">
                  <c:v>吉林</c:v>
                </c:pt>
                <c:pt idx="7">
                  <c:v>黑龙江</c:v>
                </c:pt>
                <c:pt idx="8">
                  <c:v>陕西</c:v>
                </c:pt>
                <c:pt idx="9">
                  <c:v>山西</c:v>
                </c:pt>
                <c:pt idx="10">
                  <c:v>河南</c:v>
                </c:pt>
                <c:pt idx="11">
                  <c:v>宁夏</c:v>
                </c:pt>
                <c:pt idx="12">
                  <c:v>广东</c:v>
                </c:pt>
                <c:pt idx="13">
                  <c:v>蒙西</c:v>
                </c:pt>
                <c:pt idx="14">
                  <c:v>天津</c:v>
                </c:pt>
              </c:strCache>
            </c:strRef>
          </c:cat>
          <c:val>
            <c:numRef>
              <c:f>'[记录结束时间-2025_02_16_01_11_32_069.xlsx]导出计数_区域'!$N$2:$N$16</c:f>
              <c:numCache>
                <c:formatCode xml:space="preserve">0.0_ </c:formatCode>
                <c:ptCount val="15"/>
                <c:pt idx="0">
                  <c:v>20.4989765611021</c:v>
                </c:pt>
                <c:pt idx="1">
                  <c:v>16.0909423783288</c:v>
                </c:pt>
                <c:pt idx="2">
                  <c:v>8.3069254330376</c:v>
                </c:pt>
                <c:pt idx="3">
                  <c:v>12.3949622814439</c:v>
                </c:pt>
                <c:pt idx="4">
                  <c:v>25.3972987117552</c:v>
                </c:pt>
                <c:pt idx="5">
                  <c:v>6.34881741522366</c:v>
                </c:pt>
                <c:pt idx="6">
                  <c:v>7.17103778905808</c:v>
                </c:pt>
                <c:pt idx="7">
                  <c:v>6.17598765432099</c:v>
                </c:pt>
                <c:pt idx="8">
                  <c:v>3.66830089820359</c:v>
                </c:pt>
                <c:pt idx="9">
                  <c:v>9.92828647925034</c:v>
                </c:pt>
                <c:pt idx="10">
                  <c:v>1.50378136200717</c:v>
                </c:pt>
                <c:pt idx="11">
                  <c:v>2.15052829698858</c:v>
                </c:pt>
                <c:pt idx="12">
                  <c:v>1.32715740740741</c:v>
                </c:pt>
                <c:pt idx="13">
                  <c:v>1.10421663727219</c:v>
                </c:pt>
                <c:pt idx="14">
                  <c:v>2.75861111111111</c:v>
                </c:pt>
              </c:numCache>
            </c:numRef>
          </c:val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1"/>
        </c:dLbls>
        <c:gapWidth val="219"/>
        <c:overlap val="-27"/>
        <c:axId val="795115417"/>
        <c:axId val="571389378"/>
      </c:barChart>
      <c:lineChart>
        <c:grouping val="standard"/>
        <c:varyColors val="0"/>
        <c:ser>
          <c:idx val="2"/>
          <c:order val="2"/>
          <c:tx>
            <c:strRef>
              <c:f>'[记录结束时间-2025_02_16_01_11_32_069.xlsx]导出计数_区域'!$L$1</c:f>
              <c:strCache>
                <c:ptCount val="1"/>
                <c:pt idx="0">
                  <c:v>公司均值</c:v>
                </c:pt>
              </c:strCache>
            </c:strRef>
          </c:tx>
          <c:spPr bwMode="auto">
            <a:prstGeom prst="rect">
              <a:avLst/>
            </a:prstGeom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'[记录结束时间-2025_02_16_01_11_32_069.xlsx]导出计数_区域'!$I$2:$I$16</c:f>
              <c:strCache>
                <c:ptCount val="15"/>
                <c:pt idx="0">
                  <c:v>江苏</c:v>
                </c:pt>
                <c:pt idx="1">
                  <c:v>河北</c:v>
                </c:pt>
                <c:pt idx="2">
                  <c:v>广西</c:v>
                </c:pt>
                <c:pt idx="3">
                  <c:v>蒙东</c:v>
                </c:pt>
                <c:pt idx="4">
                  <c:v>辽宁</c:v>
                </c:pt>
                <c:pt idx="5">
                  <c:v>山东</c:v>
                </c:pt>
                <c:pt idx="6">
                  <c:v>吉林</c:v>
                </c:pt>
                <c:pt idx="7">
                  <c:v>黑龙江</c:v>
                </c:pt>
                <c:pt idx="8">
                  <c:v>陕西</c:v>
                </c:pt>
                <c:pt idx="9">
                  <c:v>山西</c:v>
                </c:pt>
                <c:pt idx="10">
                  <c:v>河南</c:v>
                </c:pt>
                <c:pt idx="11">
                  <c:v>宁夏</c:v>
                </c:pt>
                <c:pt idx="12">
                  <c:v>广东</c:v>
                </c:pt>
                <c:pt idx="13">
                  <c:v>蒙西</c:v>
                </c:pt>
                <c:pt idx="14">
                  <c:v>天津</c:v>
                </c:pt>
              </c:strCache>
            </c:strRef>
          </c:cat>
          <c:val>
            <c:numRef>
              <c:f>'[记录结束时间-2025_02_16_01_11_32_069.xlsx]导出计数_区域'!$L$2:$L$16</c:f>
              <c:numCache>
                <c:formatCode xml:space="preserve">0.0_ </c:formatCode>
                <c:ptCount val="15"/>
                <c:pt idx="0">
                  <c:v>1.99879</c:v>
                </c:pt>
                <c:pt idx="1">
                  <c:v>1.99879</c:v>
                </c:pt>
                <c:pt idx="2">
                  <c:v>1.99879</c:v>
                </c:pt>
                <c:pt idx="3">
                  <c:v>1.99879</c:v>
                </c:pt>
                <c:pt idx="4">
                  <c:v>1.99879</c:v>
                </c:pt>
                <c:pt idx="5">
                  <c:v>1.99879</c:v>
                </c:pt>
                <c:pt idx="6">
                  <c:v>1.99879</c:v>
                </c:pt>
                <c:pt idx="7">
                  <c:v>1.99879</c:v>
                </c:pt>
                <c:pt idx="8">
                  <c:v>1.99879</c:v>
                </c:pt>
                <c:pt idx="9">
                  <c:v>1.99879</c:v>
                </c:pt>
                <c:pt idx="10">
                  <c:v>1.99879</c:v>
                </c:pt>
                <c:pt idx="11">
                  <c:v>1.99879</c:v>
                </c:pt>
                <c:pt idx="12">
                  <c:v>1.99879</c:v>
                </c:pt>
                <c:pt idx="13">
                  <c:v>1.99879</c:v>
                </c:pt>
                <c:pt idx="14">
                  <c:v>1.99879</c:v>
                </c:pt>
              </c:numCache>
            </c:numRef>
          </c:val>
          <c:smooth val="0"/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1"/>
        </c:dLbls>
        <c:marker val="0"/>
        <c:smooth val="0"/>
        <c:axId val="268241346"/>
        <c:axId val="880906146"/>
      </c:lineChart>
      <c:catAx>
        <c:axId val="268241346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/>
          </a:p>
        </c:txPr>
        <c:crossAx val="880906146"/>
        <c:crosses val="autoZero"/>
        <c:auto val="1"/>
        <c:lblAlgn val="ctr"/>
        <c:lblOffset val="100"/>
        <c:noMultiLvlLbl val="0"/>
      </c:catAx>
      <c:valAx>
        <c:axId val="880906146"/>
        <c:scaling>
          <c:orientation val="minMax"/>
        </c:scaling>
        <c:delete val="0"/>
        <c:axPos val="l"/>
        <c:majorGridlines>
          <c:spPr bwMode="auto">
            <a:prstGeom prst="rect">
              <a:avLst/>
            </a:prstGeom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/>
                  <a:t>单位：台次</a:t>
                </a:r>
                <a:endParaRPr lang="zh-CN"/>
              </a:p>
            </c:rich>
          </c:tx>
          <c:layout/>
          <c:overlay val="0"/>
          <c:spPr bwMode="auto">
            <a:prstGeom prst="rect">
              <a:avLst/>
            </a:prstGeom>
            <a:noFill/>
            <a:ln>
              <a:noFill/>
            </a:ln>
            <a:effectLst/>
          </c:spPr>
        </c:title>
        <c:numFmt formatCode="#,##0_);[Red]\(#,##0\)" sourceLinked="0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/>
          </a:p>
        </c:txPr>
        <c:crossAx val="268241346"/>
        <c:crosses val="autoZero"/>
        <c:crossBetween val="between"/>
      </c:valAx>
      <c:catAx>
        <c:axId val="795115417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/>
          </a:p>
        </c:txPr>
        <c:crossAx val="571389378"/>
        <c:crosses val="autoZero"/>
        <c:auto val="1"/>
        <c:lblAlgn val="ctr"/>
        <c:lblOffset val="100"/>
        <c:noMultiLvlLbl val="0"/>
      </c:catAx>
      <c:valAx>
        <c:axId val="571389378"/>
        <c:scaling>
          <c:orientation val="minMax"/>
        </c:scaling>
        <c:delete val="0"/>
        <c:axPos val="r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/>
                  <a:t>单位：小时</a:t>
                </a:r>
                <a:endParaRPr lang="zh-CN"/>
              </a:p>
            </c:rich>
          </c:tx>
          <c:layout>
            <c:manualLayout>
              <c:xMode val="edge"/>
              <c:yMode val="edge"/>
              <c:x val="0.963330"/>
              <c:y val="0.317345"/>
            </c:manualLayout>
          </c:layout>
          <c:overlay val="0"/>
          <c:spPr bwMode="auto">
            <a:prstGeom prst="rect">
              <a:avLst/>
            </a:prstGeom>
            <a:noFill/>
            <a:ln>
              <a:noFill/>
            </a:ln>
            <a:effectLst/>
          </c:spPr>
        </c:title>
        <c:numFmt formatCode="#,##0_);[Red]\(#,##0\)" sourceLinked="0"/>
        <c:majorTickMark val="out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/>
          </a:p>
        </c:txPr>
        <c:crossAx val="795115417"/>
        <c:crosses val="max"/>
        <c:crossBetween val="between"/>
      </c:valAx>
      <c:spPr bwMode="auto">
        <a:prstGeom prst="rect">
          <a:avLst/>
        </a:prstGeom>
        <a:noFill/>
        <a:ln>
          <a:noFill/>
        </a:ln>
        <a:effectLst/>
      </c:spPr>
    </c:plotArea>
    <c:legend>
      <c:legendPos val="b"/>
      <c:legendEntry>
        <c:idx val="1"/>
        <c:delete val="1"/>
      </c:legendEntry>
      <c:legendEntry>
        <c:idx val="2"/>
        <c:delete val="1"/>
      </c:legendEntry>
      <c:legendEntry>
        <c:idx val="4"/>
        <c:delete val="1"/>
      </c:legendEntry>
      <c:layout>
        <c:manualLayout>
          <c:xMode val="edge"/>
          <c:yMode val="edge"/>
          <c:x val="0.682478"/>
          <c:y val="0.069181"/>
          <c:w val="0.240833"/>
          <c:h val="0.145602"/>
        </c:manualLayout>
      </c:layout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/>
        </a:p>
      </c:txPr>
    </c:legend>
    <c:plotVisOnly val="1"/>
    <c:dispBlanksAs val="gap"/>
    <c:showDLblsOverMax val="0"/>
  </c:chart>
  <c:spPr bwMode="auto"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zh-CN"/>
  <c:roundedCorners val="0"/>
  <mc:AlternateContent>
    <mc:Choice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063553"/>
          <c:y val="0.050872"/>
          <c:w val="0.831710"/>
          <c:h val="0.793960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'[通用指标查询_20250216 (2).xlsx]通用指标查询_20250216'!$D$1</c:f>
              <c:strCache>
                <c:ptCount val="1"/>
                <c:pt idx="0">
                  <c:v>综合场用电率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1"/>
            </a:solidFill>
            <a:ln>
              <a:noFill/>
            </a:ln>
            <a:effectLst>
              <a:outerShdw blurRad="50800" dist="38100" dir="2700000" algn="tl" rotWithShape="0">
                <a:prstClr val="black">
                  <a:alpha val="40000"/>
                </a:prstClr>
              </a:outerShdw>
            </a:effectLst>
          </c:spPr>
          <c:invertIfNegative val="0"/>
          <c:dLbls>
            <c:dLbl>
              <c:idx val="1"/>
              <c:dLblPos val="outEnd"/>
              <c:layout>
                <c:manualLayout>
                  <c:x val="-0.011924"/>
                  <c:y val="0.026753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9"/>
              <c:dLblPos val="outEnd"/>
              <c:layout>
                <c:manualLayout>
                  <c:x val="-0.006420"/>
                  <c:y val="0.010410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Pos val="outEnd"/>
            <c:numFmt formatCode="#,##0.0_);[Red]\(#,##0.0\)" sourceLinked="0"/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'[通用指标查询_20250216 (2).xlsx]通用指标查询_20250216'!$C$2:$C$20</c:f>
              <c:strCache>
                <c:ptCount val="19"/>
                <c:pt idx="0">
                  <c:v>湖北</c:v>
                </c:pt>
                <c:pt idx="1">
                  <c:v>河北</c:v>
                </c:pt>
                <c:pt idx="2">
                  <c:v>黑龙江</c:v>
                </c:pt>
                <c:pt idx="3">
                  <c:v>广东</c:v>
                </c:pt>
                <c:pt idx="4">
                  <c:v>吉林</c:v>
                </c:pt>
                <c:pt idx="5">
                  <c:v>河南</c:v>
                </c:pt>
                <c:pt idx="6">
                  <c:v>海南</c:v>
                </c:pt>
                <c:pt idx="7">
                  <c:v>陕西</c:v>
                </c:pt>
                <c:pt idx="8">
                  <c:v>天津</c:v>
                </c:pt>
                <c:pt idx="9">
                  <c:v>山东</c:v>
                </c:pt>
                <c:pt idx="10">
                  <c:v>江苏</c:v>
                </c:pt>
                <c:pt idx="11">
                  <c:v>蒙西</c:v>
                </c:pt>
                <c:pt idx="12">
                  <c:v>山西</c:v>
                </c:pt>
                <c:pt idx="13">
                  <c:v>宁夏</c:v>
                </c:pt>
                <c:pt idx="14">
                  <c:v>蒙东</c:v>
                </c:pt>
                <c:pt idx="15">
                  <c:v>甘肃</c:v>
                </c:pt>
                <c:pt idx="16">
                  <c:v>辽宁</c:v>
                </c:pt>
                <c:pt idx="17">
                  <c:v>广西</c:v>
                </c:pt>
                <c:pt idx="18">
                  <c:v>湖南</c:v>
                </c:pt>
              </c:strCache>
            </c:strRef>
          </c:cat>
          <c:val>
            <c:numRef>
              <c:f>'[通用指标查询_20250216 (2).xlsx]通用指标查询_20250216'!$D$2:$D$20</c:f>
              <c:numCache>
                <c:formatCode xml:space="preserve">0.00_ </c:formatCode>
                <c:ptCount val="19"/>
                <c:pt idx="0">
                  <c:v>4.30759027089387</c:v>
                </c:pt>
                <c:pt idx="1">
                  <c:v>4.0389319766915</c:v>
                </c:pt>
                <c:pt idx="2">
                  <c:v>3.64373103038268</c:v>
                </c:pt>
                <c:pt idx="3">
                  <c:v>3.63262261603579</c:v>
                </c:pt>
                <c:pt idx="4">
                  <c:v>3.38294171436401</c:v>
                </c:pt>
                <c:pt idx="5">
                  <c:v>3.06767184596095</c:v>
                </c:pt>
                <c:pt idx="6">
                  <c:v>2.94579121554808</c:v>
                </c:pt>
                <c:pt idx="7">
                  <c:v>2.88545855258842</c:v>
                </c:pt>
                <c:pt idx="8">
                  <c:v>2.86862910551715</c:v>
                </c:pt>
                <c:pt idx="9">
                  <c:v>2.60093842732983</c:v>
                </c:pt>
                <c:pt idx="10">
                  <c:v>2.41089216502499</c:v>
                </c:pt>
                <c:pt idx="11">
                  <c:v>2.00136374238552</c:v>
                </c:pt>
                <c:pt idx="12">
                  <c:v>1.91594279905814</c:v>
                </c:pt>
                <c:pt idx="13">
                  <c:v>1.89134252611544</c:v>
                </c:pt>
                <c:pt idx="14">
                  <c:v>1.86561247595349</c:v>
                </c:pt>
                <c:pt idx="15">
                  <c:v>1.6180907033111</c:v>
                </c:pt>
                <c:pt idx="16">
                  <c:v>1.61327872019949</c:v>
                </c:pt>
                <c:pt idx="17">
                  <c:v>1.29881085790321</c:v>
                </c:pt>
                <c:pt idx="18">
                  <c:v>1.06629388084721</c:v>
                </c:pt>
              </c:numCache>
            </c:numRef>
          </c:val>
        </c:ser>
        <c:ser>
          <c:idx val="1"/>
          <c:order val="1"/>
          <c:tx>
            <c:strRef>
              <c:f>'[通用指标查询_20250216 (2).xlsx]通用指标查询_20250216'!$E$1</c:f>
              <c:strCache>
                <c:ptCount val="1"/>
                <c:pt idx="0">
                  <c:v>1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Pos val="outEnd"/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'[通用指标查询_20250216 (2).xlsx]通用指标查询_20250216'!$C$2:$C$20</c:f>
              <c:strCache>
                <c:ptCount val="19"/>
                <c:pt idx="0">
                  <c:v>湖北</c:v>
                </c:pt>
                <c:pt idx="1">
                  <c:v>河北</c:v>
                </c:pt>
                <c:pt idx="2">
                  <c:v>黑龙江</c:v>
                </c:pt>
                <c:pt idx="3">
                  <c:v>广东</c:v>
                </c:pt>
                <c:pt idx="4">
                  <c:v>吉林</c:v>
                </c:pt>
                <c:pt idx="5">
                  <c:v>河南</c:v>
                </c:pt>
                <c:pt idx="6">
                  <c:v>海南</c:v>
                </c:pt>
                <c:pt idx="7">
                  <c:v>陕西</c:v>
                </c:pt>
                <c:pt idx="8">
                  <c:v>天津</c:v>
                </c:pt>
                <c:pt idx="9">
                  <c:v>山东</c:v>
                </c:pt>
                <c:pt idx="10">
                  <c:v>江苏</c:v>
                </c:pt>
                <c:pt idx="11">
                  <c:v>蒙西</c:v>
                </c:pt>
                <c:pt idx="12">
                  <c:v>山西</c:v>
                </c:pt>
                <c:pt idx="13">
                  <c:v>宁夏</c:v>
                </c:pt>
                <c:pt idx="14">
                  <c:v>蒙东</c:v>
                </c:pt>
                <c:pt idx="15">
                  <c:v>甘肃</c:v>
                </c:pt>
                <c:pt idx="16">
                  <c:v>辽宁</c:v>
                </c:pt>
                <c:pt idx="17">
                  <c:v>广西</c:v>
                </c:pt>
                <c:pt idx="18">
                  <c:v>湖南</c:v>
                </c:pt>
              </c:strCache>
            </c:strRef>
          </c:cat>
          <c:val>
            <c:numRef>
              <c:f>'[通用指标查询_20250216 (2).xlsx]通用指标查询_20250216'!$E$2:$E$20</c:f>
              <c:numCache>
                <c:formatCode>General</c:formatCode>
                <c:ptCount val="19"/>
              </c:numCache>
            </c:numRef>
          </c:val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1"/>
        </c:dLbls>
        <c:gapWidth val="219"/>
        <c:overlap val="-27"/>
        <c:axId val="268241346"/>
        <c:axId val="880906146"/>
      </c:barChart>
      <c:barChart>
        <c:barDir val="col"/>
        <c:grouping val="clustered"/>
        <c:varyColors val="0"/>
        <c:ser>
          <c:idx val="3"/>
          <c:order val="3"/>
          <c:tx>
            <c:strRef>
              <c:f>'[通用指标查询_20250216 (2).xlsx]通用指标查询_20250216'!$G$1</c:f>
              <c:strCache>
                <c:ptCount val="1"/>
                <c:pt idx="0">
                  <c:v>1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dLblPos val="outEnd"/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'[通用指标查询_20250216 (2).xlsx]通用指标查询_20250216'!$C$2:$C$20</c:f>
              <c:strCache>
                <c:ptCount val="19"/>
                <c:pt idx="0">
                  <c:v>湖北</c:v>
                </c:pt>
                <c:pt idx="1">
                  <c:v>河北</c:v>
                </c:pt>
                <c:pt idx="2">
                  <c:v>黑龙江</c:v>
                </c:pt>
                <c:pt idx="3">
                  <c:v>广东</c:v>
                </c:pt>
                <c:pt idx="4">
                  <c:v>吉林</c:v>
                </c:pt>
                <c:pt idx="5">
                  <c:v>河南</c:v>
                </c:pt>
                <c:pt idx="6">
                  <c:v>海南</c:v>
                </c:pt>
                <c:pt idx="7">
                  <c:v>陕西</c:v>
                </c:pt>
                <c:pt idx="8">
                  <c:v>天津</c:v>
                </c:pt>
                <c:pt idx="9">
                  <c:v>山东</c:v>
                </c:pt>
                <c:pt idx="10">
                  <c:v>江苏</c:v>
                </c:pt>
                <c:pt idx="11">
                  <c:v>蒙西</c:v>
                </c:pt>
                <c:pt idx="12">
                  <c:v>山西</c:v>
                </c:pt>
                <c:pt idx="13">
                  <c:v>宁夏</c:v>
                </c:pt>
                <c:pt idx="14">
                  <c:v>蒙东</c:v>
                </c:pt>
                <c:pt idx="15">
                  <c:v>甘肃</c:v>
                </c:pt>
                <c:pt idx="16">
                  <c:v>辽宁</c:v>
                </c:pt>
                <c:pt idx="17">
                  <c:v>广西</c:v>
                </c:pt>
                <c:pt idx="18">
                  <c:v>湖南</c:v>
                </c:pt>
              </c:strCache>
            </c:strRef>
          </c:cat>
          <c:val>
            <c:numRef>
              <c:f>'[通用指标查询_20250216 (2).xlsx]通用指标查询_20250216'!$G$2:$G$20</c:f>
              <c:numCache>
                <c:formatCode>General</c:formatCode>
                <c:ptCount val="19"/>
              </c:numCache>
            </c:numRef>
          </c:val>
        </c:ser>
        <c:ser>
          <c:idx val="4"/>
          <c:order val="4"/>
          <c:tx>
            <c:strRef>
              <c:f>'[通用指标查询_20250216 (2).xlsx]通用指标查询_20250216'!$H$1</c:f>
              <c:strCache>
                <c:ptCount val="1"/>
                <c:pt idx="0">
                  <c:v>场用电量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6"/>
            </a:solidFill>
            <a:ln>
              <a:noFill/>
            </a:ln>
            <a:effectLst>
              <a:outerShdw blurRad="50800" dist="38100" dir="2700000" algn="tl" rotWithShape="0">
                <a:prstClr val="black">
                  <a:alpha val="40000"/>
                </a:prstClr>
              </a:outerShdw>
            </a:effectLst>
          </c:spPr>
          <c:invertIfNegative val="0"/>
          <c:dLbls>
            <c:dLbl>
              <c:idx val="0"/>
              <c:dLblPos val="outEnd"/>
              <c:layout>
                <c:manualLayout>
                  <c:x val="0.007950"/>
                  <c:y val="0.007296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2"/>
              <c:dLblPos val="outEnd"/>
              <c:layout>
                <c:manualLayout>
                  <c:x val="0.003975"/>
                  <c:y val="0.017025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4"/>
              <c:dLblPos val="outEnd"/>
              <c:layout>
                <c:manualLayout>
                  <c:x val="0.005300"/>
                  <c:y val="0.014593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5"/>
              <c:dLblPos val="outEnd"/>
              <c:layout>
                <c:manualLayout>
                  <c:x val="0.009275"/>
                  <c:y val="0.014593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7"/>
              <c:dLblPos val="outEnd"/>
              <c:layout>
                <c:manualLayout>
                  <c:x val="0.006625"/>
                  <c:y val="0.026753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8"/>
              <c:dLblPos val="outEnd"/>
              <c:layout>
                <c:manualLayout>
                  <c:x val="0.007950"/>
                  <c:y val="0.014593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9"/>
              <c:dLblPos val="outEnd"/>
              <c:layout>
                <c:manualLayout>
                  <c:x val="0.030406"/>
                  <c:y val="-0.002002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0"/>
              <c:dLblPos val="outEnd"/>
              <c:layout>
                <c:manualLayout>
                  <c:x val="0.011924"/>
                  <c:y val="0.014593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1"/>
              <c:dLblPos val="outEnd"/>
              <c:layout>
                <c:manualLayout>
                  <c:x val="0.010600"/>
                  <c:y val="0.024321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2"/>
              <c:dLblPos val="outEnd"/>
              <c:layout>
                <c:manualLayout>
                  <c:x val="0.007950"/>
                  <c:y val="0.007296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4"/>
              <c:dLblPos val="outEnd"/>
              <c:layout>
                <c:manualLayout>
                  <c:x val="0.006625"/>
                  <c:y val="0.019457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5"/>
              <c:dLblPos val="outEnd"/>
              <c:layout>
                <c:manualLayout>
                  <c:x val="0.005300"/>
                  <c:y val="0.007296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6"/>
              <c:dLblPos val="outEnd"/>
              <c:layout>
                <c:manualLayout>
                  <c:x val="0.009275"/>
                  <c:y val="0.000000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>
              <c:idx val="17"/>
              <c:dLblPos val="outEnd"/>
              <c:layout>
                <c:manualLayout>
                  <c:x val="0.005300"/>
                  <c:y val="0.031617"/>
                </c:manualLayout>
              </c:layout>
              <c:showBubbleSize val="0"/>
              <c:showCatName val="0"/>
              <c:showLegendKey val="0"/>
              <c:showPercent val="0"/>
              <c:showSerName val="0"/>
              <c:showVal val="1"/>
            </c:dLbl>
            <c:dLblPos val="outEnd"/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'[通用指标查询_20250216 (2).xlsx]通用指标查询_20250216'!$C$2:$C$20</c:f>
              <c:strCache>
                <c:ptCount val="19"/>
                <c:pt idx="0">
                  <c:v>湖北</c:v>
                </c:pt>
                <c:pt idx="1">
                  <c:v>河北</c:v>
                </c:pt>
                <c:pt idx="2">
                  <c:v>黑龙江</c:v>
                </c:pt>
                <c:pt idx="3">
                  <c:v>广东</c:v>
                </c:pt>
                <c:pt idx="4">
                  <c:v>吉林</c:v>
                </c:pt>
                <c:pt idx="5">
                  <c:v>河南</c:v>
                </c:pt>
                <c:pt idx="6">
                  <c:v>海南</c:v>
                </c:pt>
                <c:pt idx="7">
                  <c:v>陕西</c:v>
                </c:pt>
                <c:pt idx="8">
                  <c:v>天津</c:v>
                </c:pt>
                <c:pt idx="9">
                  <c:v>山东</c:v>
                </c:pt>
                <c:pt idx="10">
                  <c:v>江苏</c:v>
                </c:pt>
                <c:pt idx="11">
                  <c:v>蒙西</c:v>
                </c:pt>
                <c:pt idx="12">
                  <c:v>山西</c:v>
                </c:pt>
                <c:pt idx="13">
                  <c:v>宁夏</c:v>
                </c:pt>
                <c:pt idx="14">
                  <c:v>蒙东</c:v>
                </c:pt>
                <c:pt idx="15">
                  <c:v>甘肃</c:v>
                </c:pt>
                <c:pt idx="16">
                  <c:v>辽宁</c:v>
                </c:pt>
                <c:pt idx="17">
                  <c:v>广西</c:v>
                </c:pt>
                <c:pt idx="18">
                  <c:v>湖南</c:v>
                </c:pt>
              </c:strCache>
            </c:strRef>
          </c:cat>
          <c:val>
            <c:numRef>
              <c:f>'[通用指标查询_20250216 (2).xlsx]通用指标查询_20250216'!$H$2:$H$20</c:f>
              <c:numCache>
                <c:formatCode xml:space="preserve">0_ </c:formatCode>
                <c:ptCount val="19"/>
                <c:pt idx="0">
                  <c:v>93.9859100000001</c:v>
                </c:pt>
                <c:pt idx="1">
                  <c:v>3197.28582519999</c:v>
                </c:pt>
                <c:pt idx="2">
                  <c:v>46.58</c:v>
                </c:pt>
                <c:pt idx="3">
                  <c:v>16.5339</c:v>
                </c:pt>
                <c:pt idx="4">
                  <c:v>684.2103</c:v>
                </c:pt>
                <c:pt idx="5">
                  <c:v>217.0332</c:v>
                </c:pt>
                <c:pt idx="6">
                  <c:v>44.5695</c:v>
                </c:pt>
                <c:pt idx="7">
                  <c:v>382.69</c:v>
                </c:pt>
                <c:pt idx="8">
                  <c:v>70.5179</c:v>
                </c:pt>
                <c:pt idx="9">
                  <c:v>1586.3228</c:v>
                </c:pt>
                <c:pt idx="10">
                  <c:v>771.504190000004</c:v>
                </c:pt>
                <c:pt idx="11">
                  <c:v>829.201965660006</c:v>
                </c:pt>
                <c:pt idx="12">
                  <c:v>157.3211</c:v>
                </c:pt>
                <c:pt idx="13">
                  <c:v>366.470755910006</c:v>
                </c:pt>
                <c:pt idx="14">
                  <c:v>579.729292680006</c:v>
                </c:pt>
                <c:pt idx="15">
                  <c:v>33.8783</c:v>
                </c:pt>
                <c:pt idx="16">
                  <c:v>83.5375</c:v>
                </c:pt>
                <c:pt idx="17">
                  <c:v>236.369003</c:v>
                </c:pt>
                <c:pt idx="18">
                  <c:v>8.7145</c:v>
                </c:pt>
              </c:numCache>
            </c:numRef>
          </c:val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1"/>
        </c:dLbls>
        <c:gapWidth val="219"/>
        <c:overlap val="-27"/>
        <c:axId val="795115417"/>
        <c:axId val="571389378"/>
      </c:barChart>
      <c:lineChart>
        <c:grouping val="standard"/>
        <c:varyColors val="0"/>
        <c:ser>
          <c:idx val="2"/>
          <c:order val="2"/>
          <c:tx>
            <c:strRef>
              <c:f>'[通用指标查询_20250216 (2).xlsx]通用指标查询_20250216'!$F$1</c:f>
              <c:strCache>
                <c:ptCount val="1"/>
                <c:pt idx="0">
                  <c:v>公司均值</c:v>
                </c:pt>
              </c:strCache>
            </c:strRef>
          </c:tx>
          <c:spPr bwMode="auto">
            <a:prstGeom prst="rect">
              <a:avLst/>
            </a:prstGeom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'[通用指标查询_20250216 (2).xlsx]通用指标查询_20250216'!$C$2:$C$20</c:f>
              <c:strCache>
                <c:ptCount val="19"/>
                <c:pt idx="0">
                  <c:v>湖北</c:v>
                </c:pt>
                <c:pt idx="1">
                  <c:v>河北</c:v>
                </c:pt>
                <c:pt idx="2">
                  <c:v>黑龙江</c:v>
                </c:pt>
                <c:pt idx="3">
                  <c:v>广东</c:v>
                </c:pt>
                <c:pt idx="4">
                  <c:v>吉林</c:v>
                </c:pt>
                <c:pt idx="5">
                  <c:v>河南</c:v>
                </c:pt>
                <c:pt idx="6">
                  <c:v>海南</c:v>
                </c:pt>
                <c:pt idx="7">
                  <c:v>陕西</c:v>
                </c:pt>
                <c:pt idx="8">
                  <c:v>天津</c:v>
                </c:pt>
                <c:pt idx="9">
                  <c:v>山东</c:v>
                </c:pt>
                <c:pt idx="10">
                  <c:v>江苏</c:v>
                </c:pt>
                <c:pt idx="11">
                  <c:v>蒙西</c:v>
                </c:pt>
                <c:pt idx="12">
                  <c:v>山西</c:v>
                </c:pt>
                <c:pt idx="13">
                  <c:v>宁夏</c:v>
                </c:pt>
                <c:pt idx="14">
                  <c:v>蒙东</c:v>
                </c:pt>
                <c:pt idx="15">
                  <c:v>甘肃</c:v>
                </c:pt>
                <c:pt idx="16">
                  <c:v>辽宁</c:v>
                </c:pt>
                <c:pt idx="17">
                  <c:v>广西</c:v>
                </c:pt>
                <c:pt idx="18">
                  <c:v>湖南</c:v>
                </c:pt>
              </c:strCache>
            </c:strRef>
          </c:cat>
          <c:val>
            <c:numRef>
              <c:f>'[通用指标查询_20250216 (2).xlsx]通用指标查询_20250216'!$F$2:$F$20</c:f>
              <c:numCache>
                <c:formatCode>General</c:formatCode>
                <c:ptCount val="19"/>
                <c:pt idx="0">
                  <c:v>2.65</c:v>
                </c:pt>
                <c:pt idx="1">
                  <c:v>2.65</c:v>
                </c:pt>
                <c:pt idx="2">
                  <c:v>2.65</c:v>
                </c:pt>
                <c:pt idx="3">
                  <c:v>2.65</c:v>
                </c:pt>
                <c:pt idx="4">
                  <c:v>2.65</c:v>
                </c:pt>
                <c:pt idx="5">
                  <c:v>2.65</c:v>
                </c:pt>
                <c:pt idx="6">
                  <c:v>2.65</c:v>
                </c:pt>
                <c:pt idx="7">
                  <c:v>2.65</c:v>
                </c:pt>
                <c:pt idx="8">
                  <c:v>2.65</c:v>
                </c:pt>
                <c:pt idx="9">
                  <c:v>2.65</c:v>
                </c:pt>
                <c:pt idx="10">
                  <c:v>2.65</c:v>
                </c:pt>
                <c:pt idx="11">
                  <c:v>2.65</c:v>
                </c:pt>
                <c:pt idx="12">
                  <c:v>2.65</c:v>
                </c:pt>
                <c:pt idx="13">
                  <c:v>2.65</c:v>
                </c:pt>
                <c:pt idx="14">
                  <c:v>2.65</c:v>
                </c:pt>
                <c:pt idx="15">
                  <c:v>2.65</c:v>
                </c:pt>
                <c:pt idx="16">
                  <c:v>2.65</c:v>
                </c:pt>
                <c:pt idx="17">
                  <c:v>2.65</c:v>
                </c:pt>
                <c:pt idx="18">
                  <c:v>2.65</c:v>
                </c:pt>
              </c:numCache>
            </c:numRef>
          </c:val>
          <c:smooth val="0"/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1"/>
        </c:dLbls>
        <c:marker val="0"/>
        <c:smooth val="0"/>
        <c:axId val="268241346"/>
        <c:axId val="880906146"/>
      </c:lineChart>
      <c:catAx>
        <c:axId val="268241346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/>
          </a:p>
        </c:txPr>
        <c:crossAx val="880906146"/>
        <c:crosses val="autoZero"/>
        <c:auto val="1"/>
        <c:lblAlgn val="ctr"/>
        <c:lblOffset val="100"/>
        <c:noMultiLvlLbl val="0"/>
      </c:catAx>
      <c:valAx>
        <c:axId val="880906146"/>
        <c:scaling>
          <c:orientation val="minMax"/>
          <c:min val="0.800000"/>
        </c:scaling>
        <c:delete val="0"/>
        <c:axPos val="l"/>
        <c:majorGridlines>
          <c:spPr bwMode="auto">
            <a:prstGeom prst="rect">
              <a:avLst/>
            </a:prstGeom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/>
                  <a:t>单位：</a:t>
                </a:r>
                <a:r>
                  <a:rPr lang="en-US"/>
                  <a:t>%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0.003634"/>
              <c:y val="0.413047"/>
            </c:manualLayout>
          </c:layout>
          <c:overlay val="0"/>
          <c:spPr bwMode="auto">
            <a:prstGeom prst="rect">
              <a:avLst/>
            </a:prstGeom>
            <a:noFill/>
            <a:ln>
              <a:noFill/>
            </a:ln>
            <a:effectLst/>
          </c:spPr>
        </c:title>
        <c:numFmt formatCode="#,##0_);[Red]\(#,##0\)" sourceLinked="0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/>
          </a:p>
        </c:txPr>
        <c:crossAx val="268241346"/>
        <c:crosses val="autoZero"/>
        <c:crossBetween val="between"/>
      </c:valAx>
      <c:catAx>
        <c:axId val="795115417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/>
          </a:p>
        </c:txPr>
        <c:crossAx val="571389378"/>
        <c:crosses val="autoZero"/>
        <c:auto val="1"/>
        <c:lblAlgn val="ctr"/>
        <c:lblOffset val="100"/>
        <c:noMultiLvlLbl val="0"/>
      </c:catAx>
      <c:valAx>
        <c:axId val="571389378"/>
        <c:scaling>
          <c:orientation val="minMax"/>
        </c:scaling>
        <c:delete val="0"/>
        <c:axPos val="r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/>
                  <a:t>单位：万千瓦时</a:t>
                </a:r>
                <a:endParaRPr lang="zh-CN"/>
              </a:p>
            </c:rich>
          </c:tx>
          <c:layout>
            <c:manualLayout>
              <c:xMode val="edge"/>
              <c:yMode val="edge"/>
              <c:x val="0.964006"/>
              <c:y val="0.298489"/>
            </c:manualLayout>
          </c:layout>
          <c:overlay val="0"/>
          <c:spPr bwMode="auto">
            <a:prstGeom prst="rect">
              <a:avLst/>
            </a:prstGeom>
            <a:noFill/>
            <a:ln>
              <a:noFill/>
            </a:ln>
            <a:effectLst/>
          </c:spPr>
        </c:title>
        <c:numFmt formatCode="#,##0_);[Red]\(#,##0\)" sourceLinked="0"/>
        <c:majorTickMark val="out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/>
          </a:p>
        </c:txPr>
        <c:crossAx val="795115417"/>
        <c:crosses val="max"/>
        <c:crossBetween val="between"/>
      </c:valAx>
      <c:spPr bwMode="auto">
        <a:prstGeom prst="rect">
          <a:avLst/>
        </a:prstGeom>
        <a:noFill/>
        <a:ln>
          <a:noFill/>
        </a:ln>
        <a:effectLst/>
      </c:spPr>
    </c:plotArea>
    <c:legend>
      <c:legendPos val="b"/>
      <c:legendEntry>
        <c:idx val="1"/>
        <c:delete val="1"/>
      </c:legendEntry>
      <c:legendEntry>
        <c:idx val="2"/>
        <c:delete val="1"/>
      </c:legendEntry>
      <c:legendEntry>
        <c:idx val="4"/>
        <c:delete val="1"/>
      </c:legendEntry>
      <c:layout>
        <c:manualLayout>
          <c:xMode val="edge"/>
          <c:yMode val="edge"/>
          <c:x val="0.685216"/>
          <c:y val="0.072558"/>
          <c:w val="0.240808"/>
          <c:h val="0.136400"/>
        </c:manualLayout>
      </c:layout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/>
        </a:p>
      </c:txPr>
    </c:legend>
    <c:plotVisOnly val="1"/>
    <c:dispBlanksAs val="gap"/>
    <c:showDLblsOverMax val="0"/>
  </c:chart>
  <c:spPr bwMode="auto"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 bwMode="auto">
      <a:prstGeom prst="rect">
        <a:avLst/>
      </a:prstGeom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ln w="9525">
        <a:solidFill>
          <a:schemeClr val="phClr"/>
        </a:solidFill>
      </a:ln>
    </cs:spPr>
  </cs:dataPointMarker>
  <cs:dataPointWirefram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  <cs:dataPointMarkerLayout symbol="circle" size="5"/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 bwMode="auto">
      <a:prstGeom prst="rect">
        <a:avLst/>
      </a:prstGeom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ln w="9525">
        <a:solidFill>
          <a:schemeClr val="phClr"/>
        </a:solidFill>
      </a:ln>
    </cs:spPr>
  </cs:dataPointMarker>
  <cs:dataPointWirefram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  <cs:dataPointMarkerLayout symbol="circle" size="5"/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 bwMode="auto">
      <a:prstGeom prst="rect">
        <a:avLst/>
      </a:prstGeom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ln w="9525">
        <a:solidFill>
          <a:schemeClr val="phClr"/>
        </a:solidFill>
      </a:ln>
    </cs:spPr>
  </cs:dataPointMarker>
  <cs:dataPointWirefram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  <cs:dataPointMarkerLayout symbol="circle" size="5"/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 bwMode="auto">
      <a:prstGeom prst="rect">
        <a:avLst/>
      </a:prstGeom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ln w="9525">
        <a:solidFill>
          <a:schemeClr val="phClr"/>
        </a:solidFill>
      </a:ln>
    </cs:spPr>
  </cs:dataPointMarker>
  <cs:dataPointWirefram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  <cs:dataPointMarkerLayout symbol="circle" size="5"/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 bwMode="auto">
      <a:prstGeom prst="rect">
        <a:avLst/>
      </a:prstGeom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ln w="9525">
        <a:solidFill>
          <a:schemeClr val="phClr"/>
        </a:solidFill>
      </a:ln>
    </cs:spPr>
  </cs:dataPointMarker>
  <cs:dataPointWirefram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  <cs:dataPointMarkerLayout symbol="circle" size="5"/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 bwMode="auto">
      <a:prstGeom prst="rect">
        <a:avLst/>
      </a:prstGeom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ln w="9525">
        <a:solidFill>
          <a:schemeClr val="phClr"/>
        </a:solidFill>
      </a:ln>
    </cs:spPr>
  </cs:dataPointMarker>
  <cs:dataPointWirefram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  <cs:dataPointMarkerLayout symbol="circle" size="5"/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 bwMode="auto">
      <a:prstGeom prst="rect">
        <a:avLst/>
      </a:prstGeom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ln w="9525">
        <a:solidFill>
          <a:schemeClr val="phClr"/>
        </a:solidFill>
      </a:ln>
    </cs:spPr>
  </cs:dataPointMarker>
  <cs:dataPointWirefram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  <cs:dataPointMarkerLayout symbol="circle" size="5"/>
</cs:chartStyle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LIS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006"/>
            </w:rPr>
            <w:t xml:space="preserve">选择一项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0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Table Grid"/>
    <w:basedOn w:val="15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Table Grid Light"/>
    <w:basedOn w:val="15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Plain Table 1"/>
    <w:basedOn w:val="15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Plain Table 2"/>
    <w:basedOn w:val="15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Plain Table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Plain Table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Plain Table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1 Light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1 Light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1 Light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1 Light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1 Light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1 Light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1 Light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2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2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2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2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2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2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3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3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3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3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3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3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4"/>
    <w:basedOn w:val="1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4 - Accent 1"/>
    <w:basedOn w:val="1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4 - Accent 2"/>
    <w:basedOn w:val="1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4 - Accent 3"/>
    <w:basedOn w:val="1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4 - Accent 4"/>
    <w:basedOn w:val="1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4 - Accent 5"/>
    <w:basedOn w:val="1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4 - Accent 6"/>
    <w:basedOn w:val="1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5 Dark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5 Dark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5 Dark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5 Dark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5 Dark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5 Dark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5 Dark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6 Colorful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6 Colorful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6 Colorful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6 Colorful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6 Colorful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6 Colorful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6 Colorful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Grid Table 7 Colorful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Grid Table 7 Colorful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Grid Table 7 Colorful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Grid Table 7 Colorful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Grid Table 7 Colorful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Grid Table 7 Colorful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Grid Table 7 Colorful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1 Light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1 Light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1 Light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1 Light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1 Light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1 Light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1 Light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2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2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2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2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2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2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3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3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3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3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3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3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4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4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4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4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4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4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5 Dark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5 Dark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5 Dark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5 Dark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5 Dark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5 Dark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5 Dark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6 Colorful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6 Colorful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6 Colorful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6 Colorful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6 Colorful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6 Colorful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6 Colorful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st Table 7 Colorful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st Table 7 Colorful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st Table 7 Colorful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st Table 7 Colorful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st Table 7 Colorful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st Table 7 Colorful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st Table 7 Colorful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ned - Accent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ned - Accent 1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ned - Accent 2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ned - Accent 3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ned - Accent 4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ned - Accent 5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ned - Accent 6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Bordered &amp; Lined - Accent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Bordered &amp; Lined - Accent 1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Bordered &amp; Lined - Accent 2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Bordered &amp; Lined - Accent 3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Bordered &amp; Lined - Accent 4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Bordered &amp; Lined - Accent 5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Bordered &amp; Lined - Accent 6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Bordered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Bordered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Bordered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Bordered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Bordered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Bordered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Bordered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27" w:default="1">
    <w:name w:val="Normal"/>
    <w:qFormat/>
    <w:pPr>
      <w:pBdr/>
      <w:spacing/>
      <w:ind/>
    </w:pPr>
  </w:style>
  <w:style w:type="paragraph" w:styleId="1628">
    <w:name w:val="Heading 1"/>
    <w:basedOn w:val="1627"/>
    <w:next w:val="1627"/>
    <w:link w:val="16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29">
    <w:name w:val="Heading 2"/>
    <w:basedOn w:val="1627"/>
    <w:next w:val="1627"/>
    <w:link w:val="16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30">
    <w:name w:val="Heading 3"/>
    <w:basedOn w:val="1627"/>
    <w:next w:val="1627"/>
    <w:link w:val="16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31">
    <w:name w:val="Heading 4"/>
    <w:basedOn w:val="1627"/>
    <w:next w:val="1627"/>
    <w:link w:val="16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32">
    <w:name w:val="Heading 5"/>
    <w:basedOn w:val="1627"/>
    <w:next w:val="1627"/>
    <w:link w:val="16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33">
    <w:name w:val="Heading 6"/>
    <w:basedOn w:val="1627"/>
    <w:next w:val="1627"/>
    <w:link w:val="16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34">
    <w:name w:val="Heading 7"/>
    <w:basedOn w:val="1627"/>
    <w:next w:val="1627"/>
    <w:link w:val="16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35">
    <w:name w:val="Heading 8"/>
    <w:basedOn w:val="1627"/>
    <w:next w:val="1627"/>
    <w:link w:val="16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36">
    <w:name w:val="Heading 9"/>
    <w:basedOn w:val="1627"/>
    <w:next w:val="1627"/>
    <w:link w:val="16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37" w:default="1">
    <w:name w:val="Default Paragraph Font"/>
    <w:uiPriority w:val="1"/>
    <w:semiHidden/>
    <w:unhideWhenUsed/>
    <w:pPr>
      <w:pBdr/>
      <w:spacing/>
      <w:ind/>
    </w:pPr>
  </w:style>
  <w:style w:type="numbering" w:styleId="1638" w:default="1">
    <w:name w:val="No List"/>
    <w:uiPriority w:val="99"/>
    <w:semiHidden/>
    <w:unhideWhenUsed/>
    <w:pPr>
      <w:pBdr/>
      <w:spacing/>
      <w:ind/>
    </w:pPr>
  </w:style>
  <w:style w:type="character" w:styleId="1639">
    <w:name w:val="Heading 1 Char"/>
    <w:basedOn w:val="1637"/>
    <w:link w:val="16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40">
    <w:name w:val="Heading 2 Char"/>
    <w:basedOn w:val="1637"/>
    <w:link w:val="16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41">
    <w:name w:val="Heading 3 Char"/>
    <w:basedOn w:val="1637"/>
    <w:link w:val="16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42">
    <w:name w:val="Heading 4 Char"/>
    <w:basedOn w:val="1637"/>
    <w:link w:val="16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43">
    <w:name w:val="Heading 5 Char"/>
    <w:basedOn w:val="1637"/>
    <w:link w:val="16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44">
    <w:name w:val="Heading 6 Char"/>
    <w:basedOn w:val="1637"/>
    <w:link w:val="16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45">
    <w:name w:val="Heading 7 Char"/>
    <w:basedOn w:val="1637"/>
    <w:link w:val="16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46">
    <w:name w:val="Heading 8 Char"/>
    <w:basedOn w:val="1637"/>
    <w:link w:val="16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47">
    <w:name w:val="Heading 9 Char"/>
    <w:basedOn w:val="1637"/>
    <w:link w:val="16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48">
    <w:name w:val="Title"/>
    <w:basedOn w:val="1627"/>
    <w:next w:val="1627"/>
    <w:link w:val="16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49">
    <w:name w:val="Title Char"/>
    <w:basedOn w:val="1637"/>
    <w:link w:val="16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50">
    <w:name w:val="Subtitle"/>
    <w:basedOn w:val="1627"/>
    <w:next w:val="1627"/>
    <w:link w:val="16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51">
    <w:name w:val="Subtitle Char"/>
    <w:basedOn w:val="1637"/>
    <w:link w:val="16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52">
    <w:name w:val="Quote"/>
    <w:basedOn w:val="1627"/>
    <w:next w:val="1627"/>
    <w:link w:val="16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53">
    <w:name w:val="Quote Char"/>
    <w:basedOn w:val="1637"/>
    <w:link w:val="16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4">
    <w:name w:val="List Paragraph"/>
    <w:basedOn w:val="1627"/>
    <w:uiPriority w:val="34"/>
    <w:qFormat/>
    <w:pPr>
      <w:pBdr/>
      <w:spacing/>
      <w:ind w:left="720"/>
      <w:contextualSpacing w:val="true"/>
    </w:pPr>
  </w:style>
  <w:style w:type="character" w:styleId="1655">
    <w:name w:val="Intense Emphasis"/>
    <w:basedOn w:val="16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56">
    <w:name w:val="Intense Quote"/>
    <w:basedOn w:val="1627"/>
    <w:next w:val="1627"/>
    <w:link w:val="16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57">
    <w:name w:val="Intense Quote Char"/>
    <w:basedOn w:val="1637"/>
    <w:link w:val="16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58">
    <w:name w:val="Intense Reference"/>
    <w:basedOn w:val="16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59">
    <w:name w:val="No Spacing"/>
    <w:basedOn w:val="1627"/>
    <w:uiPriority w:val="1"/>
    <w:qFormat/>
    <w:pPr>
      <w:pBdr/>
      <w:spacing w:after="0" w:line="240" w:lineRule="auto"/>
      <w:ind/>
    </w:pPr>
  </w:style>
  <w:style w:type="character" w:styleId="1660">
    <w:name w:val="Subtle Emphasis"/>
    <w:basedOn w:val="16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61">
    <w:name w:val="Emphasis"/>
    <w:basedOn w:val="1637"/>
    <w:uiPriority w:val="20"/>
    <w:qFormat/>
    <w:pPr>
      <w:pBdr/>
      <w:spacing/>
      <w:ind/>
    </w:pPr>
    <w:rPr>
      <w:i/>
      <w:iCs/>
    </w:rPr>
  </w:style>
  <w:style w:type="character" w:styleId="1662">
    <w:name w:val="Strong"/>
    <w:basedOn w:val="1637"/>
    <w:uiPriority w:val="22"/>
    <w:qFormat/>
    <w:pPr>
      <w:pBdr/>
      <w:spacing/>
      <w:ind/>
    </w:pPr>
    <w:rPr>
      <w:b/>
      <w:bCs/>
    </w:rPr>
  </w:style>
  <w:style w:type="character" w:styleId="1663">
    <w:name w:val="Subtle Reference"/>
    <w:basedOn w:val="16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64">
    <w:name w:val="Book Title"/>
    <w:basedOn w:val="16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65">
    <w:name w:val="Header"/>
    <w:basedOn w:val="1627"/>
    <w:link w:val="16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66">
    <w:name w:val="Header Char"/>
    <w:basedOn w:val="1637"/>
    <w:link w:val="1665"/>
    <w:uiPriority w:val="99"/>
    <w:pPr>
      <w:pBdr/>
      <w:spacing/>
      <w:ind/>
    </w:pPr>
  </w:style>
  <w:style w:type="paragraph" w:styleId="1667">
    <w:name w:val="Footer"/>
    <w:basedOn w:val="1627"/>
    <w:link w:val="16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68">
    <w:name w:val="Footer Char"/>
    <w:basedOn w:val="1637"/>
    <w:link w:val="1667"/>
    <w:uiPriority w:val="99"/>
    <w:pPr>
      <w:pBdr/>
      <w:spacing/>
      <w:ind/>
    </w:pPr>
  </w:style>
  <w:style w:type="paragraph" w:styleId="1669">
    <w:name w:val="Caption"/>
    <w:basedOn w:val="1627"/>
    <w:next w:val="162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70">
    <w:name w:val="footnote text"/>
    <w:basedOn w:val="1627"/>
    <w:link w:val="16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71">
    <w:name w:val="Footnote Text Char"/>
    <w:basedOn w:val="1637"/>
    <w:link w:val="1670"/>
    <w:uiPriority w:val="99"/>
    <w:semiHidden/>
    <w:pPr>
      <w:pBdr/>
      <w:spacing/>
      <w:ind/>
    </w:pPr>
    <w:rPr>
      <w:sz w:val="20"/>
      <w:szCs w:val="20"/>
    </w:rPr>
  </w:style>
  <w:style w:type="character" w:styleId="1672">
    <w:name w:val="footnote reference"/>
    <w:basedOn w:val="1637"/>
    <w:uiPriority w:val="99"/>
    <w:semiHidden/>
    <w:unhideWhenUsed/>
    <w:pPr>
      <w:pBdr/>
      <w:spacing/>
      <w:ind/>
    </w:pPr>
    <w:rPr>
      <w:vertAlign w:val="superscript"/>
    </w:rPr>
  </w:style>
  <w:style w:type="paragraph" w:styleId="1673">
    <w:name w:val="endnote text"/>
    <w:basedOn w:val="1627"/>
    <w:link w:val="16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74">
    <w:name w:val="Endnote Text Char"/>
    <w:basedOn w:val="1637"/>
    <w:link w:val="1673"/>
    <w:uiPriority w:val="99"/>
    <w:semiHidden/>
    <w:pPr>
      <w:pBdr/>
      <w:spacing/>
      <w:ind/>
    </w:pPr>
    <w:rPr>
      <w:sz w:val="20"/>
      <w:szCs w:val="20"/>
    </w:rPr>
  </w:style>
  <w:style w:type="character" w:styleId="1675">
    <w:name w:val="endnote reference"/>
    <w:basedOn w:val="1637"/>
    <w:uiPriority w:val="99"/>
    <w:semiHidden/>
    <w:unhideWhenUsed/>
    <w:pPr>
      <w:pBdr/>
      <w:spacing/>
      <w:ind/>
    </w:pPr>
    <w:rPr>
      <w:vertAlign w:val="superscript"/>
    </w:rPr>
  </w:style>
  <w:style w:type="character" w:styleId="1676">
    <w:name w:val="Hyperlink"/>
    <w:basedOn w:val="16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77">
    <w:name w:val="FollowedHyperlink"/>
    <w:basedOn w:val="16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78">
    <w:name w:val="toc 1"/>
    <w:basedOn w:val="1627"/>
    <w:next w:val="1627"/>
    <w:uiPriority w:val="39"/>
    <w:unhideWhenUsed/>
    <w:pPr>
      <w:pBdr/>
      <w:spacing w:after="100"/>
      <w:ind/>
    </w:pPr>
  </w:style>
  <w:style w:type="paragraph" w:styleId="1679">
    <w:name w:val="toc 2"/>
    <w:basedOn w:val="1627"/>
    <w:next w:val="1627"/>
    <w:uiPriority w:val="39"/>
    <w:unhideWhenUsed/>
    <w:pPr>
      <w:pBdr/>
      <w:spacing w:after="100"/>
      <w:ind w:left="220"/>
    </w:pPr>
  </w:style>
  <w:style w:type="paragraph" w:styleId="1680">
    <w:name w:val="toc 3"/>
    <w:basedOn w:val="1627"/>
    <w:next w:val="1627"/>
    <w:uiPriority w:val="39"/>
    <w:unhideWhenUsed/>
    <w:pPr>
      <w:pBdr/>
      <w:spacing w:after="100"/>
      <w:ind w:left="440"/>
    </w:pPr>
  </w:style>
  <w:style w:type="paragraph" w:styleId="1681">
    <w:name w:val="toc 4"/>
    <w:basedOn w:val="1627"/>
    <w:next w:val="1627"/>
    <w:uiPriority w:val="39"/>
    <w:unhideWhenUsed/>
    <w:pPr>
      <w:pBdr/>
      <w:spacing w:after="100"/>
      <w:ind w:left="660"/>
    </w:pPr>
  </w:style>
  <w:style w:type="paragraph" w:styleId="1682">
    <w:name w:val="toc 5"/>
    <w:basedOn w:val="1627"/>
    <w:next w:val="1627"/>
    <w:uiPriority w:val="39"/>
    <w:unhideWhenUsed/>
    <w:pPr>
      <w:pBdr/>
      <w:spacing w:after="100"/>
      <w:ind w:left="880"/>
    </w:pPr>
  </w:style>
  <w:style w:type="paragraph" w:styleId="1683">
    <w:name w:val="toc 6"/>
    <w:basedOn w:val="1627"/>
    <w:next w:val="1627"/>
    <w:uiPriority w:val="39"/>
    <w:unhideWhenUsed/>
    <w:pPr>
      <w:pBdr/>
      <w:spacing w:after="100"/>
      <w:ind w:left="1100"/>
    </w:pPr>
  </w:style>
  <w:style w:type="paragraph" w:styleId="1684">
    <w:name w:val="toc 7"/>
    <w:basedOn w:val="1627"/>
    <w:next w:val="1627"/>
    <w:uiPriority w:val="39"/>
    <w:unhideWhenUsed/>
    <w:pPr>
      <w:pBdr/>
      <w:spacing w:after="100"/>
      <w:ind w:left="1320"/>
    </w:pPr>
  </w:style>
  <w:style w:type="paragraph" w:styleId="1685">
    <w:name w:val="toc 8"/>
    <w:basedOn w:val="1627"/>
    <w:next w:val="1627"/>
    <w:uiPriority w:val="39"/>
    <w:unhideWhenUsed/>
    <w:pPr>
      <w:pBdr/>
      <w:spacing w:after="100"/>
      <w:ind w:left="1540"/>
    </w:pPr>
  </w:style>
  <w:style w:type="paragraph" w:styleId="1686">
    <w:name w:val="toc 9"/>
    <w:basedOn w:val="1627"/>
    <w:next w:val="1627"/>
    <w:uiPriority w:val="39"/>
    <w:unhideWhenUsed/>
    <w:pPr>
      <w:pBdr/>
      <w:spacing w:after="100"/>
      <w:ind w:left="1760"/>
    </w:pPr>
  </w:style>
  <w:style w:type="character" w:styleId="1687">
    <w:name w:val="Placeholder Text"/>
    <w:basedOn w:val="1637"/>
    <w:uiPriority w:val="99"/>
    <w:semiHidden/>
    <w:pPr>
      <w:pBdr/>
      <w:spacing/>
      <w:ind/>
    </w:pPr>
    <w:rPr>
      <w:color w:val="666666"/>
    </w:rPr>
  </w:style>
  <w:style w:type="paragraph" w:styleId="1688">
    <w:name w:val="TOC Heading"/>
    <w:uiPriority w:val="39"/>
    <w:unhideWhenUsed/>
    <w:pPr>
      <w:pBdr/>
      <w:spacing/>
      <w:ind/>
    </w:pPr>
  </w:style>
  <w:style w:type="paragraph" w:styleId="1689">
    <w:name w:val="table of figures"/>
    <w:basedOn w:val="1627"/>
    <w:next w:val="1627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王钊</dc:creator>
  <cp:lastModifiedBy>管理员</cp:lastModifiedBy>
  <cp:revision>12</cp:revision>
  <dcterms:created xsi:type="dcterms:W3CDTF">2024-02-01T15:56:00Z</dcterms:created>
  <dcterms:modified xsi:type="dcterms:W3CDTF">2025-09-20T13:28:35Z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2025-01-08T08:56:07Z</vt:filetime>
  </property>
  <property fmtid="{D5CDD505-2E9C-101B-9397-08002B2CF9AE}" pid="4" name="KSOProductBuildVer">
    <vt:lpwstr>2052-12.1.0.21541</vt:lpwstr>
  </property>
  <property fmtid="{D5CDD505-2E9C-101B-9397-08002B2CF9AE}" pid="5" name="ICV">
    <vt:lpwstr>788B317D894944619540E788B2B89C37_13</vt:lpwstr>
  </property>
  <property fmtid="{D5CDD505-2E9C-101B-9397-08002B2CF9AE}" pid="6" name="KSOTemplateDocerSaveRecord">
    <vt:lpwstr>eyJoZGlkIjoiMzk2NWQ3MTUzMThmOTY2ZTIwZTY4N2UzNjM4NGUyYzEiLCJ1c2VySWQiOiIxNDg3MjA1NTY0In0=</vt:lpwstr>
  </property>
  <property fmtid="{D5CDD505-2E9C-101B-9397-08002B2CF9AE}" pid="7" name="chart-binding:type:comboBarLine|chain:chart">
    <vt:lpwstr>{"chartId":"chart-mfrvxntu-7jt6","createdAt":"2025-09-20T06:26:10.530Z","chartType":"comboBarLine","fingerprint":"type:comboBarLine|chain:chart","boundData":{"type":"chart","rid":"chart-mfrvxntu-7jt6","chartType":"comboBarLine","tag":"{\"_t\":1758349572061,\"trackId\":\"chart1758349572061\",\"groupFields\":[\"group.corp\"]}","tagData":{"_t":1758349572061,"trackId":"chart1758349572061","groupFields":["group.corp"]},"originalFormat":"flat"},"metadata":{"sourceFormat":"flat","convertedAt":"2025-09-20T06:26:15.003Z","trackId":"chart1758349572061","groupFields":["group.corp"],"timestamp":1758349572061},"lastUpdated":"2025-09-20T06:26:15.005Z","tag":"{\"_t\":1758349572061,\"trackId\":\"chart1758349572061\",\"groupFields\":[\"group.corp\"]}","tagData":{"_t":1758349572061,"trackId":"chart1758349572061","groupFields":["group.corp"]},"rid":"chart-mfrvxntu-7jt6"}</vt:lpwstr>
  </property>
  <property fmtid="{D5CDD505-2E9C-101B-9397-08002B2CF9AE}" pid="8" name="temp-chart-result-1758349570531">
    <vt:lpwstr>{"timestamp":1758349570531,"result":{"ok":true,"action":"created","message":"已写入绑定到文档自定义属性","meta":{"chartId":"chart-mfrvxntu-7jt6","createdAt":"2025-09-20T06:26:10.530Z","chartType":"comboBarLine","fingerprint":"type:comboBarLine|chain:chart"},"fingerprint":"type:comboBarLine|chain:chart","logs":["🎯 选中的绘图对象数量: 1","🔖 指纹: type:comboBarLine|chain:chart"]}}</vt:lpwstr>
  </property>
  <property fmtid="{D5CDD505-2E9C-101B-9397-08002B2CF9AE}" pid="9" name="chart-binding:type:comboBarLine|size:5716270x3061335|content:vfbi12|ctx:8">
    <vt:lpwstr>{"chartId":"chart-type_comboBarLine_size_5716270x3061335_content_vfbi12_ctx_8_fqir6z","createdAt":"2025-09-20T13:17:55.111Z","chartType":"comboBarLine","fingerprint":"type:comboBarLine|size:5716270x3061335|content:vfbi12|ctx:8"}</vt:lpwstr>
  </property>
  <property fmtid="{D5CDD505-2E9C-101B-9397-08002B2CF9AE}" pid="10" name="temp-chart-result-fqir6z">
    <vt:lpwstr>{"timestamp":"2025-09-20T13:17:55.112Z","result":{"ok":true,"action":"created","message":"已写入绑定到文档自定义属性","meta":{"chartId":"chart-type_comboBarLine_size_5716270x3061335_content_vfbi12_ctx_8_fqir6z","createdAt":"2025-09-20T13:17:55.111Z","chartType":"comboBarLine","fingerprint":"type:comboBarLine|size:5716270x3061335|content:vfbi12|ctx:8"},"fingerprint":"type:comboBarLine|size:5716270x3061335|content:vfbi12|ctx:8","logs":["🎯 选中的绘图对象数量: 1","🔖 指纹: type:comboBarLine|size:5716270x3061335|content:vfbi12|ctx:8"]}}</vt:lpwstr>
  </property>
  <property fmtid="{D5CDD505-2E9C-101B-9397-08002B2CF9AE}" pid="11" name="chart-binding:type:comboCustom|size:5770880x2919730|content:86fyiz|ctx:8">
    <vt:lpwstr>{"chartId":"chart-type_comboCustom_size_5770880x2919730_content_86fyiz_ctx_8_7z8zoe","createdAt":"2025-09-20T13:18:12.021Z","chartType":"comboCustom","fingerprint":"type:comboCustom|size:5770880x2919730|content:86fyiz|ctx:8","boundData":{"type":"chart","rid":"chart-type_comboCustom_size_5770880x2919730_content_86fyiz_ctx_8_7z8zoe","chartType":"comboCustom","tag":"{\"_t\":1758374299266,\"trackId\":\"chart1758374299266\",\"groupFields\":[\"group.week\"]}","tagData":{"_t":1758374299266,"trackId":"chart1758374299266","groupFields":["group.week"]},"originalFormat":"flat"},"metadata":{"sourceFormat":"flat","convertedAt":"2025-09-20T13:18:31.021Z","trackId":"chart1758374299266","groupFields":["group.week"],"timestamp":1758374299266},"lastUpdated":"2025-09-20T13:18:31.040Z","tag":"{\"_t\":1758374299266,\"trackId\":\"chart1758374299266\",\"groupFields\":[\"group.week\"]}","tagData":{"_t":1758374299266,"trackId":"chart1758374299266","groupFields":["group.week"]},"rid":"chart-type_comboCustom_size_5770880x2919730_content_86fyiz_ctx_8_7z8zoe"}</vt:lpwstr>
  </property>
  <property fmtid="{D5CDD505-2E9C-101B-9397-08002B2CF9AE}" pid="12" name="temp-chart-result-7z8zoe">
    <vt:lpwstr>{"timestamp":"2025-09-20T13:18:12.021Z","result":{"ok":true,"action":"created","message":"已写入绑定到文档自定义属性","meta":{"chartId":"chart-type_comboCustom_size_5770880x2919730_content_86fyiz_ctx_8_7z8zoe","createdAt":"2025-09-20T13:18:12.021Z","chartType":"comboCustom","fingerprint":"type:comboCustom|size:5770880x2919730|content:86fyiz|ctx:8"},"fingerprint":"type:comboCustom|size:5770880x2919730|content:86fyiz|ctx:8","logs":["🎯 选中的绘图对象数量: 1","🔖 指纹: type:comboCustom|size:5770880x2919730|content:86fyiz|ctx:8"]}}</vt:lpwstr>
  </property>
  <property fmtid="{D5CDD505-2E9C-101B-9397-08002B2CF9AE}" pid="13" name="chart-binding:type:bar|size:5472000x3203999|content:jyed89|ctx:9">
    <vt:lpwstr>{"chartId":"chart-type_bar_size_5472000x3203999_content_jyed89_ctx_9_mkzok1","createdAt":"2025-09-20T13:19:13.815Z","chartType":"bar","fingerprint":"type:bar|size:5472000x3203999|content:jyed89|ctx:9"}</vt:lpwstr>
  </property>
  <property fmtid="{D5CDD505-2E9C-101B-9397-08002B2CF9AE}" pid="14" name="temp-chart-result-mkzok1">
    <vt:lpwstr>{"timestamp":"2025-09-20T13:19:13.815Z","result":{"ok":true,"action":"created","message":"已写入绑定到文档自定义属性","meta":{"chartId":"chart-type_bar_size_5472000x3203999_content_jyed89_ctx_9_mkzok1","createdAt":"2025-09-20T13:19:13.815Z","chartType":"bar","fingerprint":"type:bar|size:5472000x3203999|content:jyed89|ctx:9"},"fingerprint":"type:bar|size:5472000x3203999|content:jyed89|ctx:9","logs":["🎯 选中的绘图对象数量: 1","🔖 指纹: type:bar|size:5472000x3203999|content:jyed89|ctx:9"]}}</vt:lpwstr>
  </property>
  <property fmtid="{D5CDD505-2E9C-101B-9397-08002B2CF9AE}" pid="15" name="chart-binding:type:comboCustom|size:5770880x2919730|content:86fyiz|ctx:9">
    <vt:lpwstr>{"chartId":"chart-type_comboCustom_size_5770880x2919730_content_86fyiz_ctx_9_7z8zod","createdAt":"2025-09-20T13:19:22.275Z","chartType":"comboCustom","fingerprint":"type:comboCustom|size:5770880x2919730|content:86fyiz|ctx:9","boundData":{"type":"chart","rid":"chart-type_comboCustom_size_5770880x2919730_content_86fyiz_ctx_9_7z8zod","chartType":"comboCustom","tag":"{\"_t\":1758374409545,\"trackId\":\"chart1758374409545\",\"groupFields\":[\"group.corp\"]}","tagData":{"_t":1758374409545,"trackId":"chart1758374409545","groupFields":["group.corp"]},"originalFormat":"flat"},"metadata":{"sourceFormat":"flat","convertedAt":"2025-09-20T13:20:10.779Z","trackId":"chart1758374409545","groupFields":["group.corp"],"timestamp":1758374409545},"lastUpdated":"2025-09-20T13:20:10.796Z","tag":"{\"_t\":1758374409545,\"trackId\":\"chart1758374409545\",\"groupFields\":[\"group.corp\"]}","tagData":{"_t":1758374409545,"trackId":"chart1758374409545","groupFields":["group.corp"]},"rid":"chart-type_comboCustom_size_5770880x2919730_content_86fyiz_ctx_9_7z8zod"}</vt:lpwstr>
  </property>
  <property fmtid="{D5CDD505-2E9C-101B-9397-08002B2CF9AE}" pid="16" name="temp-chart-result-7z8zod">
    <vt:lpwstr>{"timestamp":"2025-09-20T13:19:22.275Z","result":{"ok":true,"action":"created","message":"已写入绑定到文档自定义属性","meta":{"chartId":"chart-type_comboCustom_size_5770880x2919730_content_86fyiz_ctx_9_7z8zod","createdAt":"2025-09-20T13:19:22.275Z","chartType":"comboCustom","fingerprint":"type:comboCustom|size:5770880x2919730|content:86fyiz|ctx:9"},"fingerprint":"type:comboCustom|size:5770880x2919730|content:86fyiz|ctx:9","logs":["🎯 选中的绘图对象数量: 1","🔖 指纹: type:comboCustom|size:5770880x2919730|content:86fyiz|ctx:9"]}}</vt:lpwstr>
  </property>
  <property fmtid="{D5CDD505-2E9C-101B-9397-08002B2CF9AE}" pid="17" name="chart-binding:type:pie|size:5472000x3203999|content:x99ts|ctx:9">
    <vt:lpwstr>{"chartId":"chart-type_pie_size_5472000x3203999_content_x99ts_ctx_9_ehmlv4","createdAt":"2025-09-20T13:21:06.945Z","chartType":"pie","fingerprint":"type:pie|size:5472000x3203999|content:x99ts|ctx:9"}</vt:lpwstr>
  </property>
  <property fmtid="{D5CDD505-2E9C-101B-9397-08002B2CF9AE}" pid="18" name="temp-chart-result-ehmlv4">
    <vt:lpwstr>{"timestamp":"2025-09-20T13:21:06.946Z","result":{"ok":true,"action":"created","message":"已写入绑定到文档自定义属性","meta":{"chartId":"chart-type_pie_size_5472000x3203999_content_x99ts_ctx_9_ehmlv4","createdAt":"2025-09-20T13:21:06.945Z","chartType":"pie","fingerprint":"type:pie|size:5472000x3203999|content:x99ts|ctx:9"},"fingerprint":"type:pie|size:5472000x3203999|content:x99ts|ctx:9","logs":["🎯 选中的绘图对象数量: 1","🔖 指纹: type:pie|size:5472000x3203999|content:x99ts|ctx:9"]}}</vt:lpwstr>
  </property>
  <property fmtid="{D5CDD505-2E9C-101B-9397-08002B2CF9AE}" pid="19" name="chart-binding:type:comboCustom|size:5751195x3133090|content:pvd0xy|ctx:9">
    <vt:lpwstr>{"chartId":"chart-type_comboCustom_size_5751195x3133090_content_pvd0xy_ctx_9_f9a822","createdAt":"2025-09-20T13:21:53.711Z","chartType":"comboCustom","fingerprint":"type:comboCustom|size:5751195x3133090|content:pvd0xy|ctx:9"}</vt:lpwstr>
  </property>
  <property fmtid="{D5CDD505-2E9C-101B-9397-08002B2CF9AE}" pid="20" name="temp-chart-result-f9a822">
    <vt:lpwstr>{"timestamp":"2025-09-20T13:21:53.711Z","result":{"ok":true,"action":"created","message":"已写入绑定到文档自定义属性","meta":{"chartId":"chart-type_comboCustom_size_5751195x3133090_content_pvd0xy_ctx_9_f9a822","createdAt":"2025-09-20T13:21:53.711Z","chartType":"comboCustom","fingerprint":"type:comboCustom|size:5751195x3133090|content:pvd0xy|ctx:9"},"fingerprint":"type:comboCustom|size:5751195x3133090|content:pvd0xy|ctx:9","logs":["🎯 选中的绘图对象数量: 1","🔖 指纹: type:comboCustom|size:5751195x3133090|content:pvd0xy|ctx:9"]}}</vt:lpwstr>
  </property>
</Properties>
</file>