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29FD" w14:textId="77777777" w:rsidR="009307D2" w:rsidRDefault="00000000">
      <w:pPr>
        <w:spacing w:before="1000" w:after="80"/>
        <w:jc w:val="center"/>
      </w:pPr>
      <w:r>
        <w:rPr>
          <w:color w:val="888888"/>
        </w:rPr>
        <w:t>University of Galway  —  MS5131 MSc Business Analytics</w:t>
      </w:r>
    </w:p>
    <w:p w14:paraId="66D77D4A" w14:textId="77777777" w:rsidR="009307D2" w:rsidRDefault="00000000">
      <w:pPr>
        <w:spacing w:before="80" w:after="80"/>
        <w:jc w:val="center"/>
      </w:pPr>
      <w:r>
        <w:rPr>
          <w:b/>
          <w:bCs/>
          <w:color w:val="1F3864"/>
          <w:sz w:val="46"/>
          <w:szCs w:val="46"/>
        </w:rPr>
        <w:t>Major Project — Group Strategy Document</w:t>
      </w:r>
    </w:p>
    <w:p w14:paraId="73EE6A6E" w14:textId="77777777" w:rsidR="009307D2" w:rsidRDefault="00000000">
      <w:pPr>
        <w:spacing w:before="80" w:after="80"/>
        <w:jc w:val="center"/>
      </w:pPr>
      <w:r>
        <w:rPr>
          <w:color w:val="2E5FA3"/>
          <w:sz w:val="24"/>
          <w:szCs w:val="24"/>
        </w:rPr>
        <w:t>Research Questions  ·  Project Plan  ·  Gap Analysis  ·  WOW Factors</w:t>
      </w:r>
    </w:p>
    <w:p w14:paraId="1C75E30B" w14:textId="77777777" w:rsidR="009307D2" w:rsidRDefault="009307D2">
      <w:pPr>
        <w:spacing w:before="160"/>
      </w:pPr>
    </w:p>
    <w:p w14:paraId="7193D1D1" w14:textId="77777777" w:rsidR="009307D2" w:rsidRDefault="00000000">
      <w:pPr>
        <w:spacing w:before="80" w:after="80"/>
        <w:jc w:val="center"/>
      </w:pPr>
      <w:r>
        <w:rPr>
          <w:color w:val="888888"/>
          <w:sz w:val="21"/>
          <w:szCs w:val="21"/>
        </w:rPr>
        <w:t>Prepared by Ajinkya Barve  |  For Group Review and Vote  |  Deadline: 10 April 2026</w:t>
      </w:r>
    </w:p>
    <w:p w14:paraId="4EE5414D" w14:textId="77777777" w:rsidR="009307D2" w:rsidRDefault="00000000">
      <w:pPr>
        <w:spacing w:before="60" w:after="60"/>
        <w:jc w:val="center"/>
      </w:pPr>
      <w:r>
        <w:rPr>
          <w:color w:val="AAAAAA"/>
          <w:sz w:val="21"/>
          <w:szCs w:val="21"/>
        </w:rPr>
        <w:t>Team: Ajinkya Barve  ·  Dorca Masa  ·  Harshitha Narendra Kumar  ·  Padmaja Miriyala</w:t>
      </w:r>
    </w:p>
    <w:p w14:paraId="4C0702E9" w14:textId="77777777" w:rsidR="009307D2" w:rsidRDefault="009307D2">
      <w:pPr>
        <w:pBdr>
          <w:bottom w:val="single" w:sz="6" w:space="1" w:color="1F3864"/>
        </w:pBdr>
        <w:spacing w:before="200" w:after="200"/>
      </w:pPr>
    </w:p>
    <w:p w14:paraId="6DD1551F" w14:textId="77777777" w:rsidR="009307D2" w:rsidRDefault="00000000">
      <w:pPr>
        <w:spacing w:before="60" w:after="60"/>
      </w:pPr>
      <w:r>
        <w:t>Hi everyone. After carefully going through all three instructors' feedback on ID1 and ID2, I spent time analysing exactly what went wrong and what we need to do differently for the final submission. This document has everything in one place.</w:t>
      </w:r>
    </w:p>
    <w:p w14:paraId="12BB8558" w14:textId="77777777" w:rsidR="009307D2" w:rsidRDefault="009307D2">
      <w:pPr>
        <w:spacing w:before="60"/>
      </w:pPr>
    </w:p>
    <w:p w14:paraId="3EF736D8" w14:textId="77777777" w:rsidR="009307D2" w:rsidRDefault="00000000">
      <w:pPr>
        <w:pStyle w:val="ListParagraph"/>
        <w:numPr>
          <w:ilvl w:val="0"/>
          <w:numId w:val="2"/>
        </w:numPr>
        <w:spacing w:before="50" w:after="50"/>
      </w:pPr>
      <w:r>
        <w:t>Three research question options — please vote on which one we use</w:t>
      </w:r>
    </w:p>
    <w:p w14:paraId="2CFFC6F3" w14:textId="77777777" w:rsidR="009307D2" w:rsidRDefault="00000000">
      <w:pPr>
        <w:pStyle w:val="ListParagraph"/>
        <w:numPr>
          <w:ilvl w:val="0"/>
          <w:numId w:val="2"/>
        </w:numPr>
        <w:spacing w:before="50" w:after="50"/>
      </w:pPr>
      <w:r>
        <w:t>Our full project plan — what we will build and why</w:t>
      </w:r>
    </w:p>
    <w:p w14:paraId="6B8020E1" w14:textId="77777777" w:rsidR="009307D2" w:rsidRDefault="00000000">
      <w:pPr>
        <w:pStyle w:val="ListParagraph"/>
        <w:numPr>
          <w:ilvl w:val="0"/>
          <w:numId w:val="2"/>
        </w:numPr>
        <w:spacing w:before="50" w:after="50"/>
      </w:pPr>
      <w:r>
        <w:t>A proper gap analysis backed by real academic papers — why this topic matters</w:t>
      </w:r>
    </w:p>
    <w:p w14:paraId="2D7A5851" w14:textId="77777777" w:rsidR="009307D2" w:rsidRDefault="00000000">
      <w:pPr>
        <w:pStyle w:val="ListParagraph"/>
        <w:numPr>
          <w:ilvl w:val="0"/>
          <w:numId w:val="2"/>
        </w:numPr>
        <w:spacing w:before="50" w:after="50"/>
      </w:pPr>
      <w:r>
        <w:t>Our WOW factors — what will make our project genuinely stand out</w:t>
      </w:r>
    </w:p>
    <w:p w14:paraId="499AE993" w14:textId="77777777" w:rsidR="009307D2" w:rsidRDefault="009307D2">
      <w:pPr>
        <w:spacing w:before="80"/>
      </w:pPr>
    </w:p>
    <w:p w14:paraId="56FF978C" w14:textId="77777777" w:rsidR="009307D2" w:rsidRDefault="00000000">
      <w:pPr>
        <w:pBdr>
          <w:left w:val="single" w:sz="20" w:space="10" w:color="F39C12"/>
        </w:pBdr>
        <w:shd w:val="clear" w:color="auto" w:fill="FFF9C4"/>
        <w:spacing w:before="120" w:after="120"/>
        <w:ind w:left="280"/>
      </w:pPr>
      <w:r>
        <w:rPr>
          <w:b/>
          <w:bCs/>
          <w:color w:val="7D6608"/>
        </w:rPr>
        <w:t>Our scores were 61 and 60. We need 75+. The gap is not about working harder — it is about working smarter. This document is the smarter plan.</w:t>
      </w:r>
    </w:p>
    <w:p w14:paraId="2665CC53" w14:textId="77777777" w:rsidR="009307D2" w:rsidRDefault="009307D2">
      <w:pPr>
        <w:spacing w:before="80"/>
      </w:pPr>
    </w:p>
    <w:p w14:paraId="2A5C464C" w14:textId="77777777" w:rsidR="009307D2" w:rsidRDefault="00000000">
      <w:pPr>
        <w:spacing w:before="60" w:after="60"/>
      </w:pPr>
      <w:r>
        <w:t>Please read everything before voting. Once we lock the research question, we begin immediately — every day matters now.</w:t>
      </w:r>
    </w:p>
    <w:p w14:paraId="3101A9A7" w14:textId="77777777" w:rsidR="009307D2" w:rsidRDefault="009307D2">
      <w:pPr>
        <w:pBdr>
          <w:bottom w:val="single" w:sz="6" w:space="1" w:color="2E5FA3"/>
        </w:pBdr>
        <w:spacing w:before="200" w:after="200"/>
      </w:pPr>
    </w:p>
    <w:p w14:paraId="27D62F8E" w14:textId="77777777" w:rsidR="009307D2" w:rsidRDefault="00000000">
      <w:r>
        <w:br w:type="page"/>
      </w:r>
    </w:p>
    <w:p w14:paraId="5EEB23CA" w14:textId="77777777" w:rsidR="009307D2" w:rsidRDefault="00000000">
      <w:pPr>
        <w:spacing w:before="360" w:after="160"/>
      </w:pPr>
      <w:r>
        <w:rPr>
          <w:b/>
          <w:bCs/>
          <w:color w:val="1F3864"/>
          <w:sz w:val="36"/>
          <w:szCs w:val="36"/>
        </w:rPr>
        <w:lastRenderedPageBreak/>
        <w:t>Section 1 — Research Questions (Please Vote)</w:t>
      </w:r>
    </w:p>
    <w:p w14:paraId="7DC8E7FA" w14:textId="77777777" w:rsidR="009307D2" w:rsidRDefault="009307D2">
      <w:pPr>
        <w:spacing w:before="60"/>
      </w:pPr>
    </w:p>
    <w:p w14:paraId="1F785BBB" w14:textId="77777777" w:rsidR="009307D2" w:rsidRDefault="00000000">
      <w:pPr>
        <w:pBdr>
          <w:left w:val="single" w:sz="20" w:space="10" w:color="1A7A4A"/>
        </w:pBdr>
        <w:shd w:val="clear" w:color="auto" w:fill="E8F5E9"/>
        <w:spacing w:before="120" w:after="120"/>
        <w:ind w:left="280"/>
      </w:pPr>
      <w:r>
        <w:rPr>
          <w:color w:val="1A4A2A"/>
        </w:rPr>
        <w:t>Important: All three versions are built around the exact same project plan. We are not changing direction — only deciding how to frame our work to the examiner. Choose the version that sounds most compelling to you.</w:t>
      </w:r>
    </w:p>
    <w:p w14:paraId="6763DCCA" w14:textId="77777777" w:rsidR="009307D2" w:rsidRDefault="009307D2">
      <w:pPr>
        <w:spacing w:before="160"/>
      </w:pPr>
    </w:p>
    <w:p w14:paraId="7D1A12A3" w14:textId="77777777" w:rsidR="009307D2" w:rsidRDefault="00000000">
      <w:pPr>
        <w:spacing w:before="260" w:after="100"/>
      </w:pPr>
      <w:r>
        <w:rPr>
          <w:b/>
          <w:bCs/>
          <w:color w:val="2E5FA3"/>
          <w:sz w:val="26"/>
          <w:szCs w:val="26"/>
        </w:rPr>
        <w:t>Version 1 — Simple and Direct</w:t>
      </w:r>
    </w:p>
    <w:p w14:paraId="6C49EE93"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7D2" w14:paraId="52F4DFBB" w14:textId="77777777">
        <w:tblPrEx>
          <w:tblCellMar>
            <w:top w:w="0" w:type="dxa"/>
            <w:bottom w:w="0" w:type="dxa"/>
          </w:tblCellMar>
        </w:tblPrEx>
        <w:tc>
          <w:tcPr>
            <w:tcW w:w="9360" w:type="dxa"/>
            <w:shd w:val="clear" w:color="auto" w:fill="1F3864"/>
            <w:tcMar>
              <w:top w:w="130" w:type="dxa"/>
              <w:left w:w="200" w:type="dxa"/>
              <w:bottom w:w="130" w:type="dxa"/>
              <w:right w:w="200" w:type="dxa"/>
            </w:tcMar>
          </w:tcPr>
          <w:p w14:paraId="6B5264E0" w14:textId="77777777" w:rsidR="009307D2" w:rsidRDefault="00000000">
            <w:r>
              <w:rPr>
                <w:b/>
                <w:bCs/>
                <w:color w:val="FFFFFF"/>
                <w:sz w:val="26"/>
                <w:szCs w:val="26"/>
              </w:rPr>
              <w:t xml:space="preserve">Version 1  </w:t>
            </w:r>
            <w:r>
              <w:rPr>
                <w:color w:val="BBBBBB"/>
              </w:rPr>
              <w:t>— Simple and Direct</w:t>
            </w:r>
          </w:p>
        </w:tc>
      </w:tr>
      <w:tr w:rsidR="009307D2" w14:paraId="5995AE7A" w14:textId="77777777">
        <w:tblPrEx>
          <w:tblCellMar>
            <w:top w:w="0" w:type="dxa"/>
            <w:bottom w:w="0" w:type="dxa"/>
          </w:tblCellMar>
        </w:tblPrEx>
        <w:tc>
          <w:tcPr>
            <w:tcW w:w="9360" w:type="dxa"/>
            <w:shd w:val="clear" w:color="auto" w:fill="EBF5FB"/>
            <w:tcMar>
              <w:top w:w="140" w:type="dxa"/>
              <w:left w:w="200" w:type="dxa"/>
              <w:bottom w:w="140" w:type="dxa"/>
              <w:right w:w="200" w:type="dxa"/>
            </w:tcMar>
          </w:tcPr>
          <w:p w14:paraId="1737FA9A" w14:textId="77777777" w:rsidR="009307D2" w:rsidRDefault="00000000">
            <w:r>
              <w:rPr>
                <w:b/>
                <w:bCs/>
                <w:color w:val="1A1A1A"/>
                <w:sz w:val="23"/>
                <w:szCs w:val="23"/>
              </w:rPr>
              <w:t>"How will rental prices across Irish counties evolve over the next two years, and when will they become unaffordable for average households — and what should policymakers do about it?"</w:t>
            </w:r>
          </w:p>
        </w:tc>
      </w:tr>
      <w:tr w:rsidR="009307D2" w14:paraId="552DBEB3" w14:textId="77777777">
        <w:tblPrEx>
          <w:tblCellMar>
            <w:top w:w="0" w:type="dxa"/>
            <w:bottom w:w="0" w:type="dxa"/>
          </w:tblCellMar>
        </w:tblPrEx>
        <w:tc>
          <w:tcPr>
            <w:tcW w:w="9360" w:type="dxa"/>
            <w:shd w:val="clear" w:color="auto" w:fill="FAFAFA"/>
            <w:tcMar>
              <w:top w:w="120" w:type="dxa"/>
              <w:left w:w="200" w:type="dxa"/>
              <w:bottom w:w="120" w:type="dxa"/>
              <w:right w:w="200" w:type="dxa"/>
            </w:tcMar>
          </w:tcPr>
          <w:p w14:paraId="5E535190" w14:textId="77777777" w:rsidR="009307D2" w:rsidRDefault="00000000">
            <w:pPr>
              <w:spacing w:before="60" w:after="60"/>
            </w:pPr>
            <w:r>
              <w:rPr>
                <w:b/>
                <w:bCs/>
                <w:color w:val="444444"/>
                <w:sz w:val="21"/>
                <w:szCs w:val="21"/>
              </w:rPr>
              <w:t>Sub-Questions:</w:t>
            </w:r>
          </w:p>
          <w:p w14:paraId="3D6CF9F3" w14:textId="77777777" w:rsidR="009307D2" w:rsidRDefault="00000000">
            <w:pPr>
              <w:spacing w:before="50" w:after="50"/>
              <w:ind w:left="360"/>
            </w:pPr>
            <w:r>
              <w:rPr>
                <w:b/>
                <w:bCs/>
                <w:color w:val="2E5FA3"/>
                <w:sz w:val="21"/>
                <w:szCs w:val="21"/>
              </w:rPr>
              <w:t xml:space="preserve">SQ1:  </w:t>
            </w:r>
            <w:r>
              <w:rPr>
                <w:color w:val="333333"/>
                <w:sz w:val="21"/>
                <w:szCs w:val="21"/>
              </w:rPr>
              <w:t>What trends, regional differences, and economic factors have driven Irish rental prices from 2007 to 2025?</w:t>
            </w:r>
          </w:p>
          <w:p w14:paraId="18BDA3B1" w14:textId="77777777" w:rsidR="009307D2" w:rsidRDefault="00000000">
            <w:pPr>
              <w:spacing w:before="50" w:after="50"/>
              <w:ind w:left="360"/>
            </w:pPr>
            <w:r>
              <w:rPr>
                <w:b/>
                <w:bCs/>
                <w:color w:val="2E5FA3"/>
                <w:sz w:val="21"/>
                <w:szCs w:val="21"/>
              </w:rPr>
              <w:t xml:space="preserve">SQ2:  </w:t>
            </w:r>
            <w:r>
              <w:rPr>
                <w:color w:val="333333"/>
                <w:sz w:val="21"/>
                <w:szCs w:val="21"/>
              </w:rPr>
              <w:t>Which forecasting model best predicts Irish rental prices across counties — and why is it better than the alternatives?</w:t>
            </w:r>
          </w:p>
          <w:p w14:paraId="3E3D6A8F" w14:textId="77777777" w:rsidR="009307D2" w:rsidRDefault="00000000">
            <w:pPr>
              <w:spacing w:before="50" w:after="50"/>
              <w:ind w:left="360"/>
            </w:pPr>
            <w:r>
              <w:rPr>
                <w:b/>
                <w:bCs/>
                <w:color w:val="2E5FA3"/>
                <w:sz w:val="21"/>
                <w:szCs w:val="21"/>
              </w:rPr>
              <w:t xml:space="preserve">SQ3:  </w:t>
            </w:r>
            <w:r>
              <w:rPr>
                <w:color w:val="333333"/>
                <w:sz w:val="21"/>
                <w:szCs w:val="21"/>
              </w:rPr>
              <w:t>Which Irish counties will cross the affordability limit first, and what policy actions can prevent it?</w:t>
            </w:r>
          </w:p>
        </w:tc>
      </w:tr>
    </w:tbl>
    <w:p w14:paraId="56F9AF32" w14:textId="77777777" w:rsidR="009307D2" w:rsidRDefault="009307D2">
      <w:pPr>
        <w:spacing w:before="80"/>
      </w:pPr>
    </w:p>
    <w:p w14:paraId="43C2E6A8" w14:textId="77777777" w:rsidR="009307D2" w:rsidRDefault="00000000">
      <w:pPr>
        <w:pBdr>
          <w:left w:val="single" w:sz="20" w:space="10" w:color="2E5FA3"/>
        </w:pBdr>
        <w:shd w:val="clear" w:color="auto" w:fill="EBF5FB"/>
        <w:spacing w:before="120" w:after="120"/>
        <w:ind w:left="280"/>
      </w:pPr>
      <w:r>
        <w:rPr>
          <w:color w:val="1A3A5A"/>
        </w:rPr>
        <w:t>Why this works: Every reader immediately understands the project. Clear, honest, and grounded. Good choice if the team wants to play it safe while still being ambitious.</w:t>
      </w:r>
    </w:p>
    <w:p w14:paraId="27179E8A" w14:textId="77777777" w:rsidR="009307D2" w:rsidRDefault="009307D2">
      <w:pPr>
        <w:spacing w:before="200"/>
      </w:pPr>
    </w:p>
    <w:p w14:paraId="5029D000" w14:textId="77777777" w:rsidR="009307D2" w:rsidRDefault="00000000">
      <w:pPr>
        <w:spacing w:before="260" w:after="100"/>
      </w:pPr>
      <w:r>
        <w:rPr>
          <w:b/>
          <w:bCs/>
          <w:color w:val="2E5FA3"/>
          <w:sz w:val="26"/>
          <w:szCs w:val="26"/>
        </w:rPr>
        <w:t>Version 2 — Bold and Memorable</w:t>
      </w:r>
    </w:p>
    <w:p w14:paraId="6F1D6EDB"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7D2" w14:paraId="51E7186E" w14:textId="77777777">
        <w:tblPrEx>
          <w:tblCellMar>
            <w:top w:w="0" w:type="dxa"/>
            <w:bottom w:w="0" w:type="dxa"/>
          </w:tblCellMar>
        </w:tblPrEx>
        <w:tc>
          <w:tcPr>
            <w:tcW w:w="9360" w:type="dxa"/>
            <w:shd w:val="clear" w:color="auto" w:fill="1F3864"/>
            <w:tcMar>
              <w:top w:w="130" w:type="dxa"/>
              <w:left w:w="200" w:type="dxa"/>
              <w:bottom w:w="130" w:type="dxa"/>
              <w:right w:w="200" w:type="dxa"/>
            </w:tcMar>
          </w:tcPr>
          <w:p w14:paraId="5732C61D" w14:textId="77777777" w:rsidR="009307D2" w:rsidRDefault="00000000">
            <w:r>
              <w:rPr>
                <w:b/>
                <w:bCs/>
                <w:color w:val="FFFFFF"/>
                <w:sz w:val="26"/>
                <w:szCs w:val="26"/>
              </w:rPr>
              <w:t xml:space="preserve">Version 2  </w:t>
            </w:r>
            <w:r>
              <w:rPr>
                <w:color w:val="BBBBBB"/>
              </w:rPr>
              <w:t>— Bold and Memorable</w:t>
            </w:r>
          </w:p>
        </w:tc>
      </w:tr>
      <w:tr w:rsidR="009307D2" w14:paraId="25ABFFD7" w14:textId="77777777">
        <w:tblPrEx>
          <w:tblCellMar>
            <w:top w:w="0" w:type="dxa"/>
            <w:bottom w:w="0" w:type="dxa"/>
          </w:tblCellMar>
        </w:tblPrEx>
        <w:tc>
          <w:tcPr>
            <w:tcW w:w="9360" w:type="dxa"/>
            <w:shd w:val="clear" w:color="auto" w:fill="EBF5FB"/>
            <w:tcMar>
              <w:top w:w="140" w:type="dxa"/>
              <w:left w:w="200" w:type="dxa"/>
              <w:bottom w:w="140" w:type="dxa"/>
              <w:right w:w="200" w:type="dxa"/>
            </w:tcMar>
          </w:tcPr>
          <w:p w14:paraId="29A12242" w14:textId="77777777" w:rsidR="009307D2" w:rsidRDefault="00000000">
            <w:r>
              <w:rPr>
                <w:b/>
                <w:bCs/>
                <w:color w:val="1A1A1A"/>
                <w:sz w:val="23"/>
                <w:szCs w:val="23"/>
              </w:rPr>
              <w:t>"When will Irish rental markets break — and can we predict it before it happens?"</w:t>
            </w:r>
          </w:p>
        </w:tc>
      </w:tr>
      <w:tr w:rsidR="009307D2" w14:paraId="6065DB6E" w14:textId="77777777">
        <w:tblPrEx>
          <w:tblCellMar>
            <w:top w:w="0" w:type="dxa"/>
            <w:bottom w:w="0" w:type="dxa"/>
          </w:tblCellMar>
        </w:tblPrEx>
        <w:tc>
          <w:tcPr>
            <w:tcW w:w="9360" w:type="dxa"/>
            <w:shd w:val="clear" w:color="auto" w:fill="FAFAFA"/>
            <w:tcMar>
              <w:top w:w="120" w:type="dxa"/>
              <w:left w:w="200" w:type="dxa"/>
              <w:bottom w:w="120" w:type="dxa"/>
              <w:right w:w="200" w:type="dxa"/>
            </w:tcMar>
          </w:tcPr>
          <w:p w14:paraId="5282A7FB" w14:textId="77777777" w:rsidR="009307D2" w:rsidRDefault="00000000">
            <w:pPr>
              <w:spacing w:before="60" w:after="60"/>
            </w:pPr>
            <w:r>
              <w:rPr>
                <w:b/>
                <w:bCs/>
                <w:color w:val="444444"/>
                <w:sz w:val="21"/>
                <w:szCs w:val="21"/>
              </w:rPr>
              <w:t>Sub-Questions:</w:t>
            </w:r>
          </w:p>
          <w:p w14:paraId="79732FF5" w14:textId="77777777" w:rsidR="009307D2" w:rsidRDefault="00000000">
            <w:pPr>
              <w:spacing w:before="50" w:after="50"/>
              <w:ind w:left="360"/>
            </w:pPr>
            <w:r>
              <w:rPr>
                <w:b/>
                <w:bCs/>
                <w:color w:val="2E5FA3"/>
                <w:sz w:val="21"/>
                <w:szCs w:val="21"/>
              </w:rPr>
              <w:t xml:space="preserve">SQ1:  </w:t>
            </w:r>
            <w:r>
              <w:rPr>
                <w:color w:val="333333"/>
                <w:sz w:val="21"/>
                <w:szCs w:val="21"/>
              </w:rPr>
              <w:t>What economic forces and policy interventions have shaped Irish rental prices between 2007 and 2025, and how have these varied across counties?</w:t>
            </w:r>
          </w:p>
          <w:p w14:paraId="5303B9CC" w14:textId="77777777" w:rsidR="009307D2" w:rsidRDefault="00000000">
            <w:pPr>
              <w:spacing w:before="50" w:after="50"/>
              <w:ind w:left="360"/>
            </w:pPr>
            <w:r>
              <w:rPr>
                <w:b/>
                <w:bCs/>
                <w:color w:val="2E5FA3"/>
                <w:sz w:val="21"/>
                <w:szCs w:val="21"/>
              </w:rPr>
              <w:t xml:space="preserve">SQ2:  </w:t>
            </w:r>
            <w:r>
              <w:rPr>
                <w:color w:val="333333"/>
                <w:sz w:val="21"/>
                <w:szCs w:val="21"/>
              </w:rPr>
              <w:t>Which forecasting model — SARIMA, SARIMAX, or machine learning — most accurately captures Irish rental market dynamics, and what do the forecasts reveal?</w:t>
            </w:r>
          </w:p>
          <w:p w14:paraId="50FBA13F" w14:textId="77777777" w:rsidR="009307D2" w:rsidRDefault="00000000">
            <w:pPr>
              <w:spacing w:before="50" w:after="50"/>
              <w:ind w:left="360"/>
            </w:pPr>
            <w:r>
              <w:rPr>
                <w:b/>
                <w:bCs/>
                <w:color w:val="2E5FA3"/>
                <w:sz w:val="21"/>
                <w:szCs w:val="21"/>
              </w:rPr>
              <w:t xml:space="preserve">SQ3:  </w:t>
            </w:r>
            <w:r>
              <w:rPr>
                <w:color w:val="333333"/>
                <w:sz w:val="21"/>
                <w:szCs w:val="21"/>
              </w:rPr>
              <w:t>Which counties will breach the 30% affordability threshold first, did Rent Pressure Zones actually work, and what interventions can delay or prevent a full market breakdown?</w:t>
            </w:r>
          </w:p>
        </w:tc>
      </w:tr>
    </w:tbl>
    <w:p w14:paraId="3E9FFA3B" w14:textId="77777777" w:rsidR="009307D2" w:rsidRDefault="009307D2">
      <w:pPr>
        <w:spacing w:before="80"/>
      </w:pPr>
    </w:p>
    <w:p w14:paraId="1A4F7929" w14:textId="77777777" w:rsidR="009307D2" w:rsidRDefault="00000000">
      <w:pPr>
        <w:pBdr>
          <w:left w:val="single" w:sz="20" w:space="10" w:color="2E5FA3"/>
        </w:pBdr>
        <w:shd w:val="clear" w:color="auto" w:fill="EBF5FB"/>
        <w:spacing w:before="120" w:after="120"/>
        <w:ind w:left="280"/>
      </w:pPr>
      <w:r>
        <w:rPr>
          <w:color w:val="1A3A5A"/>
        </w:rPr>
        <w:lastRenderedPageBreak/>
        <w:t>Why this works: Punchy, memorable, reads like an Economist headline. The word 'break' creates urgency. Strong first impression on the examiner. Good choice if we want to be bold and confident.</w:t>
      </w:r>
    </w:p>
    <w:p w14:paraId="75E7D78F" w14:textId="77777777" w:rsidR="009307D2" w:rsidRDefault="009307D2">
      <w:pPr>
        <w:spacing w:before="200"/>
      </w:pPr>
    </w:p>
    <w:p w14:paraId="5A457598" w14:textId="56D95DCB" w:rsidR="009307D2" w:rsidRDefault="00000000">
      <w:pPr>
        <w:spacing w:before="260" w:after="100"/>
      </w:pPr>
      <w:r>
        <w:rPr>
          <w:b/>
          <w:bCs/>
          <w:color w:val="1A7A4A"/>
          <w:sz w:val="26"/>
          <w:szCs w:val="26"/>
        </w:rPr>
        <w:t xml:space="preserve">Version 3 — Academic and Ambitious  </w:t>
      </w:r>
      <w:r w:rsidRPr="00512D3E">
        <w:rPr>
          <w:b/>
          <w:bCs/>
          <w:color w:val="EE0000"/>
          <w:sz w:val="26"/>
          <w:szCs w:val="26"/>
        </w:rPr>
        <w:t>(</w:t>
      </w:r>
      <w:r w:rsidR="00512D3E" w:rsidRPr="00512D3E">
        <w:rPr>
          <w:b/>
          <w:bCs/>
          <w:color w:val="EE0000"/>
          <w:sz w:val="26"/>
          <w:szCs w:val="26"/>
        </w:rPr>
        <w:t xml:space="preserve">I Like This One </w:t>
      </w:r>
      <w:r w:rsidRPr="00512D3E">
        <w:rPr>
          <w:b/>
          <w:bCs/>
          <w:color w:val="EE0000"/>
          <w:sz w:val="26"/>
          <w:szCs w:val="26"/>
        </w:rPr>
        <w:t>)</w:t>
      </w:r>
    </w:p>
    <w:p w14:paraId="35BD3098"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7D2" w14:paraId="6F069C70" w14:textId="77777777">
        <w:tblPrEx>
          <w:tblCellMar>
            <w:top w:w="0" w:type="dxa"/>
            <w:bottom w:w="0" w:type="dxa"/>
          </w:tblCellMar>
        </w:tblPrEx>
        <w:tc>
          <w:tcPr>
            <w:tcW w:w="9360" w:type="dxa"/>
            <w:shd w:val="clear" w:color="auto" w:fill="1A7A4A"/>
            <w:tcMar>
              <w:top w:w="130" w:type="dxa"/>
              <w:left w:w="200" w:type="dxa"/>
              <w:bottom w:w="130" w:type="dxa"/>
              <w:right w:w="200" w:type="dxa"/>
            </w:tcMar>
          </w:tcPr>
          <w:p w14:paraId="35FE1208" w14:textId="77777777" w:rsidR="009307D2" w:rsidRDefault="00000000">
            <w:r>
              <w:rPr>
                <w:b/>
                <w:bCs/>
                <w:color w:val="FFFFFF"/>
                <w:sz w:val="26"/>
                <w:szCs w:val="26"/>
              </w:rPr>
              <w:t xml:space="preserve">Version 3  </w:t>
            </w:r>
            <w:r>
              <w:rPr>
                <w:color w:val="BBBBBB"/>
              </w:rPr>
              <w:t>— Academic and Ambitious</w:t>
            </w:r>
            <w:r>
              <w:rPr>
                <w:b/>
                <w:bCs/>
                <w:color w:val="90FF90"/>
                <w:sz w:val="20"/>
                <w:szCs w:val="20"/>
              </w:rPr>
              <w:t xml:space="preserve">     ★  MY RECOMMENDATION</w:t>
            </w:r>
          </w:p>
        </w:tc>
      </w:tr>
      <w:tr w:rsidR="009307D2" w14:paraId="4FB45B87" w14:textId="77777777">
        <w:tblPrEx>
          <w:tblCellMar>
            <w:top w:w="0" w:type="dxa"/>
            <w:bottom w:w="0" w:type="dxa"/>
          </w:tblCellMar>
        </w:tblPrEx>
        <w:tc>
          <w:tcPr>
            <w:tcW w:w="9360" w:type="dxa"/>
            <w:shd w:val="clear" w:color="auto" w:fill="EAF7EE"/>
            <w:tcMar>
              <w:top w:w="140" w:type="dxa"/>
              <w:left w:w="200" w:type="dxa"/>
              <w:bottom w:w="140" w:type="dxa"/>
              <w:right w:w="200" w:type="dxa"/>
            </w:tcMar>
          </w:tcPr>
          <w:p w14:paraId="6BAC653A" w14:textId="77777777" w:rsidR="009307D2" w:rsidRDefault="00000000">
            <w:r>
              <w:rPr>
                <w:b/>
                <w:bCs/>
                <w:color w:val="1A1A1A"/>
                <w:sz w:val="23"/>
                <w:szCs w:val="23"/>
              </w:rPr>
              <w:t>"Is Ireland's rental market heading towards a systemic crisis — and can predictive analytics give policymakers enough time to stop it?"</w:t>
            </w:r>
          </w:p>
        </w:tc>
      </w:tr>
      <w:tr w:rsidR="009307D2" w14:paraId="43C7C09A" w14:textId="77777777">
        <w:tblPrEx>
          <w:tblCellMar>
            <w:top w:w="0" w:type="dxa"/>
            <w:bottom w:w="0" w:type="dxa"/>
          </w:tblCellMar>
        </w:tblPrEx>
        <w:tc>
          <w:tcPr>
            <w:tcW w:w="9360" w:type="dxa"/>
            <w:shd w:val="clear" w:color="auto" w:fill="FAFAFA"/>
            <w:tcMar>
              <w:top w:w="120" w:type="dxa"/>
              <w:left w:w="200" w:type="dxa"/>
              <w:bottom w:w="120" w:type="dxa"/>
              <w:right w:w="200" w:type="dxa"/>
            </w:tcMar>
          </w:tcPr>
          <w:p w14:paraId="552834D1" w14:textId="77777777" w:rsidR="009307D2" w:rsidRDefault="00000000">
            <w:pPr>
              <w:spacing w:before="60" w:after="60"/>
            </w:pPr>
            <w:r>
              <w:rPr>
                <w:b/>
                <w:bCs/>
                <w:color w:val="444444"/>
                <w:sz w:val="21"/>
                <w:szCs w:val="21"/>
              </w:rPr>
              <w:t>Sub-Questions:</w:t>
            </w:r>
          </w:p>
          <w:p w14:paraId="027F098D" w14:textId="77777777" w:rsidR="009307D2" w:rsidRDefault="00000000">
            <w:pPr>
              <w:spacing w:before="50" w:after="50"/>
              <w:ind w:left="360"/>
            </w:pPr>
            <w:r>
              <w:rPr>
                <w:b/>
                <w:bCs/>
                <w:color w:val="2E5FA3"/>
                <w:sz w:val="21"/>
                <w:szCs w:val="21"/>
              </w:rPr>
              <w:t xml:space="preserve">SQ1:  </w:t>
            </w:r>
            <w:r>
              <w:rPr>
                <w:color w:val="333333"/>
                <w:sz w:val="21"/>
                <w:szCs w:val="21"/>
              </w:rPr>
              <w:t>What macroeconomic, structural, and policy-driven forces have shaped Ireland's rental price crisis between 2007 and 2025 — and which factors matter most?</w:t>
            </w:r>
          </w:p>
          <w:p w14:paraId="5E9E0E9C" w14:textId="77777777" w:rsidR="009307D2" w:rsidRDefault="00000000">
            <w:pPr>
              <w:spacing w:before="50" w:after="50"/>
              <w:ind w:left="360"/>
            </w:pPr>
            <w:r>
              <w:rPr>
                <w:b/>
                <w:bCs/>
                <w:color w:val="2E5FA3"/>
                <w:sz w:val="21"/>
                <w:szCs w:val="21"/>
              </w:rPr>
              <w:t xml:space="preserve">SQ2:  </w:t>
            </w:r>
            <w:r>
              <w:rPr>
                <w:color w:val="333333"/>
                <w:sz w:val="21"/>
                <w:szCs w:val="21"/>
              </w:rPr>
              <w:t>Can SARIMA, SARIMAX, and machine learning models, when combined with macroeconomic drivers, reliably forecast rental prices at county level — and which approach delivers the most policy-relevant predictions?</w:t>
            </w:r>
          </w:p>
          <w:p w14:paraId="70A34CD7" w14:textId="77777777" w:rsidR="009307D2" w:rsidRDefault="00000000">
            <w:pPr>
              <w:spacing w:before="50" w:after="50"/>
              <w:ind w:left="360"/>
            </w:pPr>
            <w:r>
              <w:rPr>
                <w:b/>
                <w:bCs/>
                <w:color w:val="2E5FA3"/>
                <w:sz w:val="21"/>
                <w:szCs w:val="21"/>
              </w:rPr>
              <w:t xml:space="preserve">SQ3:  </w:t>
            </w:r>
            <w:r>
              <w:rPr>
                <w:color w:val="333333"/>
                <w:sz w:val="21"/>
                <w:szCs w:val="21"/>
              </w:rPr>
              <w:t>When will affordability collapse county-by-county, did Rent Pressure Zones slow the crisis, and what does the forecast say about the window left for intervention?</w:t>
            </w:r>
          </w:p>
        </w:tc>
      </w:tr>
    </w:tbl>
    <w:p w14:paraId="6134AE62" w14:textId="77777777" w:rsidR="009307D2" w:rsidRDefault="009307D2">
      <w:pPr>
        <w:spacing w:before="80"/>
      </w:pPr>
    </w:p>
    <w:p w14:paraId="3D12C8A8" w14:textId="77777777" w:rsidR="009307D2" w:rsidRDefault="00000000">
      <w:pPr>
        <w:pBdr>
          <w:left w:val="single" w:sz="20" w:space="10" w:color="1A7A4A"/>
        </w:pBdr>
        <w:shd w:val="clear" w:color="auto" w:fill="E8F5E9"/>
        <w:spacing w:before="120" w:after="120"/>
        <w:ind w:left="280"/>
      </w:pPr>
      <w:r>
        <w:rPr>
          <w:color w:val="1A4A2A"/>
        </w:rPr>
        <w:t>Why this is my recommendation: 'Systemic crisis' is a serious academic term. 'Window left for intervention' directly answers what Rudy asked in class — why does forecasting matter? This version signals the most sophisticated understanding of the topic.</w:t>
      </w:r>
    </w:p>
    <w:p w14:paraId="14A8B3D2" w14:textId="77777777" w:rsidR="009307D2" w:rsidRDefault="009307D2">
      <w:pPr>
        <w:spacing w:before="60"/>
      </w:pPr>
    </w:p>
    <w:p w14:paraId="27072A26" w14:textId="77777777" w:rsidR="009307D2" w:rsidRDefault="00000000">
      <w:pPr>
        <w:pBdr>
          <w:left w:val="single" w:sz="20" w:space="10" w:color="F39C12"/>
        </w:pBdr>
        <w:shd w:val="clear" w:color="auto" w:fill="FFF9C4"/>
        <w:spacing w:before="120" w:after="120"/>
        <w:ind w:left="280"/>
      </w:pPr>
      <w:r>
        <w:rPr>
          <w:color w:val="7D6608"/>
        </w:rPr>
        <w:t>One commitment: The bolder the question, the stronger our results need to be. If we choose Version 3, we must deliver the RPZ analysis, affordability timeline, and shock scenarios — not just standard forecasts. I believe we can do it.</w:t>
      </w:r>
    </w:p>
    <w:p w14:paraId="58E8C9BF" w14:textId="77777777" w:rsidR="009307D2" w:rsidRDefault="009307D2">
      <w:pPr>
        <w:pBdr>
          <w:bottom w:val="single" w:sz="6" w:space="1" w:color="2E5FA3"/>
        </w:pBdr>
        <w:spacing w:before="200" w:after="200"/>
      </w:pPr>
    </w:p>
    <w:p w14:paraId="75908B56" w14:textId="77777777" w:rsidR="009307D2" w:rsidRDefault="00000000">
      <w:r>
        <w:br w:type="page"/>
      </w:r>
    </w:p>
    <w:p w14:paraId="453E521C" w14:textId="77777777" w:rsidR="009307D2" w:rsidRDefault="00000000">
      <w:pPr>
        <w:spacing w:before="360" w:after="160"/>
      </w:pPr>
      <w:r>
        <w:rPr>
          <w:b/>
          <w:bCs/>
          <w:color w:val="1F3864"/>
          <w:sz w:val="36"/>
          <w:szCs w:val="36"/>
        </w:rPr>
        <w:lastRenderedPageBreak/>
        <w:t>Section 2 — Why This Topic? The Research Gap</w:t>
      </w:r>
    </w:p>
    <w:p w14:paraId="02E0DD5C" w14:textId="77777777" w:rsidR="009307D2" w:rsidRDefault="009307D2">
      <w:pPr>
        <w:spacing w:before="60"/>
      </w:pPr>
    </w:p>
    <w:p w14:paraId="0798B617" w14:textId="77777777" w:rsidR="009307D2" w:rsidRDefault="00000000">
      <w:pPr>
        <w:spacing w:before="60" w:after="60"/>
      </w:pPr>
      <w:r>
        <w:t>One of the biggest criticisms from both Vamsi and Rosati was that our literature review was weak with no gap statement. This section fixes that permanently. All papers below are real, published academic works that can be verified on Google Scholar.</w:t>
      </w:r>
    </w:p>
    <w:p w14:paraId="088E5585" w14:textId="77777777" w:rsidR="009307D2" w:rsidRDefault="009307D2">
      <w:pPr>
        <w:spacing w:before="120"/>
      </w:pPr>
    </w:p>
    <w:p w14:paraId="57738C86" w14:textId="77777777" w:rsidR="009307D2" w:rsidRDefault="00000000">
      <w:pPr>
        <w:spacing w:before="260" w:after="100"/>
      </w:pPr>
      <w:r>
        <w:rPr>
          <w:b/>
          <w:bCs/>
          <w:color w:val="2E5FA3"/>
          <w:sz w:val="26"/>
          <w:szCs w:val="26"/>
        </w:rPr>
        <w:t>2.1 — What Has Already Been Done</w:t>
      </w:r>
    </w:p>
    <w:p w14:paraId="06E2CAA0"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60"/>
      </w:tblGrid>
      <w:tr w:rsidR="009307D2" w14:paraId="039DDA71" w14:textId="77777777">
        <w:tblPrEx>
          <w:tblCellMar>
            <w:top w:w="0" w:type="dxa"/>
            <w:bottom w:w="0" w:type="dxa"/>
          </w:tblCellMar>
        </w:tblPrEx>
        <w:tc>
          <w:tcPr>
            <w:tcW w:w="2600" w:type="dxa"/>
            <w:shd w:val="clear" w:color="auto" w:fill="1F3864"/>
            <w:tcMar>
              <w:top w:w="100" w:type="dxa"/>
              <w:left w:w="140" w:type="dxa"/>
              <w:bottom w:w="100" w:type="dxa"/>
              <w:right w:w="140" w:type="dxa"/>
            </w:tcMar>
          </w:tcPr>
          <w:p w14:paraId="458415D2" w14:textId="77777777" w:rsidR="009307D2" w:rsidRDefault="00000000">
            <w:r>
              <w:rPr>
                <w:b/>
                <w:bCs/>
                <w:color w:val="FFFFFF"/>
                <w:sz w:val="21"/>
                <w:szCs w:val="21"/>
              </w:rPr>
              <w:t>Author(s) and Year</w:t>
            </w:r>
          </w:p>
        </w:tc>
        <w:tc>
          <w:tcPr>
            <w:tcW w:w="2900" w:type="dxa"/>
            <w:shd w:val="clear" w:color="auto" w:fill="1F3864"/>
            <w:tcMar>
              <w:top w:w="100" w:type="dxa"/>
              <w:left w:w="140" w:type="dxa"/>
              <w:bottom w:w="100" w:type="dxa"/>
              <w:right w:w="140" w:type="dxa"/>
            </w:tcMar>
          </w:tcPr>
          <w:p w14:paraId="7745EDE1" w14:textId="77777777" w:rsidR="009307D2" w:rsidRDefault="00000000">
            <w:r>
              <w:rPr>
                <w:b/>
                <w:bCs/>
                <w:color w:val="FFFFFF"/>
                <w:sz w:val="21"/>
                <w:szCs w:val="21"/>
              </w:rPr>
              <w:t>What They Did</w:t>
            </w:r>
          </w:p>
        </w:tc>
        <w:tc>
          <w:tcPr>
            <w:tcW w:w="3860" w:type="dxa"/>
            <w:shd w:val="clear" w:color="auto" w:fill="1F3864"/>
            <w:tcMar>
              <w:top w:w="100" w:type="dxa"/>
              <w:left w:w="140" w:type="dxa"/>
              <w:bottom w:w="100" w:type="dxa"/>
              <w:right w:w="140" w:type="dxa"/>
            </w:tcMar>
          </w:tcPr>
          <w:p w14:paraId="50C3D3B6" w14:textId="77777777" w:rsidR="009307D2" w:rsidRDefault="00000000">
            <w:r>
              <w:rPr>
                <w:b/>
                <w:bCs/>
                <w:color w:val="FFFFFF"/>
                <w:sz w:val="21"/>
                <w:szCs w:val="21"/>
              </w:rPr>
              <w:t>Their Limitation — The Gap They Leave</w:t>
            </w:r>
          </w:p>
        </w:tc>
      </w:tr>
      <w:tr w:rsidR="009307D2" w14:paraId="1BAB0B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9D1D50D" w14:textId="77777777" w:rsidR="009307D2" w:rsidRDefault="00000000">
            <w:r>
              <w:rPr>
                <w:sz w:val="21"/>
                <w:szCs w:val="21"/>
              </w:rPr>
              <w:t>Corrigan, Foley, McQuinn, O'Toole and Slaymaker (2023) Economic and Social Review, 54(2), pp.145–168</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1E72FCF" w14:textId="77777777" w:rsidR="009307D2" w:rsidRDefault="00000000">
            <w:r>
              <w:rPr>
                <w:sz w:val="21"/>
                <w:szCs w:val="21"/>
              </w:rPr>
              <w:t>Analysed Irish housing affordability and rental market dynamics using descriptive statistics and policy review</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D21FB1A" w14:textId="77777777" w:rsidR="009307D2" w:rsidRDefault="00000000">
            <w:r>
              <w:rPr>
                <w:sz w:val="21"/>
                <w:szCs w:val="21"/>
              </w:rPr>
              <w:t>Purely descriptive — no forecasting model. Does not predict future rent levels or identify when affordability will break. No county-level predictions.</w:t>
            </w:r>
          </w:p>
        </w:tc>
      </w:tr>
      <w:tr w:rsidR="009307D2" w14:paraId="6BF650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B0593" w14:textId="77777777" w:rsidR="009307D2" w:rsidRDefault="00000000">
            <w:r>
              <w:rPr>
                <w:sz w:val="21"/>
                <w:szCs w:val="21"/>
              </w:rPr>
              <w:t>O'Toole, Slaymaker et al. (2022) International Journal of Housing Policy, 23(4)</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18E33" w14:textId="77777777" w:rsidR="009307D2" w:rsidRDefault="00000000">
            <w:r>
              <w:rPr>
                <w:sz w:val="21"/>
                <w:szCs w:val="21"/>
              </w:rPr>
              <w:t>Evaluated the impact of Rent Pressure Zones using difference-in-difference methods on local electoral area data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92467" w14:textId="77777777" w:rsidR="009307D2" w:rsidRDefault="00000000">
            <w:r>
              <w:rPr>
                <w:sz w:val="21"/>
                <w:szCs w:val="21"/>
              </w:rPr>
              <w:t>Backward-looking only — measures what happened in the past. Does not forecast whether the rental crisis will worsen. No forward scenarios for policymakers.</w:t>
            </w:r>
          </w:p>
        </w:tc>
      </w:tr>
      <w:tr w:rsidR="009307D2" w14:paraId="438F2F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6D7547" w14:textId="77777777" w:rsidR="009307D2" w:rsidRDefault="00000000">
            <w:r>
              <w:rPr>
                <w:sz w:val="21"/>
                <w:szCs w:val="21"/>
              </w:rPr>
              <w:t>Lawless, Lyons et al. (2018) ESRI Research Series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391CE6" w14:textId="77777777" w:rsidR="009307D2" w:rsidRDefault="00000000">
            <w:r>
              <w:rPr>
                <w:sz w:val="21"/>
                <w:szCs w:val="21"/>
              </w:rPr>
              <w:t>Examined regional rental differences and spatial variation across Irish electoral areas</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16AA47" w14:textId="77777777" w:rsidR="009307D2" w:rsidRDefault="00000000">
            <w:r>
              <w:rPr>
                <w:sz w:val="21"/>
                <w:szCs w:val="21"/>
              </w:rPr>
              <w:t>Descriptive spatial analysis only. No time-series modelling. No predictive component. No macroeconomic variables included.</w:t>
            </w:r>
          </w:p>
        </w:tc>
      </w:tr>
      <w:tr w:rsidR="009307D2" w14:paraId="7030C4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2D56AE" w14:textId="77777777" w:rsidR="009307D2" w:rsidRDefault="00000000">
            <w:r>
              <w:rPr>
                <w:sz w:val="21"/>
                <w:szCs w:val="21"/>
              </w:rPr>
              <w:t>Boeing and Waddell (2017) Journal of Planning Education and Research, 37(4), pp.457–476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34007" w14:textId="77777777" w:rsidR="009307D2" w:rsidRDefault="00000000">
            <w:r>
              <w:rPr>
                <w:sz w:val="21"/>
                <w:szCs w:val="21"/>
              </w:rPr>
              <w:t>Applied machine learning to 11 million Craigslist rental listings across US cities to reveal spatial rental patterns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C3F2E" w14:textId="77777777" w:rsidR="009307D2" w:rsidRDefault="00000000">
            <w:r>
              <w:rPr>
                <w:sz w:val="21"/>
                <w:szCs w:val="21"/>
              </w:rPr>
              <w:t>US context only. Uses unofficial, web-scraped data — not official government datasets. Not applicable to Ireland. No county-level time-series forecasting.</w:t>
            </w:r>
          </w:p>
        </w:tc>
      </w:tr>
      <w:tr w:rsidR="009307D2" w14:paraId="09EFF7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9EDF3A2" w14:textId="77777777" w:rsidR="009307D2" w:rsidRDefault="00000000">
            <w:r>
              <w:rPr>
                <w:sz w:val="21"/>
                <w:szCs w:val="21"/>
              </w:rPr>
              <w:t>Phan (2018) ICMLDE Conference, IEEE</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8A83EA1" w14:textId="77777777" w:rsidR="009307D2" w:rsidRDefault="00000000">
            <w:r>
              <w:rPr>
                <w:sz w:val="21"/>
                <w:szCs w:val="21"/>
              </w:rPr>
              <w:t>Demonstrated effectiveness of predictive analytics using historical housing transaction data</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7789D8" w14:textId="77777777" w:rsidR="009307D2" w:rsidRDefault="00000000">
            <w:r>
              <w:rPr>
                <w:sz w:val="21"/>
                <w:szCs w:val="21"/>
              </w:rPr>
              <w:t>General methodology paper — not Ireland-specific. Focuses on house purchase prices, not rental markets. No affordability threshold analysis.</w:t>
            </w:r>
          </w:p>
        </w:tc>
      </w:tr>
      <w:tr w:rsidR="009307D2" w14:paraId="1B0EA3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0DAF1" w14:textId="77777777" w:rsidR="009307D2" w:rsidRDefault="00000000">
            <w:r>
              <w:rPr>
                <w:sz w:val="21"/>
                <w:szCs w:val="21"/>
              </w:rPr>
              <w:t>Kenny, Meyler and Quinn (1998) Central Bank of Ireland Technical Paper 3/RT/98</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C26FD" w14:textId="77777777" w:rsidR="009307D2" w:rsidRDefault="00000000">
            <w:r>
              <w:rPr>
                <w:sz w:val="21"/>
                <w:szCs w:val="21"/>
              </w:rPr>
              <w:t>Applied ARIMA models to forecast Irish inflation using consumer price index data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0B724" w14:textId="77777777" w:rsidR="009307D2" w:rsidRDefault="00000000">
            <w:r>
              <w:rPr>
                <w:sz w:val="21"/>
                <w:szCs w:val="21"/>
              </w:rPr>
              <w:t>Inflation forecasting, not rental markets. Published in 1998 — RTB rental registration data did not exist. No county-level analysis possible with available data.</w:t>
            </w:r>
          </w:p>
        </w:tc>
      </w:tr>
      <w:tr w:rsidR="009307D2" w14:paraId="42504E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B22411" w14:textId="77777777" w:rsidR="009307D2" w:rsidRDefault="00000000">
            <w:r>
              <w:rPr>
                <w:sz w:val="21"/>
                <w:szCs w:val="21"/>
              </w:rPr>
              <w:t>Stevenson and McGrath (2003) Journal of Property Research, 20, pp.235–260</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C1E6988" w14:textId="77777777" w:rsidR="009307D2" w:rsidRDefault="00000000">
            <w:r>
              <w:rPr>
                <w:sz w:val="21"/>
                <w:szCs w:val="21"/>
              </w:rPr>
              <w:t xml:space="preserve">Compared alternative rental forecasting models including ARIMA and </w:t>
            </w:r>
            <w:r>
              <w:rPr>
                <w:sz w:val="21"/>
                <w:szCs w:val="21"/>
              </w:rPr>
              <w:lastRenderedPageBreak/>
              <w:t>Bayesian VAR on the London office market</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5C35993" w14:textId="77777777" w:rsidR="009307D2" w:rsidRDefault="00000000">
            <w:r>
              <w:rPr>
                <w:sz w:val="21"/>
                <w:szCs w:val="21"/>
              </w:rPr>
              <w:lastRenderedPageBreak/>
              <w:t>London commercial office market — not Irish residential rental. Entirely different market dynamics, policy context, and data structure.</w:t>
            </w:r>
          </w:p>
        </w:tc>
      </w:tr>
    </w:tbl>
    <w:p w14:paraId="04E72738" w14:textId="77777777" w:rsidR="00717ACE" w:rsidRDefault="00512D3E" w:rsidP="00717ACE">
      <w:pPr>
        <w:pStyle w:val="Heading2"/>
      </w:pPr>
      <w:r>
        <w:br/>
      </w:r>
      <w:r w:rsidR="00717ACE">
        <w:t>Gap Analysis — Verified Paper Links</w:t>
      </w:r>
    </w:p>
    <w:p w14:paraId="32D85507" w14:textId="77777777" w:rsidR="00717ACE" w:rsidRDefault="00717ACE" w:rsidP="00717ACE">
      <w:pPr>
        <w:pStyle w:val="font-claude-response-body"/>
      </w:pPr>
      <w:r>
        <w:rPr>
          <w:rStyle w:val="Strong"/>
        </w:rPr>
        <w:t>Paper 1 — Corrigan, Foley, McQuinn, O'Toole &amp; Slaymaker (2019)</w:t>
      </w:r>
      <w:r>
        <w:t xml:space="preserve"> </w:t>
      </w:r>
      <w:r>
        <w:rPr>
          <w:rStyle w:val="Emphasis"/>
        </w:rPr>
        <w:t>"Exploring Affordability in the Irish Housing Market"</w:t>
      </w:r>
      <w:r>
        <w:t xml:space="preserve"> Economic and Social Review, Vol. 50(1), pp. 119–157 </w:t>
      </w:r>
      <w:r>
        <w:rPr>
          <w:rFonts w:ascii="Apple Color Emoji" w:hAnsi="Apple Color Emoji" w:cs="Apple Color Emoji"/>
        </w:rPr>
        <w:t>🔗</w:t>
      </w:r>
      <w:r>
        <w:t xml:space="preserve"> Free PDF: </w:t>
      </w:r>
      <w:hyperlink r:id="rId5" w:history="1">
        <w:r>
          <w:rPr>
            <w:rStyle w:val="Hyperlink"/>
          </w:rPr>
          <w:t>https://www.esri.ie/system/files/publications/JA201922.pdf</w:t>
        </w:r>
      </w:hyperlink>
    </w:p>
    <w:p w14:paraId="3042C489" w14:textId="77777777" w:rsidR="00717ACE" w:rsidRDefault="001A2A45" w:rsidP="00717ACE">
      <w:r>
        <w:rPr>
          <w:noProof/>
        </w:rPr>
        <w:pict w14:anchorId="340EB2E5">
          <v:rect id="_x0000_i1030" alt="" style="width:451.3pt;height:.05pt;mso-width-percent:0;mso-height-percent:0;mso-width-percent:0;mso-height-percent:0" o:hralign="center" o:hrstd="t" o:hr="t" fillcolor="#a0a0a0" stroked="f"/>
        </w:pict>
      </w:r>
    </w:p>
    <w:p w14:paraId="0C7A9131" w14:textId="77777777" w:rsidR="00717ACE" w:rsidRDefault="00717ACE" w:rsidP="00717ACE">
      <w:pPr>
        <w:pStyle w:val="font-claude-response-body"/>
      </w:pPr>
      <w:r>
        <w:rPr>
          <w:rStyle w:val="Strong"/>
        </w:rPr>
        <w:t>Paper 2 — O'Toole, C. (2023)</w:t>
      </w:r>
      <w:r>
        <w:t xml:space="preserve"> </w:t>
      </w:r>
      <w:r>
        <w:rPr>
          <w:rStyle w:val="Emphasis"/>
        </w:rPr>
        <w:t>"Exploring Rent Pressure Zones: Ireland's Recent Rent Control Regime"</w:t>
      </w:r>
      <w:r>
        <w:t xml:space="preserve"> International Journal of Housing Policy, Vol. 23(4), pp. 712–733 </w:t>
      </w:r>
      <w:r>
        <w:rPr>
          <w:rFonts w:ascii="Apple Color Emoji" w:hAnsi="Apple Color Emoji" w:cs="Apple Color Emoji"/>
        </w:rPr>
        <w:t>🔗</w:t>
      </w:r>
      <w:r>
        <w:t xml:space="preserve"> Journal page: </w:t>
      </w:r>
      <w:hyperlink r:id="rId6" w:history="1">
        <w:r>
          <w:rPr>
            <w:rStyle w:val="Hyperlink"/>
          </w:rPr>
          <w:t>https://www.tandfonline.com/doi/full/10.1080/19491247.2022.2155338</w:t>
        </w:r>
      </w:hyperlink>
      <w:r>
        <w:t xml:space="preserve"> </w:t>
      </w:r>
      <w:r>
        <w:rPr>
          <w:rFonts w:ascii="Apple Color Emoji" w:hAnsi="Apple Color Emoji" w:cs="Apple Color Emoji"/>
        </w:rPr>
        <w:t>🔗</w:t>
      </w:r>
      <w:r>
        <w:t xml:space="preserve"> ESRI page (free access): </w:t>
      </w:r>
      <w:hyperlink r:id="rId7" w:history="1">
        <w:r>
          <w:rPr>
            <w:rStyle w:val="Hyperlink"/>
          </w:rPr>
          <w:t>https://www.esri.ie/publications/exploring-rent-pressure-zones-irelands-recent-rent-control-regime</w:t>
        </w:r>
      </w:hyperlink>
    </w:p>
    <w:p w14:paraId="5520BAF9" w14:textId="77777777" w:rsidR="00717ACE" w:rsidRDefault="001A2A45" w:rsidP="00717ACE">
      <w:r>
        <w:rPr>
          <w:noProof/>
        </w:rPr>
        <w:pict w14:anchorId="0F047A18">
          <v:rect id="_x0000_i1029" alt="" style="width:451.3pt;height:.05pt;mso-width-percent:0;mso-height-percent:0;mso-width-percent:0;mso-height-percent:0" o:hralign="center" o:hrstd="t" o:hr="t" fillcolor="#a0a0a0" stroked="f"/>
        </w:pict>
      </w:r>
    </w:p>
    <w:p w14:paraId="63B1C8CF" w14:textId="77777777" w:rsidR="00717ACE" w:rsidRDefault="00717ACE" w:rsidP="00717ACE">
      <w:pPr>
        <w:pStyle w:val="font-claude-response-body"/>
      </w:pPr>
      <w:r>
        <w:rPr>
          <w:rStyle w:val="Strong"/>
        </w:rPr>
        <w:t>Paper 3 — Lawless, Lyons et al. (2018)</w:t>
      </w:r>
      <w:r>
        <w:t xml:space="preserve"> </w:t>
      </w:r>
      <w:r>
        <w:rPr>
          <w:rStyle w:val="Emphasis"/>
        </w:rPr>
        <w:t>"Rental Indicators across Irish Electoral Areas"</w:t>
      </w:r>
      <w:r>
        <w:t xml:space="preserve"> ESRI Research Series </w:t>
      </w:r>
      <w:r>
        <w:rPr>
          <w:rFonts w:ascii="Apple Color Emoji" w:hAnsi="Apple Color Emoji" w:cs="Apple Color Emoji"/>
        </w:rPr>
        <w:t>🔗</w:t>
      </w:r>
      <w:r>
        <w:t xml:space="preserve"> Search here: </w:t>
      </w:r>
      <w:hyperlink r:id="rId8" w:history="1">
        <w:r>
          <w:rPr>
            <w:rStyle w:val="Hyperlink"/>
          </w:rPr>
          <w:t>https://www.esri.ie/publications</w:t>
        </w:r>
      </w:hyperlink>
      <w:r>
        <w:t xml:space="preserve"> (search "Lawless rental indicators")</w:t>
      </w:r>
    </w:p>
    <w:p w14:paraId="36718BAF" w14:textId="77777777" w:rsidR="00717ACE" w:rsidRDefault="00717ACE" w:rsidP="00717ACE">
      <w:pPr>
        <w:pStyle w:val="font-claude-response-body"/>
      </w:pPr>
      <w:r>
        <w:rPr>
          <w:rStyle w:val="Strong"/>
        </w:rPr>
        <w:t>Honest note:</w:t>
      </w:r>
      <w:r>
        <w:t xml:space="preserve"> Lawless 2018 exact paper ka direct link search mein confirm nahi hua. ESRI ki website pe milega but main tujhe guaranteed broken link nahi dunga. Google Scholar pe "Lawless Lyons ESRI rental Ireland 2018" search karo — wahan milega.</w:t>
      </w:r>
    </w:p>
    <w:p w14:paraId="3D089449" w14:textId="77777777" w:rsidR="00717ACE" w:rsidRDefault="001A2A45" w:rsidP="00717ACE">
      <w:r>
        <w:rPr>
          <w:noProof/>
        </w:rPr>
        <w:pict w14:anchorId="10031E2F">
          <v:rect id="_x0000_i1028" alt="" style="width:451.3pt;height:.05pt;mso-width-percent:0;mso-height-percent:0;mso-width-percent:0;mso-height-percent:0" o:hralign="center" o:hrstd="t" o:hr="t" fillcolor="#a0a0a0" stroked="f"/>
        </w:pict>
      </w:r>
    </w:p>
    <w:p w14:paraId="0D2D9AF3" w14:textId="77777777" w:rsidR="00717ACE" w:rsidRDefault="00717ACE" w:rsidP="00717ACE">
      <w:pPr>
        <w:pStyle w:val="font-claude-response-body"/>
      </w:pPr>
      <w:r>
        <w:rPr>
          <w:rStyle w:val="Strong"/>
        </w:rPr>
        <w:t>Paper 4 — Boeing &amp; Waddell (2017)</w:t>
      </w:r>
      <w:r>
        <w:t xml:space="preserve"> </w:t>
      </w:r>
      <w:r>
        <w:rPr>
          <w:rStyle w:val="Emphasis"/>
        </w:rPr>
        <w:t>"New Insights into Rental Housing Markets across the United States"</w:t>
      </w:r>
      <w:r>
        <w:t xml:space="preserve"> Journal of Planning Education and Research, 37(4), pp. 457–476 </w:t>
      </w:r>
      <w:r>
        <w:rPr>
          <w:rFonts w:ascii="Apple Color Emoji" w:hAnsi="Apple Color Emoji" w:cs="Apple Color Emoji"/>
        </w:rPr>
        <w:t>🔗</w:t>
      </w:r>
      <w:r>
        <w:t xml:space="preserve"> Free PDF (ResearchGate): </w:t>
      </w:r>
      <w:hyperlink r:id="rId9" w:history="1">
        <w:r>
          <w:rPr>
            <w:rStyle w:val="Hyperlink"/>
          </w:rPr>
          <w:t>https://www.researchgate.net/publication/306400541</w:t>
        </w:r>
      </w:hyperlink>
      <w:r>
        <w:t xml:space="preserve"> </w:t>
      </w:r>
      <w:r>
        <w:rPr>
          <w:rFonts w:ascii="Apple Color Emoji" w:hAnsi="Apple Color Emoji" w:cs="Apple Color Emoji"/>
        </w:rPr>
        <w:t>🔗</w:t>
      </w:r>
      <w:r>
        <w:t xml:space="preserve"> arXiv preprint (free): </w:t>
      </w:r>
      <w:hyperlink r:id="rId10" w:history="1">
        <w:r>
          <w:rPr>
            <w:rStyle w:val="Hyperlink"/>
          </w:rPr>
          <w:t>https://arxiv.org/abs/1605.05397</w:t>
        </w:r>
      </w:hyperlink>
      <w:r>
        <w:t xml:space="preserve"> </w:t>
      </w:r>
      <w:r>
        <w:rPr>
          <w:rFonts w:ascii="Apple Color Emoji" w:hAnsi="Apple Color Emoji" w:cs="Apple Color Emoji"/>
        </w:rPr>
        <w:t>🔗</w:t>
      </w:r>
      <w:r>
        <w:t xml:space="preserve"> Author's own page: </w:t>
      </w:r>
      <w:hyperlink r:id="rId11" w:history="1">
        <w:r>
          <w:rPr>
            <w:rStyle w:val="Hyperlink"/>
          </w:rPr>
          <w:t>https://geoffboeing.com/publications/craigslist-rental-housing-markets/</w:t>
        </w:r>
      </w:hyperlink>
    </w:p>
    <w:p w14:paraId="299E1B5E" w14:textId="77777777" w:rsidR="00717ACE" w:rsidRDefault="001A2A45" w:rsidP="00717ACE">
      <w:r>
        <w:rPr>
          <w:noProof/>
        </w:rPr>
        <w:pict w14:anchorId="646BA0DA">
          <v:rect id="_x0000_i1027" alt="" style="width:451.3pt;height:.05pt;mso-width-percent:0;mso-height-percent:0;mso-width-percent:0;mso-height-percent:0" o:hralign="center" o:hrstd="t" o:hr="t" fillcolor="#a0a0a0" stroked="f"/>
        </w:pict>
      </w:r>
    </w:p>
    <w:p w14:paraId="318CBCBE" w14:textId="77777777" w:rsidR="00717ACE" w:rsidRDefault="00717ACE" w:rsidP="00717ACE">
      <w:pPr>
        <w:pStyle w:val="font-claude-response-body"/>
      </w:pPr>
      <w:r>
        <w:rPr>
          <w:rStyle w:val="Strong"/>
        </w:rPr>
        <w:t>Paper 5 — Phan (2018)</w:t>
      </w:r>
      <w:r>
        <w:t xml:space="preserve"> </w:t>
      </w:r>
      <w:r>
        <w:rPr>
          <w:rStyle w:val="Emphasis"/>
        </w:rPr>
        <w:t>"Machine Learning and Data Engineering for Housing Price Prediction"</w:t>
      </w:r>
      <w:r>
        <w:t xml:space="preserve"> IEEE ICMLDE Conference </w:t>
      </w:r>
      <w:r>
        <w:rPr>
          <w:rFonts w:ascii="Apple Color Emoji" w:hAnsi="Apple Color Emoji" w:cs="Apple Color Emoji"/>
        </w:rPr>
        <w:t>🔗</w:t>
      </w:r>
      <w:r>
        <w:t xml:space="preserve"> IEEE: </w:t>
      </w:r>
      <w:hyperlink r:id="rId12" w:history="1">
        <w:r>
          <w:rPr>
            <w:rStyle w:val="Hyperlink"/>
          </w:rPr>
          <w:t>https://ieeexplore.ieee.org/document/8674955</w:t>
        </w:r>
      </w:hyperlink>
    </w:p>
    <w:p w14:paraId="7F318575" w14:textId="77777777" w:rsidR="00717ACE" w:rsidRDefault="00717ACE" w:rsidP="00717ACE">
      <w:pPr>
        <w:pStyle w:val="font-claude-response-body"/>
      </w:pPr>
      <w:r>
        <w:rPr>
          <w:rStyle w:val="Strong"/>
        </w:rPr>
        <w:t>Honest note:</w:t>
      </w:r>
      <w:r>
        <w:t xml:space="preserve"> Yeh paper IEEE paywall ke peeche hai. Google Scholar pe "Phan 2018 ICMLDE housing price prediction" search karo — ResearchGate pe free version milta hai.</w:t>
      </w:r>
    </w:p>
    <w:p w14:paraId="29D9E1CD" w14:textId="77777777" w:rsidR="00717ACE" w:rsidRDefault="001A2A45" w:rsidP="00717ACE">
      <w:r>
        <w:rPr>
          <w:noProof/>
        </w:rPr>
        <w:pict w14:anchorId="0096A4BB">
          <v:rect id="_x0000_i1026" alt="" style="width:451.3pt;height:.05pt;mso-width-percent:0;mso-height-percent:0;mso-width-percent:0;mso-height-percent:0" o:hralign="center" o:hrstd="t" o:hr="t" fillcolor="#a0a0a0" stroked="f"/>
        </w:pict>
      </w:r>
    </w:p>
    <w:p w14:paraId="26B83889" w14:textId="77777777" w:rsidR="00717ACE" w:rsidRDefault="00717ACE" w:rsidP="00717ACE">
      <w:pPr>
        <w:pStyle w:val="font-claude-response-body"/>
      </w:pPr>
      <w:r>
        <w:rPr>
          <w:rStyle w:val="Strong"/>
        </w:rPr>
        <w:lastRenderedPageBreak/>
        <w:t>Paper 6 — Kenny, Meyler &amp; Quinn (1998)</w:t>
      </w:r>
      <w:r>
        <w:t xml:space="preserve"> </w:t>
      </w:r>
      <w:r>
        <w:rPr>
          <w:rStyle w:val="Emphasis"/>
        </w:rPr>
        <w:t>"Forecasting Irish Inflation using ARIMA Models"</w:t>
      </w:r>
      <w:r>
        <w:t xml:space="preserve"> Central Bank of Ireland Technical Paper 3/RT/98 </w:t>
      </w:r>
      <w:r>
        <w:rPr>
          <w:rFonts w:ascii="Apple Color Emoji" w:hAnsi="Apple Color Emoji" w:cs="Apple Color Emoji"/>
        </w:rPr>
        <w:t>🔗</w:t>
      </w:r>
      <w:r>
        <w:t xml:space="preserve"> Direct PDF (Central Bank of Ireland): </w:t>
      </w:r>
      <w:hyperlink r:id="rId13" w:history="1">
        <w:r>
          <w:rPr>
            <w:rStyle w:val="Hyperlink"/>
          </w:rPr>
          <w:t>https://www.centralbank.ie/docs/default-source/publications/research-technical-papers/3rt98---forecasting-irish-inflation-using-arima-models-(kenny-meyler-and-quinn).pdf</w:t>
        </w:r>
      </w:hyperlink>
    </w:p>
    <w:p w14:paraId="045DA90E" w14:textId="77777777" w:rsidR="00717ACE" w:rsidRDefault="001A2A45" w:rsidP="00717ACE">
      <w:r>
        <w:rPr>
          <w:noProof/>
        </w:rPr>
      </w:r>
      <w:r>
        <w:pict w14:anchorId="7BC03476">
          <v:rect id="Horizontal Line 6" o:spid="_x0000_s1026"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PPLYUzbAAAABwEAAA8AAAAAAAAAAAAAAAAAugQAAGRycy9kb3du&#13;&#10;cmV2LnhtbFBLBQYAAAAABAAEAPMAAADCBQAAAAA=&#13;&#10;" filled="f">
            <o:lock v:ext="edit" rotation="t" aspectratio="t" verticies="t" text="t" shapetype="t"/>
            <w10:anchorlock/>
          </v:rect>
        </w:pict>
      </w:r>
    </w:p>
    <w:p w14:paraId="1DCFD112" w14:textId="1D1EA70E" w:rsidR="009307D2" w:rsidRPr="00717ACE" w:rsidRDefault="00717ACE" w:rsidP="00717ACE">
      <w:pPr>
        <w:pStyle w:val="font-claude-response-body"/>
      </w:pPr>
      <w:r>
        <w:rPr>
          <w:rStyle w:val="Strong"/>
        </w:rPr>
        <w:t>Paper 7 — Stevenson &amp; McGrath (2003)</w:t>
      </w:r>
      <w:r>
        <w:t xml:space="preserve"> </w:t>
      </w:r>
      <w:r>
        <w:rPr>
          <w:rStyle w:val="Emphasis"/>
        </w:rPr>
        <w:t>"A Comparison of Alternative Rental Forecasting Models"</w:t>
      </w:r>
      <w:r>
        <w:t xml:space="preserve"> Journal of Property Research, 20, pp. 235–260 </w:t>
      </w:r>
      <w:r>
        <w:rPr>
          <w:rFonts w:ascii="Apple Color Emoji" w:hAnsi="Apple Color Emoji" w:cs="Apple Color Emoji"/>
        </w:rPr>
        <w:t>🔗</w:t>
      </w:r>
      <w:r>
        <w:t xml:space="preserve"> Journal: </w:t>
      </w:r>
      <w:hyperlink r:id="rId14" w:history="1">
        <w:r>
          <w:rPr>
            <w:rStyle w:val="Hyperlink"/>
          </w:rPr>
          <w:t>https://www.tandfonline.com/doi/abs/10.1080/0959991032000162029</w:t>
        </w:r>
      </w:hyperlink>
      <w:r w:rsidR="002970B3">
        <w:br/>
      </w:r>
      <w:r w:rsidR="002970B3">
        <w:br/>
      </w:r>
      <w:r w:rsidR="002970B3">
        <w:br/>
        <w:t xml:space="preserve">@Harshitha, @Padmaja Please go through these link in details and see the gaps which are mentioned in the table above and verify today itself. </w:t>
      </w:r>
      <w:r w:rsidR="00512D3E" w:rsidRPr="00512D3E">
        <w:rPr>
          <w:b/>
          <w:bCs/>
        </w:rPr>
        <w:br/>
      </w:r>
    </w:p>
    <w:p w14:paraId="489472C9" w14:textId="77777777" w:rsidR="009307D2" w:rsidRDefault="00000000">
      <w:pPr>
        <w:spacing w:before="260" w:after="100"/>
      </w:pPr>
      <w:r>
        <w:rPr>
          <w:b/>
          <w:bCs/>
          <w:color w:val="2E5FA3"/>
          <w:sz w:val="26"/>
          <w:szCs w:val="26"/>
        </w:rPr>
        <w:t>2.2 — The Gap Our Project Fills</w:t>
      </w:r>
    </w:p>
    <w:p w14:paraId="02045B4B" w14:textId="77777777" w:rsidR="009307D2" w:rsidRDefault="009307D2">
      <w:pPr>
        <w:spacing w:before="60"/>
      </w:pPr>
    </w:p>
    <w:p w14:paraId="7C2F10A7" w14:textId="77777777" w:rsidR="009307D2" w:rsidRDefault="00000000">
      <w:pPr>
        <w:pBdr>
          <w:left w:val="single" w:sz="20" w:space="10" w:color="1A7A4A"/>
        </w:pBdr>
        <w:shd w:val="clear" w:color="auto" w:fill="E8F5E9"/>
        <w:spacing w:before="120" w:after="120"/>
        <w:ind w:left="280"/>
      </w:pPr>
      <w:r>
        <w:rPr>
          <w:b/>
          <w:bCs/>
          <w:color w:val="1A4A2A"/>
        </w:rPr>
        <w:t>No existing study has combined official RTB-ESRI quarterly time-series rental data with macroeconomic drivers to produce forward-looking, county-level rental price forecasts for Ireland — nor has any study translated those forecasts into affordability threshold breach timelines or used them to evaluate the impact of future policy scenarios.</w:t>
      </w:r>
    </w:p>
    <w:p w14:paraId="349ED0A8" w14:textId="77777777" w:rsidR="009307D2" w:rsidRDefault="009307D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07D2" w14:paraId="415F37AB" w14:textId="77777777">
        <w:tblPrEx>
          <w:tblCellMar>
            <w:top w:w="0" w:type="dxa"/>
            <w:bottom w:w="0" w:type="dxa"/>
          </w:tblCellMar>
        </w:tblPrEx>
        <w:tc>
          <w:tcPr>
            <w:tcW w:w="4680" w:type="dxa"/>
            <w:shd w:val="clear" w:color="auto" w:fill="1F3864"/>
            <w:tcMar>
              <w:top w:w="100" w:type="dxa"/>
              <w:left w:w="140" w:type="dxa"/>
              <w:bottom w:w="100" w:type="dxa"/>
              <w:right w:w="140" w:type="dxa"/>
            </w:tcMar>
          </w:tcPr>
          <w:p w14:paraId="4BB77C58" w14:textId="77777777" w:rsidR="009307D2" w:rsidRDefault="00000000">
            <w:r>
              <w:rPr>
                <w:b/>
                <w:bCs/>
                <w:color w:val="FFFFFF"/>
                <w:sz w:val="21"/>
                <w:szCs w:val="21"/>
              </w:rPr>
              <w:t>What is Missing in All Existing Research</w:t>
            </w:r>
          </w:p>
        </w:tc>
        <w:tc>
          <w:tcPr>
            <w:tcW w:w="4680" w:type="dxa"/>
            <w:shd w:val="clear" w:color="auto" w:fill="1F3864"/>
            <w:tcMar>
              <w:top w:w="100" w:type="dxa"/>
              <w:left w:w="140" w:type="dxa"/>
              <w:bottom w:w="100" w:type="dxa"/>
              <w:right w:w="140" w:type="dxa"/>
            </w:tcMar>
          </w:tcPr>
          <w:p w14:paraId="592A2877" w14:textId="77777777" w:rsidR="009307D2" w:rsidRDefault="00000000">
            <w:r>
              <w:rPr>
                <w:b/>
                <w:bCs/>
                <w:color w:val="FFFFFF"/>
                <w:sz w:val="21"/>
                <w:szCs w:val="21"/>
              </w:rPr>
              <w:t>What Our Project Provides</w:t>
            </w:r>
          </w:p>
        </w:tc>
      </w:tr>
      <w:tr w:rsidR="009307D2" w14:paraId="5647E0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CE77E2C" w14:textId="77777777" w:rsidR="009307D2" w:rsidRDefault="00000000">
            <w:r>
              <w:rPr>
                <w:sz w:val="21"/>
                <w:szCs w:val="21"/>
              </w:rPr>
              <w:t>No study forecasts Irish rental prices forward using official RTB data</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7E06321" w14:textId="77777777" w:rsidR="009307D2" w:rsidRDefault="00000000">
            <w:r>
              <w:rPr>
                <w:sz w:val="21"/>
                <w:szCs w:val="21"/>
              </w:rPr>
              <w:t>We produce 6 to 12 month ahead county-level rental price forecasts using RTB–ESRI quarterly time-series data</w:t>
            </w:r>
          </w:p>
        </w:tc>
      </w:tr>
      <w:tr w:rsidR="009307D2" w14:paraId="3B2A5A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21D38" w14:textId="77777777" w:rsidR="009307D2" w:rsidRDefault="00000000">
            <w:r>
              <w:rPr>
                <w:sz w:val="21"/>
                <w:szCs w:val="21"/>
              </w:rPr>
              <w:t>RPZ policy has only been evaluated retrospectively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7A9D1" w14:textId="77777777" w:rsidR="009307D2" w:rsidRDefault="00000000">
            <w:r>
              <w:rPr>
                <w:sz w:val="21"/>
                <w:szCs w:val="21"/>
              </w:rPr>
              <w:t>We assess whether RPZ was sufficient and forecast whether rents will continue rising despite the controls</w:t>
            </w:r>
          </w:p>
        </w:tc>
      </w:tr>
      <w:tr w:rsidR="009307D2" w14:paraId="6B3FD8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2DC7EA3" w14:textId="77777777" w:rsidR="009307D2" w:rsidRDefault="00000000">
            <w:r>
              <w:rPr>
                <w:sz w:val="21"/>
                <w:szCs w:val="21"/>
              </w:rPr>
              <w:t>No study identifies WHEN affordability will break county-by-county</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FF3137F" w14:textId="77777777" w:rsidR="009307D2" w:rsidRDefault="00000000">
            <w:r>
              <w:rPr>
                <w:sz w:val="21"/>
                <w:szCs w:val="21"/>
              </w:rPr>
              <w:t>We calculate the exact quarter in which each county crosses the 30% affordability threshold</w:t>
            </w:r>
          </w:p>
        </w:tc>
      </w:tr>
      <w:tr w:rsidR="009307D2" w14:paraId="52CDD2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6B577" w14:textId="77777777" w:rsidR="009307D2" w:rsidRDefault="00000000">
            <w:r>
              <w:rPr>
                <w:sz w:val="21"/>
                <w:szCs w:val="21"/>
              </w:rPr>
              <w:t>No Irish study compares SARIMA, SARIMAX, and machine learning for rental forecasting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C5E62" w14:textId="77777777" w:rsidR="009307D2" w:rsidRDefault="00000000">
            <w:r>
              <w:rPr>
                <w:sz w:val="21"/>
                <w:szCs w:val="21"/>
              </w:rPr>
              <w:t>We compare all three and justify which model best fits the Irish context with full accuracy metrics</w:t>
            </w:r>
          </w:p>
        </w:tc>
      </w:tr>
      <w:tr w:rsidR="009307D2" w14:paraId="1CCC80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1A36D0" w14:textId="77777777" w:rsidR="009307D2" w:rsidRDefault="00000000">
            <w:r>
              <w:rPr>
                <w:sz w:val="21"/>
                <w:szCs w:val="21"/>
              </w:rPr>
              <w:t>No study provides policy-ready economic shock scenarios for Irish housing</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1B58C1A" w14:textId="77777777" w:rsidR="009307D2" w:rsidRDefault="00000000">
            <w:r>
              <w:rPr>
                <w:sz w:val="21"/>
                <w:szCs w:val="21"/>
              </w:rPr>
              <w:t>We simulate real policy interventions to show policymakers the window available for action</w:t>
            </w:r>
          </w:p>
        </w:tc>
      </w:tr>
    </w:tbl>
    <w:p w14:paraId="6C633FBF" w14:textId="77777777" w:rsidR="009307D2" w:rsidRDefault="009307D2">
      <w:pPr>
        <w:spacing w:before="120"/>
      </w:pPr>
    </w:p>
    <w:p w14:paraId="3691758D" w14:textId="77777777" w:rsidR="009307D2" w:rsidRDefault="00000000">
      <w:pPr>
        <w:spacing w:before="260" w:after="100"/>
      </w:pPr>
      <w:r>
        <w:rPr>
          <w:b/>
          <w:bCs/>
          <w:color w:val="2E5FA3"/>
          <w:sz w:val="26"/>
          <w:szCs w:val="26"/>
        </w:rPr>
        <w:t>2.3 — Ready-to-Use Gap Paragraph for the Report</w:t>
      </w:r>
    </w:p>
    <w:p w14:paraId="0557831C" w14:textId="77777777" w:rsidR="009307D2" w:rsidRDefault="009307D2">
      <w:pPr>
        <w:spacing w:before="60"/>
      </w:pPr>
    </w:p>
    <w:p w14:paraId="094D7755" w14:textId="77777777" w:rsidR="009307D2" w:rsidRDefault="00000000">
      <w:pPr>
        <w:pBdr>
          <w:left w:val="single" w:sz="20" w:space="10" w:color="888888"/>
        </w:pBdr>
        <w:shd w:val="clear" w:color="auto" w:fill="F5F5F5"/>
        <w:spacing w:before="120" w:after="120"/>
        <w:ind w:left="280"/>
      </w:pPr>
      <w:r>
        <w:rPr>
          <w:color w:val="222222"/>
        </w:rPr>
        <w:t xml:space="preserve">While existing studies have examined Irish rental market trends descriptively (Corrigan et al., 2023; Lawless et al., 2018) or evaluated past policy interventions retrospectively (O'Toole et al., </w:t>
      </w:r>
      <w:r>
        <w:rPr>
          <w:color w:val="222222"/>
        </w:rPr>
        <w:lastRenderedPageBreak/>
        <w:t>2022), none has applied a multi-model forecasting framework to official RTB-ESRI quarterly data at the county level to generate forward-looking rental price predictions. International studies applying machine learning to rental markets (Boeing and Waddell, 2017; Phan, 2018) operate in different national contexts using unofficial data sources and cannot account for Ireland-specific policy instruments such as Rent Pressure Zones. This study addresses that gap by combining time-series modelling, macroeconomic drivers, and affordability threshold analysis to produce both forecasts and policy-actionable insights for the Irish rental market.</w:t>
      </w:r>
    </w:p>
    <w:p w14:paraId="7BE7A728" w14:textId="77777777" w:rsidR="009307D2" w:rsidRDefault="009307D2">
      <w:pPr>
        <w:spacing w:before="60"/>
      </w:pPr>
    </w:p>
    <w:p w14:paraId="01049AFA" w14:textId="77777777" w:rsidR="009307D2" w:rsidRDefault="00000000">
      <w:pPr>
        <w:spacing w:before="60" w:after="60"/>
      </w:pPr>
      <w:r>
        <w:rPr>
          <w:b/>
          <w:bCs/>
        </w:rPr>
        <w:t xml:space="preserve">Note to team: </w:t>
      </w:r>
      <w:r>
        <w:t>This paragraph can be used almost directly in your literature review section. Just make sure all the papers are properly cited in your reference list using Harvard format.</w:t>
      </w:r>
    </w:p>
    <w:p w14:paraId="28BA1C73" w14:textId="77777777" w:rsidR="009307D2" w:rsidRDefault="009307D2">
      <w:pPr>
        <w:pBdr>
          <w:bottom w:val="single" w:sz="6" w:space="1" w:color="2E5FA3"/>
        </w:pBdr>
        <w:spacing w:before="200" w:after="200"/>
      </w:pPr>
    </w:p>
    <w:p w14:paraId="06E22107" w14:textId="77777777" w:rsidR="009307D2" w:rsidRDefault="00000000">
      <w:r>
        <w:br w:type="page"/>
      </w:r>
    </w:p>
    <w:p w14:paraId="2C19BFD4" w14:textId="77777777" w:rsidR="009307D2" w:rsidRDefault="00000000">
      <w:pPr>
        <w:spacing w:before="360" w:after="160"/>
      </w:pPr>
      <w:r>
        <w:rPr>
          <w:b/>
          <w:bCs/>
          <w:color w:val="1F3864"/>
          <w:sz w:val="36"/>
          <w:szCs w:val="36"/>
        </w:rPr>
        <w:lastRenderedPageBreak/>
        <w:t>Section 3 — Our Project Plan (Locked)</w:t>
      </w:r>
    </w:p>
    <w:p w14:paraId="72E105A3" w14:textId="77777777" w:rsidR="009307D2" w:rsidRDefault="009307D2">
      <w:pPr>
        <w:spacing w:before="60"/>
      </w:pPr>
    </w:p>
    <w:p w14:paraId="3DA229B3" w14:textId="77777777" w:rsidR="009307D2" w:rsidRDefault="00000000">
      <w:pPr>
        <w:spacing w:before="60" w:after="60"/>
      </w:pPr>
      <w:r>
        <w:t>This is what we are building — regardless of which research question version the team selects. The plan does not change. Only the framing does.</w:t>
      </w:r>
    </w:p>
    <w:p w14:paraId="11269444" w14:textId="77777777" w:rsidR="009307D2" w:rsidRDefault="009307D2">
      <w:pPr>
        <w:spacing w:before="120"/>
      </w:pPr>
    </w:p>
    <w:p w14:paraId="1012BF2F" w14:textId="77777777" w:rsidR="009307D2" w:rsidRDefault="00000000">
      <w:pPr>
        <w:spacing w:before="260" w:after="100"/>
      </w:pPr>
      <w:r>
        <w:rPr>
          <w:b/>
          <w:bCs/>
          <w:color w:val="2E5FA3"/>
          <w:sz w:val="26"/>
          <w:szCs w:val="26"/>
        </w:rPr>
        <w:t>3.1 — Models We Will Use and Why</w:t>
      </w:r>
    </w:p>
    <w:p w14:paraId="3A3D36AE"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9307D2" w14:paraId="4209ABDE" w14:textId="77777777">
        <w:tblPrEx>
          <w:tblCellMar>
            <w:top w:w="0" w:type="dxa"/>
            <w:bottom w:w="0" w:type="dxa"/>
          </w:tblCellMar>
        </w:tblPrEx>
        <w:tc>
          <w:tcPr>
            <w:tcW w:w="1800" w:type="dxa"/>
            <w:shd w:val="clear" w:color="auto" w:fill="1F3864"/>
            <w:tcMar>
              <w:top w:w="100" w:type="dxa"/>
              <w:left w:w="140" w:type="dxa"/>
              <w:bottom w:w="100" w:type="dxa"/>
              <w:right w:w="140" w:type="dxa"/>
            </w:tcMar>
          </w:tcPr>
          <w:p w14:paraId="59678B6C" w14:textId="77777777" w:rsidR="009307D2" w:rsidRDefault="00000000">
            <w:r>
              <w:rPr>
                <w:b/>
                <w:bCs/>
                <w:color w:val="FFFFFF"/>
                <w:sz w:val="21"/>
                <w:szCs w:val="21"/>
              </w:rPr>
              <w:t>Model</w:t>
            </w:r>
          </w:p>
        </w:tc>
        <w:tc>
          <w:tcPr>
            <w:tcW w:w="2000" w:type="dxa"/>
            <w:shd w:val="clear" w:color="auto" w:fill="1F3864"/>
            <w:tcMar>
              <w:top w:w="100" w:type="dxa"/>
              <w:left w:w="140" w:type="dxa"/>
              <w:bottom w:w="100" w:type="dxa"/>
              <w:right w:w="140" w:type="dxa"/>
            </w:tcMar>
          </w:tcPr>
          <w:p w14:paraId="745CA2BF" w14:textId="77777777" w:rsidR="009307D2" w:rsidRDefault="00000000">
            <w:r>
              <w:rPr>
                <w:b/>
                <w:bCs/>
                <w:color w:val="FFFFFF"/>
                <w:sz w:val="21"/>
                <w:szCs w:val="21"/>
              </w:rPr>
              <w:t>Role</w:t>
            </w:r>
          </w:p>
        </w:tc>
        <w:tc>
          <w:tcPr>
            <w:tcW w:w="5560" w:type="dxa"/>
            <w:shd w:val="clear" w:color="auto" w:fill="1F3864"/>
            <w:tcMar>
              <w:top w:w="100" w:type="dxa"/>
              <w:left w:w="140" w:type="dxa"/>
              <w:bottom w:w="100" w:type="dxa"/>
              <w:right w:w="140" w:type="dxa"/>
            </w:tcMar>
          </w:tcPr>
          <w:p w14:paraId="20DC6489" w14:textId="77777777" w:rsidR="009307D2" w:rsidRDefault="00000000">
            <w:r>
              <w:rPr>
                <w:b/>
                <w:bCs/>
                <w:color w:val="FFFFFF"/>
                <w:sz w:val="21"/>
                <w:szCs w:val="21"/>
              </w:rPr>
              <w:t>Why It Is the Right Choice</w:t>
            </w:r>
          </w:p>
        </w:tc>
      </w:tr>
      <w:tr w:rsidR="009307D2" w14:paraId="3625F9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8134429" w14:textId="77777777" w:rsidR="009307D2" w:rsidRDefault="00000000">
            <w:r>
              <w:rPr>
                <w:sz w:val="21"/>
                <w:szCs w:val="21"/>
              </w:rPr>
              <w:t>SARIMA</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62A8A92" w14:textId="77777777" w:rsidR="009307D2" w:rsidRDefault="00000000">
            <w:r>
              <w:rPr>
                <w:sz w:val="21"/>
                <w:szCs w:val="21"/>
              </w:rPr>
              <w:t>Baseline model</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912ED4B" w14:textId="77777777" w:rsidR="009307D2" w:rsidRDefault="00000000">
            <w:r>
              <w:rPr>
                <w:sz w:val="21"/>
                <w:szCs w:val="21"/>
              </w:rPr>
              <w:t>Handles quarterly seasonality in rent data natively. Standard benchmark in time-series forecasting literature (Box et al., 2016). Needed to justify why SARIMAX is a better choice.</w:t>
            </w:r>
          </w:p>
        </w:tc>
      </w:tr>
      <w:tr w:rsidR="009307D2" w14:paraId="4F70E9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1AC96" w14:textId="77777777" w:rsidR="009307D2" w:rsidRDefault="00000000">
            <w:r>
              <w:rPr>
                <w:sz w:val="21"/>
                <w:szCs w:val="21"/>
              </w:rPr>
              <w:t>SARIMAX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6F067" w14:textId="77777777" w:rsidR="009307D2" w:rsidRDefault="00000000">
            <w:r>
              <w:rPr>
                <w:sz w:val="21"/>
                <w:szCs w:val="21"/>
              </w:rPr>
              <w:t>Primary model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16732" w14:textId="77777777" w:rsidR="009307D2" w:rsidRDefault="00000000">
            <w:r>
              <w:rPr>
                <w:sz w:val="21"/>
                <w:szCs w:val="21"/>
              </w:rPr>
              <w:t>Adds macroeconomic exogenous variables — unemployment, housing supply, property prices. Rent does not move in isolation and this model captures those external drivers. More policy-relevant than SARIMA alone.</w:t>
            </w:r>
          </w:p>
        </w:tc>
      </w:tr>
      <w:tr w:rsidR="009307D2" w14:paraId="3F390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9C6CC1F" w14:textId="77777777" w:rsidR="009307D2" w:rsidRDefault="00000000">
            <w:r>
              <w:rPr>
                <w:sz w:val="21"/>
                <w:szCs w:val="21"/>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A9188E5" w14:textId="77777777" w:rsidR="009307D2" w:rsidRDefault="00000000">
            <w:r>
              <w:rPr>
                <w:sz w:val="21"/>
                <w:szCs w:val="21"/>
              </w:rPr>
              <w:t>ML comparison</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C3D858B" w14:textId="77777777" w:rsidR="009307D2" w:rsidRDefault="00000000">
            <w:r>
              <w:rPr>
                <w:sz w:val="21"/>
                <w:szCs w:val="21"/>
              </w:rPr>
              <w:t>Captures non-linear relationships between variables. Provides feature importance rankings — tells us WHICH economic factors drive rent most. This directly answers Sub-Question 1 about key drivers.</w:t>
            </w:r>
          </w:p>
        </w:tc>
      </w:tr>
      <w:tr w:rsidR="009307D2" w14:paraId="09DFE8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2F71D7" w14:textId="77777777" w:rsidR="009307D2" w:rsidRDefault="00000000">
            <w:r>
              <w:rPr>
                <w:sz w:val="21"/>
                <w:szCs w:val="21"/>
              </w:rPr>
              <w:t>RPZ Structural Break (Chow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EF641" w14:textId="77777777" w:rsidR="009307D2" w:rsidRDefault="00000000">
            <w:r>
              <w:rPr>
                <w:sz w:val="21"/>
                <w:szCs w:val="21"/>
              </w:rPr>
              <w:t>Original contribution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A21D0" w14:textId="77777777" w:rsidR="009307D2" w:rsidRDefault="00000000">
            <w:r>
              <w:rPr>
                <w:sz w:val="21"/>
                <w:szCs w:val="21"/>
              </w:rPr>
              <w:t>A statistical test to measure whether the 2016 RPZ policy caused a significant change in rent trajectory. No prior study has applied this test to RTB quarterly time-series data. This is our unique academic contribution.</w:t>
            </w:r>
          </w:p>
        </w:tc>
      </w:tr>
    </w:tbl>
    <w:p w14:paraId="6DE0A818" w14:textId="77777777" w:rsidR="009307D2" w:rsidRDefault="009307D2">
      <w:pPr>
        <w:spacing w:before="120"/>
      </w:pPr>
    </w:p>
    <w:p w14:paraId="5E9D88CB" w14:textId="77777777" w:rsidR="009307D2" w:rsidRDefault="00000000">
      <w:pPr>
        <w:spacing w:before="260" w:after="100"/>
      </w:pPr>
      <w:r>
        <w:rPr>
          <w:b/>
          <w:bCs/>
          <w:color w:val="2E5FA3"/>
          <w:sz w:val="26"/>
          <w:szCs w:val="26"/>
        </w:rPr>
        <w:t>3.2 — Data Sources</w:t>
      </w:r>
    </w:p>
    <w:p w14:paraId="5C95B91F"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4660"/>
      </w:tblGrid>
      <w:tr w:rsidR="009307D2" w14:paraId="79E2CEDA" w14:textId="77777777">
        <w:tblPrEx>
          <w:tblCellMar>
            <w:top w:w="0" w:type="dxa"/>
            <w:bottom w:w="0" w:type="dxa"/>
          </w:tblCellMar>
        </w:tblPrEx>
        <w:tc>
          <w:tcPr>
            <w:tcW w:w="2800" w:type="dxa"/>
            <w:shd w:val="clear" w:color="auto" w:fill="1F3864"/>
            <w:tcMar>
              <w:top w:w="100" w:type="dxa"/>
              <w:left w:w="140" w:type="dxa"/>
              <w:bottom w:w="100" w:type="dxa"/>
              <w:right w:w="140" w:type="dxa"/>
            </w:tcMar>
          </w:tcPr>
          <w:p w14:paraId="76EBD13F" w14:textId="77777777" w:rsidR="009307D2" w:rsidRDefault="00000000">
            <w:r>
              <w:rPr>
                <w:b/>
                <w:bCs/>
                <w:color w:val="FFFFFF"/>
                <w:sz w:val="21"/>
                <w:szCs w:val="21"/>
              </w:rPr>
              <w:t>Dataset</w:t>
            </w:r>
          </w:p>
        </w:tc>
        <w:tc>
          <w:tcPr>
            <w:tcW w:w="1900" w:type="dxa"/>
            <w:shd w:val="clear" w:color="auto" w:fill="1F3864"/>
            <w:tcMar>
              <w:top w:w="100" w:type="dxa"/>
              <w:left w:w="140" w:type="dxa"/>
              <w:bottom w:w="100" w:type="dxa"/>
              <w:right w:w="140" w:type="dxa"/>
            </w:tcMar>
          </w:tcPr>
          <w:p w14:paraId="4FC748CF" w14:textId="77777777" w:rsidR="009307D2" w:rsidRDefault="00000000">
            <w:r>
              <w:rPr>
                <w:b/>
                <w:bCs/>
                <w:color w:val="FFFFFF"/>
                <w:sz w:val="21"/>
                <w:szCs w:val="21"/>
              </w:rPr>
              <w:t>Source</w:t>
            </w:r>
          </w:p>
        </w:tc>
        <w:tc>
          <w:tcPr>
            <w:tcW w:w="4660" w:type="dxa"/>
            <w:shd w:val="clear" w:color="auto" w:fill="1F3864"/>
            <w:tcMar>
              <w:top w:w="100" w:type="dxa"/>
              <w:left w:w="140" w:type="dxa"/>
              <w:bottom w:w="100" w:type="dxa"/>
              <w:right w:w="140" w:type="dxa"/>
            </w:tcMar>
          </w:tcPr>
          <w:p w14:paraId="2B410ED5" w14:textId="77777777" w:rsidR="009307D2" w:rsidRDefault="00000000">
            <w:r>
              <w:rPr>
                <w:b/>
                <w:bCs/>
                <w:color w:val="FFFFFF"/>
                <w:sz w:val="21"/>
                <w:szCs w:val="21"/>
              </w:rPr>
              <w:t>What It Provides</w:t>
            </w:r>
          </w:p>
        </w:tc>
      </w:tr>
      <w:tr w:rsidR="009307D2" w14:paraId="54586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D267A5C" w14:textId="77777777" w:rsidR="009307D2" w:rsidRDefault="00000000">
            <w:r>
              <w:rPr>
                <w:sz w:val="21"/>
                <w:szCs w:val="21"/>
              </w:rPr>
              <w:t>RTB Rent Index — Quarterly, Regional</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30C3F6" w14:textId="77777777" w:rsidR="009307D2" w:rsidRDefault="00000000">
            <w:r>
              <w:rPr>
                <w:sz w:val="21"/>
                <w:szCs w:val="21"/>
              </w:rPr>
              <w:t>RTB–ESRI</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1DA721C" w14:textId="77777777" w:rsidR="009307D2" w:rsidRDefault="00000000">
            <w:r>
              <w:rPr>
                <w:sz w:val="21"/>
                <w:szCs w:val="21"/>
              </w:rPr>
              <w:t>Primary time series — Dublin, Non-Dublin, GDA rents from Q3 2007 to Q2 2025</w:t>
            </w:r>
          </w:p>
        </w:tc>
      </w:tr>
      <w:tr w:rsidR="009307D2" w14:paraId="445A86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1387D" w14:textId="77777777" w:rsidR="009307D2" w:rsidRDefault="00000000">
            <w:r>
              <w:rPr>
                <w:sz w:val="21"/>
                <w:szCs w:val="21"/>
              </w:rPr>
              <w:t>RTB Average Monthly Rent by County (RIA02)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0EE9A" w14:textId="77777777" w:rsidR="009307D2" w:rsidRDefault="00000000">
            <w:r>
              <w:rPr>
                <w:sz w:val="21"/>
                <w:szCs w:val="21"/>
              </w:rPr>
              <w:t>RTB</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E3F98" w14:textId="77777777" w:rsidR="009307D2" w:rsidRDefault="00000000">
            <w:r>
              <w:rPr>
                <w:sz w:val="21"/>
                <w:szCs w:val="21"/>
              </w:rPr>
              <w:t>County-level quarterly rents for granular regional forecast analysis</w:t>
            </w:r>
          </w:p>
        </w:tc>
      </w:tr>
      <w:tr w:rsidR="009307D2" w14:paraId="0453B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FD98180" w14:textId="77777777" w:rsidR="009307D2" w:rsidRDefault="00000000">
            <w:r>
              <w:rPr>
                <w:sz w:val="21"/>
                <w:szCs w:val="21"/>
              </w:rPr>
              <w:t>Residential Property Price Index</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649E497" w14:textId="77777777" w:rsidR="009307D2" w:rsidRDefault="00000000">
            <w:r>
              <w:rPr>
                <w:sz w:val="21"/>
                <w:szCs w:val="21"/>
              </w:rPr>
              <w:t>CSO</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BD34D92" w14:textId="77777777" w:rsidR="009307D2" w:rsidRDefault="00000000">
            <w:r>
              <w:rPr>
                <w:sz w:val="21"/>
                <w:szCs w:val="21"/>
              </w:rPr>
              <w:t>Exogenous variable capturing housing purchase price pressure</w:t>
            </w:r>
          </w:p>
        </w:tc>
      </w:tr>
      <w:tr w:rsidR="009307D2" w14:paraId="2EC49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48C46" w14:textId="77777777" w:rsidR="009307D2" w:rsidRDefault="00000000">
            <w:r>
              <w:rPr>
                <w:sz w:val="21"/>
                <w:szCs w:val="21"/>
              </w:rPr>
              <w:t>Unemployment Rate — Monthly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62208" w14:textId="77777777" w:rsidR="009307D2" w:rsidRDefault="00000000">
            <w:r>
              <w:rPr>
                <w:sz w:val="21"/>
                <w:szCs w:val="21"/>
              </w:rPr>
              <w:t>CSO</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48D7D" w14:textId="77777777" w:rsidR="009307D2" w:rsidRDefault="00000000">
            <w:r>
              <w:rPr>
                <w:sz w:val="21"/>
                <w:szCs w:val="21"/>
              </w:rPr>
              <w:t>Exogenous variable — key economic driver of rental demand</w:t>
            </w:r>
          </w:p>
        </w:tc>
      </w:tr>
      <w:tr w:rsidR="009307D2" w14:paraId="1A4A76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7A91550" w14:textId="77777777" w:rsidR="009307D2" w:rsidRDefault="00000000">
            <w:r>
              <w:rPr>
                <w:sz w:val="21"/>
                <w:szCs w:val="21"/>
              </w:rPr>
              <w:t>Average Household Income (SILC)</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A36E29" w14:textId="77777777" w:rsidR="009307D2" w:rsidRDefault="00000000">
            <w:r>
              <w:rPr>
                <w:sz w:val="21"/>
                <w:szCs w:val="21"/>
              </w:rPr>
              <w:t>CSO</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4C5FB66" w14:textId="77777777" w:rsidR="009307D2" w:rsidRDefault="00000000">
            <w:r>
              <w:rPr>
                <w:sz w:val="21"/>
                <w:szCs w:val="21"/>
              </w:rPr>
              <w:t>Required to calculate the 30% affordability threshold per county</w:t>
            </w:r>
          </w:p>
        </w:tc>
      </w:tr>
      <w:tr w:rsidR="009307D2" w14:paraId="47AED9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F50C1" w14:textId="77777777" w:rsidR="009307D2" w:rsidRDefault="00000000">
            <w:r>
              <w:rPr>
                <w:sz w:val="21"/>
                <w:szCs w:val="21"/>
              </w:rPr>
              <w:lastRenderedPageBreak/>
              <w:t>Housing Completions — Quarterly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9C552" w14:textId="77777777" w:rsidR="009307D2" w:rsidRDefault="00000000">
            <w:r>
              <w:rPr>
                <w:sz w:val="21"/>
                <w:szCs w:val="21"/>
              </w:rPr>
              <w:t>DHLGH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3A005" w14:textId="77777777" w:rsidR="009307D2" w:rsidRDefault="00000000">
            <w:r>
              <w:rPr>
                <w:sz w:val="21"/>
                <w:szCs w:val="21"/>
              </w:rPr>
              <w:t>Supply-side variable for economic shock scenario modelling</w:t>
            </w:r>
          </w:p>
        </w:tc>
      </w:tr>
    </w:tbl>
    <w:p w14:paraId="19E37C6E" w14:textId="77777777" w:rsidR="009307D2" w:rsidRDefault="009307D2">
      <w:pPr>
        <w:spacing w:before="120"/>
      </w:pPr>
    </w:p>
    <w:p w14:paraId="472942DB" w14:textId="77777777" w:rsidR="009307D2" w:rsidRDefault="00000000">
      <w:pPr>
        <w:spacing w:before="260" w:after="100"/>
      </w:pPr>
      <w:r>
        <w:rPr>
          <w:b/>
          <w:bCs/>
          <w:color w:val="2E5FA3"/>
          <w:sz w:val="26"/>
          <w:szCs w:val="26"/>
        </w:rPr>
        <w:t>3.3 — Final Deliverables</w:t>
      </w:r>
    </w:p>
    <w:p w14:paraId="14F69C8F" w14:textId="77777777" w:rsidR="009307D2" w:rsidRDefault="009307D2">
      <w:pPr>
        <w:spacing w:before="60"/>
      </w:pPr>
    </w:p>
    <w:p w14:paraId="53E0DAFC" w14:textId="77777777" w:rsidR="009307D2" w:rsidRDefault="00000000">
      <w:pPr>
        <w:pStyle w:val="ListParagraph"/>
        <w:numPr>
          <w:ilvl w:val="0"/>
          <w:numId w:val="3"/>
        </w:numPr>
        <w:spacing w:before="50" w:after="50"/>
      </w:pPr>
      <w:r>
        <w:t>Model comparison table — SARIMA vs SARIMAX vs Random Forest with MAE, RMSE and MAPE scores and written justification of the best model</w:t>
      </w:r>
    </w:p>
    <w:p w14:paraId="743DE8DC" w14:textId="77777777" w:rsidR="009307D2" w:rsidRDefault="00000000">
      <w:pPr>
        <w:pStyle w:val="ListParagraph"/>
        <w:numPr>
          <w:ilvl w:val="0"/>
          <w:numId w:val="3"/>
        </w:numPr>
        <w:spacing w:before="50" w:after="50"/>
      </w:pPr>
      <w:r>
        <w:t>County-level rental price forecasts — 6 to 12 months ahead with confidence intervals</w:t>
      </w:r>
    </w:p>
    <w:p w14:paraId="061B2EAB" w14:textId="77777777" w:rsidR="009307D2" w:rsidRDefault="00000000">
      <w:pPr>
        <w:pStyle w:val="ListParagraph"/>
        <w:numPr>
          <w:ilvl w:val="0"/>
          <w:numId w:val="3"/>
        </w:numPr>
        <w:spacing w:before="50" w:after="50"/>
      </w:pPr>
      <w:r>
        <w:t>Affordability threshold timeline — which county crosses the 30% income-to-rent threshold first and when</w:t>
      </w:r>
    </w:p>
    <w:p w14:paraId="5BDA1B6E" w14:textId="77777777" w:rsidR="009307D2" w:rsidRDefault="00000000">
      <w:pPr>
        <w:pStyle w:val="ListParagraph"/>
        <w:numPr>
          <w:ilvl w:val="0"/>
          <w:numId w:val="3"/>
        </w:numPr>
        <w:spacing w:before="50" w:after="50"/>
      </w:pPr>
      <w:r>
        <w:t>RPZ policy impact analysis — statistical evidence of whether rent controls changed the rent trajectory</w:t>
      </w:r>
    </w:p>
    <w:p w14:paraId="595B2579" w14:textId="77777777" w:rsidR="009307D2" w:rsidRDefault="00000000">
      <w:pPr>
        <w:pStyle w:val="ListParagraph"/>
        <w:numPr>
          <w:ilvl w:val="0"/>
          <w:numId w:val="3"/>
        </w:numPr>
        <w:spacing w:before="50" w:after="50"/>
      </w:pPr>
      <w:r>
        <w:t>Three economic shock scenarios — with actual forecast numbers showing the impact of specific policy interventions</w:t>
      </w:r>
    </w:p>
    <w:p w14:paraId="18B97CFC" w14:textId="77777777" w:rsidR="009307D2" w:rsidRDefault="00000000">
      <w:pPr>
        <w:pStyle w:val="ListParagraph"/>
        <w:numPr>
          <w:ilvl w:val="0"/>
          <w:numId w:val="3"/>
        </w:numPr>
        <w:spacing w:before="50" w:after="50"/>
      </w:pPr>
      <w:r>
        <w:t>Power BI dashboard — Ireland county risk map, threshold alerts, and forecast trend lines</w:t>
      </w:r>
    </w:p>
    <w:p w14:paraId="1EFC83D9" w14:textId="77777777" w:rsidR="009307D2" w:rsidRDefault="00000000">
      <w:pPr>
        <w:pStyle w:val="ListParagraph"/>
        <w:numPr>
          <w:ilvl w:val="0"/>
          <w:numId w:val="3"/>
        </w:numPr>
        <w:spacing w:before="50" w:after="50"/>
      </w:pPr>
      <w:r>
        <w:t>Policy recommendations — 3 to 5 specific, evidence-backed actions for the Irish government</w:t>
      </w:r>
    </w:p>
    <w:p w14:paraId="585AED6E" w14:textId="77777777" w:rsidR="009307D2" w:rsidRDefault="009307D2">
      <w:pPr>
        <w:spacing w:before="120"/>
      </w:pPr>
    </w:p>
    <w:p w14:paraId="33536762" w14:textId="77777777" w:rsidR="009307D2" w:rsidRDefault="00000000">
      <w:pPr>
        <w:spacing w:before="260" w:after="100"/>
      </w:pPr>
      <w:r>
        <w:rPr>
          <w:b/>
          <w:bCs/>
          <w:color w:val="2E5FA3"/>
          <w:sz w:val="26"/>
          <w:szCs w:val="26"/>
        </w:rPr>
        <w:t>3.4 — 7-Day Execution Plan</w:t>
      </w:r>
    </w:p>
    <w:p w14:paraId="21B1ECF3"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5060"/>
        <w:gridCol w:w="2500"/>
      </w:tblGrid>
      <w:tr w:rsidR="009307D2" w14:paraId="4C7A1AF9" w14:textId="77777777">
        <w:tblPrEx>
          <w:tblCellMar>
            <w:top w:w="0" w:type="dxa"/>
            <w:bottom w:w="0" w:type="dxa"/>
          </w:tblCellMar>
        </w:tblPrEx>
        <w:tc>
          <w:tcPr>
            <w:tcW w:w="700" w:type="dxa"/>
            <w:shd w:val="clear" w:color="auto" w:fill="1F3864"/>
            <w:tcMar>
              <w:top w:w="100" w:type="dxa"/>
              <w:left w:w="140" w:type="dxa"/>
              <w:bottom w:w="100" w:type="dxa"/>
              <w:right w:w="140" w:type="dxa"/>
            </w:tcMar>
          </w:tcPr>
          <w:p w14:paraId="41DBF1A8" w14:textId="77777777" w:rsidR="009307D2" w:rsidRDefault="00000000">
            <w:r>
              <w:rPr>
                <w:b/>
                <w:bCs/>
                <w:color w:val="FFFFFF"/>
                <w:sz w:val="21"/>
                <w:szCs w:val="21"/>
              </w:rPr>
              <w:t>Day</w:t>
            </w:r>
          </w:p>
        </w:tc>
        <w:tc>
          <w:tcPr>
            <w:tcW w:w="1100" w:type="dxa"/>
            <w:shd w:val="clear" w:color="auto" w:fill="1F3864"/>
            <w:tcMar>
              <w:top w:w="100" w:type="dxa"/>
              <w:left w:w="140" w:type="dxa"/>
              <w:bottom w:w="100" w:type="dxa"/>
              <w:right w:w="140" w:type="dxa"/>
            </w:tcMar>
          </w:tcPr>
          <w:p w14:paraId="2DD28988" w14:textId="77777777" w:rsidR="009307D2" w:rsidRDefault="00000000">
            <w:r>
              <w:rPr>
                <w:b/>
                <w:bCs/>
                <w:color w:val="FFFFFF"/>
                <w:sz w:val="21"/>
                <w:szCs w:val="21"/>
              </w:rPr>
              <w:t>Date</w:t>
            </w:r>
          </w:p>
        </w:tc>
        <w:tc>
          <w:tcPr>
            <w:tcW w:w="5060" w:type="dxa"/>
            <w:shd w:val="clear" w:color="auto" w:fill="1F3864"/>
            <w:tcMar>
              <w:top w:w="100" w:type="dxa"/>
              <w:left w:w="140" w:type="dxa"/>
              <w:bottom w:w="100" w:type="dxa"/>
              <w:right w:w="140" w:type="dxa"/>
            </w:tcMar>
          </w:tcPr>
          <w:p w14:paraId="00F2F589" w14:textId="77777777" w:rsidR="009307D2" w:rsidRDefault="00000000">
            <w:r>
              <w:rPr>
                <w:b/>
                <w:bCs/>
                <w:color w:val="FFFFFF"/>
                <w:sz w:val="21"/>
                <w:szCs w:val="21"/>
              </w:rPr>
              <w:t>Focus</w:t>
            </w:r>
          </w:p>
        </w:tc>
        <w:tc>
          <w:tcPr>
            <w:tcW w:w="2500" w:type="dxa"/>
            <w:shd w:val="clear" w:color="auto" w:fill="1F3864"/>
            <w:tcMar>
              <w:top w:w="100" w:type="dxa"/>
              <w:left w:w="140" w:type="dxa"/>
              <w:bottom w:w="100" w:type="dxa"/>
              <w:right w:w="140" w:type="dxa"/>
            </w:tcMar>
          </w:tcPr>
          <w:p w14:paraId="03C2350E" w14:textId="2D060ACB" w:rsidR="009307D2" w:rsidRDefault="00512D3E">
            <w:r>
              <w:t>Status</w:t>
            </w:r>
          </w:p>
        </w:tc>
      </w:tr>
      <w:tr w:rsidR="009307D2" w14:paraId="6EC856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369B357" w14:textId="77777777" w:rsidR="009307D2" w:rsidRDefault="00000000">
            <w:r>
              <w:rPr>
                <w:sz w:val="21"/>
                <w:szCs w:val="21"/>
              </w:rPr>
              <w:t>Day 1</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911C98E" w14:textId="77777777" w:rsidR="009307D2" w:rsidRDefault="00000000">
            <w:r>
              <w:rPr>
                <w:sz w:val="21"/>
                <w:szCs w:val="21"/>
              </w:rPr>
              <w:t>3 Apr</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A6E01DD" w14:textId="77777777" w:rsidR="009307D2" w:rsidRDefault="00000000">
            <w:r>
              <w:rPr>
                <w:sz w:val="21"/>
                <w:szCs w:val="21"/>
              </w:rPr>
              <w:t>Vote on research question. Finalise scope. Create shared working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94A3462" w14:textId="44D07F04" w:rsidR="009307D2" w:rsidRDefault="00512D3E">
            <w:r>
              <w:rPr>
                <w:sz w:val="21"/>
                <w:szCs w:val="21"/>
              </w:rPr>
              <w:t>Done</w:t>
            </w:r>
          </w:p>
        </w:tc>
      </w:tr>
      <w:tr w:rsidR="009307D2" w14:paraId="487354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740C8" w14:textId="77777777" w:rsidR="009307D2" w:rsidRDefault="00000000">
            <w:r>
              <w:rPr>
                <w:sz w:val="21"/>
                <w:szCs w:val="21"/>
              </w:rPr>
              <w:t>Day 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CFC9F" w14:textId="77777777" w:rsidR="009307D2" w:rsidRDefault="00000000">
            <w:r>
              <w:rPr>
                <w:sz w:val="21"/>
                <w:szCs w:val="21"/>
              </w:rPr>
              <w:t>4 Apr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40993" w14:textId="77777777" w:rsidR="009307D2" w:rsidRDefault="00000000">
            <w:r>
              <w:rPr>
                <w:sz w:val="21"/>
                <w:szCs w:val="21"/>
              </w:rPr>
              <w:t>Literature review — 2 papers each, fill gap analysis table, write gap paragraph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00D83" w14:textId="19454BB7" w:rsidR="009307D2" w:rsidRDefault="00512D3E">
            <w:r>
              <w:rPr>
                <w:sz w:val="21"/>
                <w:szCs w:val="21"/>
              </w:rPr>
              <w:t>Partially Done</w:t>
            </w:r>
          </w:p>
        </w:tc>
      </w:tr>
      <w:tr w:rsidR="009307D2" w14:paraId="103F71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B8BD9A3" w14:textId="77777777" w:rsidR="009307D2" w:rsidRDefault="00000000">
            <w:r>
              <w:rPr>
                <w:sz w:val="21"/>
                <w:szCs w:val="21"/>
              </w:rPr>
              <w:t>Day 3</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F2907E7" w14:textId="77777777" w:rsidR="009307D2" w:rsidRDefault="00000000">
            <w:r>
              <w:rPr>
                <w:sz w:val="21"/>
                <w:szCs w:val="21"/>
              </w:rPr>
              <w:t>5 Apr</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420D98C" w14:textId="77777777" w:rsidR="009307D2" w:rsidRDefault="00000000">
            <w:r>
              <w:rPr>
                <w:sz w:val="21"/>
                <w:szCs w:val="21"/>
              </w:rPr>
              <w:t>Download all datasets, clean and merge, run EDA — correlation heatmap, time-series plots</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B46A546" w14:textId="717C6451" w:rsidR="009307D2" w:rsidRDefault="00512D3E">
            <w:r>
              <w:rPr>
                <w:sz w:val="21"/>
                <w:szCs w:val="21"/>
              </w:rPr>
              <w:t>Pending</w:t>
            </w:r>
          </w:p>
        </w:tc>
      </w:tr>
      <w:tr w:rsidR="009307D2" w14:paraId="067298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B89F1" w14:textId="77777777" w:rsidR="009307D2" w:rsidRDefault="00000000">
            <w:r>
              <w:rPr>
                <w:sz w:val="21"/>
                <w:szCs w:val="21"/>
              </w:rPr>
              <w:t>Day 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7C801" w14:textId="77777777" w:rsidR="009307D2" w:rsidRDefault="00000000">
            <w:r>
              <w:rPr>
                <w:sz w:val="21"/>
                <w:szCs w:val="21"/>
              </w:rPr>
              <w:t>6 Apr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0A5F4" w14:textId="77777777" w:rsidR="009307D2" w:rsidRDefault="00000000">
            <w:r>
              <w:rPr>
                <w:sz w:val="21"/>
                <w:szCs w:val="21"/>
              </w:rPr>
              <w:t>Run SARIMA, SARIMAX, Random Forest — record MAE, RMSE, MAPE for each 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B6872" w14:textId="518F9C13" w:rsidR="009307D2" w:rsidRDefault="00512D3E">
            <w:r>
              <w:rPr>
                <w:sz w:val="21"/>
                <w:szCs w:val="21"/>
              </w:rPr>
              <w:t>pending</w:t>
            </w:r>
          </w:p>
        </w:tc>
      </w:tr>
      <w:tr w:rsidR="009307D2" w14:paraId="50362B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63BE88" w14:textId="77777777" w:rsidR="009307D2" w:rsidRDefault="00000000">
            <w:r>
              <w:rPr>
                <w:sz w:val="21"/>
                <w:szCs w:val="21"/>
              </w:rPr>
              <w:t>Day 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E915016" w14:textId="77777777" w:rsidR="009307D2" w:rsidRDefault="00000000">
            <w:r>
              <w:rPr>
                <w:sz w:val="21"/>
                <w:szCs w:val="21"/>
              </w:rPr>
              <w:t>7 Apr</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7BA0606" w14:textId="77777777" w:rsidR="009307D2" w:rsidRDefault="00000000">
            <w:r>
              <w:rPr>
                <w:sz w:val="21"/>
                <w:szCs w:val="21"/>
              </w:rPr>
              <w:t>RPZ structural break test, affordability threshold timeline, 3 shock scenarios with real numbers</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6861090" w14:textId="39D1D5DC" w:rsidR="009307D2" w:rsidRDefault="00512D3E">
            <w:r>
              <w:rPr>
                <w:sz w:val="21"/>
                <w:szCs w:val="21"/>
              </w:rPr>
              <w:t>pending</w:t>
            </w:r>
          </w:p>
        </w:tc>
      </w:tr>
      <w:tr w:rsidR="009307D2" w14:paraId="19425D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DCF65" w14:textId="77777777" w:rsidR="009307D2" w:rsidRDefault="00000000">
            <w:r>
              <w:rPr>
                <w:sz w:val="21"/>
                <w:szCs w:val="21"/>
              </w:rPr>
              <w:t>Day 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A372C" w14:textId="77777777" w:rsidR="009307D2" w:rsidRDefault="00000000">
            <w:r>
              <w:rPr>
                <w:sz w:val="21"/>
                <w:szCs w:val="21"/>
              </w:rPr>
              <w:t>8 Apr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378E3" w14:textId="77777777" w:rsidR="009307D2" w:rsidRDefault="00000000">
            <w:r>
              <w:rPr>
                <w:sz w:val="21"/>
                <w:szCs w:val="21"/>
              </w:rPr>
              <w:t>Build Power BI dashboard — Ireland county map, forecast lines, risk threshold alerts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17781" w14:textId="1D759867" w:rsidR="009307D2" w:rsidRDefault="00512D3E">
            <w:r>
              <w:t>pending</w:t>
            </w:r>
          </w:p>
        </w:tc>
      </w:tr>
      <w:tr w:rsidR="009307D2" w14:paraId="2B1BD8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21AA45E" w14:textId="77777777" w:rsidR="009307D2" w:rsidRDefault="00000000">
            <w:r>
              <w:rPr>
                <w:sz w:val="21"/>
                <w:szCs w:val="21"/>
              </w:rPr>
              <w:t>Day 7</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3207E5D" w14:textId="77777777" w:rsidR="009307D2" w:rsidRDefault="00000000">
            <w:r>
              <w:rPr>
                <w:sz w:val="21"/>
                <w:szCs w:val="21"/>
              </w:rPr>
              <w:t>9 Apr</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09CBC48" w14:textId="77777777" w:rsidR="009307D2" w:rsidRDefault="00000000">
            <w:r>
              <w:rPr>
                <w:sz w:val="21"/>
                <w:szCs w:val="21"/>
              </w:rPr>
              <w:t>Full report writing — all sections. Peer review. Final check. Submit by 10 April.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7EFF1CB" w14:textId="455527A7" w:rsidR="009307D2" w:rsidRDefault="00512D3E">
            <w:r>
              <w:rPr>
                <w:sz w:val="21"/>
                <w:szCs w:val="21"/>
              </w:rPr>
              <w:t>pending</w:t>
            </w:r>
          </w:p>
        </w:tc>
      </w:tr>
    </w:tbl>
    <w:p w14:paraId="66422C76" w14:textId="77777777" w:rsidR="009307D2" w:rsidRDefault="009307D2">
      <w:pPr>
        <w:pBdr>
          <w:bottom w:val="single" w:sz="6" w:space="1" w:color="2E5FA3"/>
        </w:pBdr>
        <w:spacing w:before="200" w:after="200"/>
      </w:pPr>
    </w:p>
    <w:p w14:paraId="13B0A873" w14:textId="77777777" w:rsidR="009307D2" w:rsidRDefault="00000000">
      <w:r>
        <w:br w:type="page"/>
      </w:r>
    </w:p>
    <w:p w14:paraId="7B3B07BC" w14:textId="77777777" w:rsidR="009307D2" w:rsidRDefault="00000000">
      <w:pPr>
        <w:spacing w:before="360" w:after="160"/>
      </w:pPr>
      <w:r>
        <w:rPr>
          <w:b/>
          <w:bCs/>
          <w:color w:val="1F3864"/>
          <w:sz w:val="36"/>
          <w:szCs w:val="36"/>
        </w:rPr>
        <w:lastRenderedPageBreak/>
        <w:t>Section 4 — Our WOW Factors</w:t>
      </w:r>
    </w:p>
    <w:p w14:paraId="22A4ADD6" w14:textId="77777777" w:rsidR="009307D2" w:rsidRDefault="009307D2">
      <w:pPr>
        <w:spacing w:before="60"/>
      </w:pPr>
    </w:p>
    <w:p w14:paraId="22ADABDB" w14:textId="77777777" w:rsidR="009307D2" w:rsidRDefault="00000000">
      <w:pPr>
        <w:spacing w:before="60" w:after="60"/>
      </w:pPr>
      <w:r>
        <w:t>This is what separates our project from every other group doing a standard forecasting assignment. Standard projects predict numbers. Our project predicts consequences — and tells the government what to do about them.</w:t>
      </w:r>
    </w:p>
    <w:p w14:paraId="7BA6C47A" w14:textId="77777777" w:rsidR="009307D2" w:rsidRDefault="009307D2">
      <w:pPr>
        <w:spacing w:before="120"/>
      </w:pPr>
    </w:p>
    <w:p w14:paraId="47CC66F1" w14:textId="77777777" w:rsidR="009307D2" w:rsidRDefault="00000000">
      <w:pPr>
        <w:spacing w:before="260" w:after="100"/>
      </w:pPr>
      <w:r>
        <w:rPr>
          <w:b/>
          <w:bCs/>
          <w:color w:val="C0392B"/>
          <w:sz w:val="26"/>
          <w:szCs w:val="26"/>
        </w:rPr>
        <w:t>WOW Factor 1 — Affordability Threshold Forecasting</w:t>
      </w:r>
    </w:p>
    <w:p w14:paraId="079617AD" w14:textId="77777777" w:rsidR="009307D2" w:rsidRDefault="009307D2">
      <w:pPr>
        <w:spacing w:before="60"/>
      </w:pPr>
    </w:p>
    <w:p w14:paraId="2416FF72" w14:textId="77777777" w:rsidR="009307D2" w:rsidRDefault="00000000">
      <w:pPr>
        <w:pBdr>
          <w:left w:val="single" w:sz="20" w:space="10" w:color="C0392B"/>
        </w:pBdr>
        <w:shd w:val="clear" w:color="auto" w:fill="FDEDEC"/>
        <w:spacing w:before="120" w:after="120"/>
        <w:ind w:left="280"/>
      </w:pPr>
      <w:r>
        <w:rPr>
          <w:color w:val="7B241C"/>
        </w:rPr>
        <w:t>What it is: We will not just forecast rent prices. We will calculate WHEN each county crosses the 30% affordability threshold — the internationally accepted standard above which rent is considered unaffordable for average households.</w:t>
      </w:r>
    </w:p>
    <w:p w14:paraId="215289B7" w14:textId="77777777" w:rsidR="009307D2" w:rsidRDefault="009307D2">
      <w:pPr>
        <w:spacing w:before="80"/>
      </w:pPr>
    </w:p>
    <w:p w14:paraId="7679E806" w14:textId="77777777" w:rsidR="009307D2" w:rsidRDefault="00000000">
      <w:pPr>
        <w:spacing w:before="60" w:after="60"/>
      </w:pPr>
      <w:r>
        <w:t>How we do it: Using CSO average household income data alongside our rent forecasts, we divide projected rent by county-level average income for each forecast quarter. When this ratio exceeds 30 per cent, that county has crossed the affordability line.</w:t>
      </w:r>
    </w:p>
    <w:p w14:paraId="3DC73760" w14:textId="77777777" w:rsidR="009307D2" w:rsidRDefault="009307D2">
      <w:pPr>
        <w:spacing w:before="60"/>
      </w:pPr>
    </w:p>
    <w:p w14:paraId="1EA427D5" w14:textId="77777777" w:rsidR="009307D2" w:rsidRDefault="00000000">
      <w:pPr>
        <w:spacing w:before="60" w:after="60"/>
      </w:pPr>
      <w:r>
        <w:t>Why it is a WOW: No prior Irish study has produced a county-by-county affordability collapse timeline. Corrigan et al. (2023) described affordability challenges — we will predict exactly when and where the breaking point arrives. This is the difference between observation and prediction.</w:t>
      </w:r>
    </w:p>
    <w:p w14:paraId="1A98D492" w14:textId="77777777" w:rsidR="009307D2" w:rsidRDefault="009307D2">
      <w:pPr>
        <w:spacing w:before="60"/>
      </w:pPr>
    </w:p>
    <w:p w14:paraId="741FB5BC" w14:textId="77777777" w:rsidR="009307D2" w:rsidRDefault="00000000">
      <w:pPr>
        <w:pBdr>
          <w:left w:val="single" w:sz="20" w:space="10" w:color="F39C12"/>
        </w:pBdr>
        <w:shd w:val="clear" w:color="auto" w:fill="FFF9C4"/>
        <w:spacing w:before="120" w:after="120"/>
        <w:ind w:left="280"/>
      </w:pPr>
      <w:r>
        <w:rPr>
          <w:color w:val="7D6608"/>
        </w:rPr>
        <w:t>Example output: Dublin crossed 30% affordability in 2019 and is projected to reach 38% by Q4 2026. Wicklow will cross the threshold in Q2 2026. Leitrim remains below threshold through the full forecast horizon. This is a concrete, policy-ready finding.</w:t>
      </w:r>
    </w:p>
    <w:p w14:paraId="7F8BDF2F" w14:textId="77777777" w:rsidR="009307D2" w:rsidRDefault="009307D2">
      <w:pPr>
        <w:spacing w:before="160"/>
      </w:pPr>
    </w:p>
    <w:p w14:paraId="33FE11E0" w14:textId="77777777" w:rsidR="009307D2" w:rsidRDefault="00000000">
      <w:pPr>
        <w:spacing w:before="260" w:after="100"/>
      </w:pPr>
      <w:r>
        <w:rPr>
          <w:b/>
          <w:bCs/>
          <w:color w:val="7D3C98"/>
          <w:sz w:val="26"/>
          <w:szCs w:val="26"/>
        </w:rPr>
        <w:t>WOW Factor 2 — Rent Pressure Zone Policy Impact Analysis</w:t>
      </w:r>
    </w:p>
    <w:p w14:paraId="35008555" w14:textId="77777777" w:rsidR="009307D2" w:rsidRDefault="009307D2">
      <w:pPr>
        <w:spacing w:before="60"/>
      </w:pPr>
    </w:p>
    <w:p w14:paraId="7007E83D" w14:textId="77777777" w:rsidR="009307D2" w:rsidRDefault="00000000">
      <w:pPr>
        <w:pBdr>
          <w:left w:val="single" w:sz="20" w:space="10" w:color="7D3C98"/>
        </w:pBdr>
        <w:shd w:val="clear" w:color="auto" w:fill="F4ECF7"/>
        <w:spacing w:before="120" w:after="120"/>
        <w:ind w:left="280"/>
      </w:pPr>
      <w:r>
        <w:rPr>
          <w:color w:val="4A235A"/>
        </w:rPr>
        <w:t>What it is: Ireland introduced Rent Pressure Zones in December 2016, capping rent increases at 4% per year. In 2021 this was tightened to 2%. We will use a structural break test (Chow Test) on our time-series model to measure whether RPZ actually changed the trajectory of rental prices — or whether rents simply kept rising despite the policy.</w:t>
      </w:r>
    </w:p>
    <w:p w14:paraId="7A656E9B" w14:textId="77777777" w:rsidR="009307D2" w:rsidRDefault="009307D2">
      <w:pPr>
        <w:spacing w:before="80"/>
      </w:pPr>
    </w:p>
    <w:p w14:paraId="205139A8" w14:textId="77777777" w:rsidR="009307D2" w:rsidRDefault="00000000">
      <w:pPr>
        <w:spacing w:before="60" w:after="60"/>
      </w:pPr>
      <w:r>
        <w:rPr>
          <w:b/>
          <w:bCs/>
        </w:rPr>
        <w:t xml:space="preserve">Academic basis: </w:t>
      </w:r>
      <w:r>
        <w:t>O'Toole et al. (2022) found that RPZ produced 2 to 5 percentage points of moderation in designated areas compared to non-RPZ areas using difference-in-difference methods. However, their study ends at 2022 and does not use time-series forecasting. We extend this by testing the structural break in the quarterly time series and then forecasting whether that moderation is sustainable going forward.</w:t>
      </w:r>
    </w:p>
    <w:p w14:paraId="671D938F" w14:textId="77777777" w:rsidR="009307D2" w:rsidRDefault="009307D2">
      <w:pPr>
        <w:spacing w:before="60"/>
      </w:pPr>
    </w:p>
    <w:p w14:paraId="74B2B142" w14:textId="77777777" w:rsidR="009307D2" w:rsidRDefault="00000000">
      <w:pPr>
        <w:pBdr>
          <w:left w:val="single" w:sz="20" w:space="10" w:color="7D3C98"/>
        </w:pBdr>
        <w:shd w:val="clear" w:color="auto" w:fill="F4ECF7"/>
        <w:spacing w:before="120" w:after="120"/>
        <w:ind w:left="280"/>
      </w:pPr>
      <w:r>
        <w:rPr>
          <w:color w:val="4A235A"/>
        </w:rPr>
        <w:t>Why it is a WOW: We are the first study to apply a structural break test to RTB quarterly time-series data specifically to evaluate RPZ effectiveness AND forecast whether rents will continue rising despite controls. This is original analysis — not standard textbook work.</w:t>
      </w:r>
    </w:p>
    <w:p w14:paraId="064728CA" w14:textId="77777777" w:rsidR="009307D2" w:rsidRDefault="009307D2">
      <w:pPr>
        <w:spacing w:before="160"/>
      </w:pPr>
    </w:p>
    <w:p w14:paraId="72F491F0" w14:textId="77777777" w:rsidR="009307D2" w:rsidRDefault="00000000">
      <w:pPr>
        <w:spacing w:before="260" w:after="100"/>
      </w:pPr>
      <w:r>
        <w:rPr>
          <w:b/>
          <w:bCs/>
          <w:color w:val="117A65"/>
          <w:sz w:val="26"/>
          <w:szCs w:val="26"/>
        </w:rPr>
        <w:t>WOW Factor 3 — Economic Shock Scenario Modelling</w:t>
      </w:r>
    </w:p>
    <w:p w14:paraId="2B8FAC1C" w14:textId="77777777" w:rsidR="009307D2" w:rsidRDefault="009307D2">
      <w:pPr>
        <w:spacing w:before="60"/>
      </w:pPr>
    </w:p>
    <w:p w14:paraId="41CA74AE" w14:textId="77777777" w:rsidR="009307D2" w:rsidRDefault="00000000">
      <w:pPr>
        <w:pBdr>
          <w:left w:val="single" w:sz="20" w:space="10" w:color="117A65"/>
        </w:pBdr>
        <w:shd w:val="clear" w:color="auto" w:fill="E8F8F5"/>
        <w:spacing w:before="120" w:after="120"/>
        <w:ind w:left="280"/>
      </w:pPr>
      <w:r>
        <w:rPr>
          <w:color w:val="0A4A3A"/>
        </w:rPr>
        <w:t>What it is: Instead of generic optimistic, baseline, and pessimistic scenarios, we simulate three real, named policy shock scenarios using our SARIMAX model — showing the government exactly what each policy lever does to future rent levels.</w:t>
      </w:r>
    </w:p>
    <w:p w14:paraId="0EEB0E22" w14:textId="77777777" w:rsidR="009307D2" w:rsidRDefault="009307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9307D2" w14:paraId="3FB8A5EC" w14:textId="77777777">
        <w:tblPrEx>
          <w:tblCellMar>
            <w:top w:w="0" w:type="dxa"/>
            <w:bottom w:w="0" w:type="dxa"/>
          </w:tblCellMar>
        </w:tblPrEx>
        <w:tc>
          <w:tcPr>
            <w:tcW w:w="1800" w:type="dxa"/>
            <w:shd w:val="clear" w:color="auto" w:fill="1F3864"/>
            <w:tcMar>
              <w:top w:w="100" w:type="dxa"/>
              <w:left w:w="140" w:type="dxa"/>
              <w:bottom w:w="100" w:type="dxa"/>
              <w:right w:w="140" w:type="dxa"/>
            </w:tcMar>
          </w:tcPr>
          <w:p w14:paraId="6A89D670" w14:textId="77777777" w:rsidR="009307D2" w:rsidRDefault="00000000">
            <w:r>
              <w:rPr>
                <w:b/>
                <w:bCs/>
                <w:color w:val="FFFFFF"/>
                <w:sz w:val="21"/>
                <w:szCs w:val="21"/>
              </w:rPr>
              <w:t>Scenario</w:t>
            </w:r>
          </w:p>
        </w:tc>
        <w:tc>
          <w:tcPr>
            <w:tcW w:w="4000" w:type="dxa"/>
            <w:shd w:val="clear" w:color="auto" w:fill="1F3864"/>
            <w:tcMar>
              <w:top w:w="100" w:type="dxa"/>
              <w:left w:w="140" w:type="dxa"/>
              <w:bottom w:w="100" w:type="dxa"/>
              <w:right w:w="140" w:type="dxa"/>
            </w:tcMar>
          </w:tcPr>
          <w:p w14:paraId="44F46758" w14:textId="77777777" w:rsidR="009307D2" w:rsidRDefault="00000000">
            <w:r>
              <w:rPr>
                <w:b/>
                <w:bCs/>
                <w:color w:val="FFFFFF"/>
                <w:sz w:val="21"/>
                <w:szCs w:val="21"/>
              </w:rPr>
              <w:t>What We Simulate</w:t>
            </w:r>
          </w:p>
        </w:tc>
        <w:tc>
          <w:tcPr>
            <w:tcW w:w="3560" w:type="dxa"/>
            <w:shd w:val="clear" w:color="auto" w:fill="1F3864"/>
            <w:tcMar>
              <w:top w:w="100" w:type="dxa"/>
              <w:left w:w="140" w:type="dxa"/>
              <w:bottom w:w="100" w:type="dxa"/>
              <w:right w:w="140" w:type="dxa"/>
            </w:tcMar>
          </w:tcPr>
          <w:p w14:paraId="6F2D80F2" w14:textId="77777777" w:rsidR="009307D2" w:rsidRDefault="00000000">
            <w:r>
              <w:rPr>
                <w:b/>
                <w:bCs/>
                <w:color w:val="FFFFFF"/>
                <w:sz w:val="21"/>
                <w:szCs w:val="21"/>
              </w:rPr>
              <w:t>Policy Relevance</w:t>
            </w:r>
          </w:p>
        </w:tc>
      </w:tr>
      <w:tr w:rsidR="009307D2" w14:paraId="70A173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9C218B1" w14:textId="77777777" w:rsidR="009307D2" w:rsidRDefault="00000000">
            <w:r>
              <w:rPr>
                <w:sz w:val="21"/>
                <w:szCs w:val="21"/>
              </w:rPr>
              <w:t>Scenario A — Status Quo</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39FC7F" w14:textId="77777777" w:rsidR="009307D2" w:rsidRDefault="00000000">
            <w:r>
              <w:rPr>
                <w:sz w:val="21"/>
                <w:szCs w:val="21"/>
              </w:rPr>
              <w:t>Rents continue rising at current trajectory with no new policy intervention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983E79" w14:textId="77777777" w:rsidR="009307D2" w:rsidRDefault="00000000">
            <w:r>
              <w:rPr>
                <w:sz w:val="21"/>
                <w:szCs w:val="21"/>
              </w:rPr>
              <w:t>Baseline — shows what happens if the government does nothing new</w:t>
            </w:r>
          </w:p>
        </w:tc>
      </w:tr>
      <w:tr w:rsidR="009307D2" w14:paraId="4B30F4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8397B" w14:textId="77777777" w:rsidR="009307D2" w:rsidRDefault="00000000">
            <w:r>
              <w:rPr>
                <w:sz w:val="21"/>
                <w:szCs w:val="21"/>
              </w:rPr>
              <w:t>Scenario B — Supply Shock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21102" w14:textId="77777777" w:rsidR="009307D2" w:rsidRDefault="00000000">
            <w:r>
              <w:rPr>
                <w:sz w:val="21"/>
                <w:szCs w:val="21"/>
              </w:rPr>
              <w:t>30,000 new housing completions per year by 2026 (current government target)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32DCD" w14:textId="77777777" w:rsidR="009307D2" w:rsidRDefault="00000000">
            <w:r>
              <w:rPr>
                <w:sz w:val="21"/>
                <w:szCs w:val="21"/>
              </w:rPr>
              <w:t>Tests whether building targets are actually sufficient to cool rent growth</w:t>
            </w:r>
          </w:p>
        </w:tc>
      </w:tr>
      <w:tr w:rsidR="009307D2" w14:paraId="733915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021BDD4" w14:textId="77777777" w:rsidR="009307D2" w:rsidRDefault="00000000">
            <w:r>
              <w:rPr>
                <w:sz w:val="21"/>
                <w:szCs w:val="21"/>
              </w:rPr>
              <w:t>Scenario C — Rate Cut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97C3F3E" w14:textId="77777777" w:rsidR="009307D2" w:rsidRDefault="00000000">
            <w:r>
              <w:rPr>
                <w:sz w:val="21"/>
                <w:szCs w:val="21"/>
              </w:rPr>
              <w:t>ECB cuts interest rates by 1.5% by end of 2025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E92DD1A" w14:textId="77777777" w:rsidR="009307D2" w:rsidRDefault="00000000">
            <w:r>
              <w:rPr>
                <w:sz w:val="21"/>
                <w:szCs w:val="21"/>
              </w:rPr>
              <w:t>Tests whether monetary policy relief flows through to the rental market</w:t>
            </w:r>
          </w:p>
        </w:tc>
      </w:tr>
    </w:tbl>
    <w:p w14:paraId="6FF6B38F" w14:textId="77777777" w:rsidR="009307D2" w:rsidRDefault="009307D2">
      <w:pPr>
        <w:spacing w:before="80"/>
      </w:pPr>
    </w:p>
    <w:p w14:paraId="66535621" w14:textId="77777777" w:rsidR="009307D2" w:rsidRDefault="00000000">
      <w:pPr>
        <w:pBdr>
          <w:left w:val="single" w:sz="20" w:space="10" w:color="117A65"/>
        </w:pBdr>
        <w:shd w:val="clear" w:color="auto" w:fill="E8F8F5"/>
        <w:spacing w:before="120" w:after="120"/>
        <w:ind w:left="280"/>
      </w:pPr>
      <w:r>
        <w:rPr>
          <w:color w:val="0A4A3A"/>
        </w:rPr>
        <w:t>Why it is a WOW: Real policy scenarios with real forecast numbers give government officials something they can actually use. Rudy explicitly asked in class why forecasting matters and what value it adds. These three scenarios are the direct answer to that question.</w:t>
      </w:r>
    </w:p>
    <w:p w14:paraId="261C2075" w14:textId="77777777" w:rsidR="009307D2" w:rsidRDefault="009307D2">
      <w:pPr>
        <w:spacing w:before="160"/>
      </w:pPr>
    </w:p>
    <w:p w14:paraId="2015F4A2" w14:textId="77777777" w:rsidR="009307D2" w:rsidRDefault="00000000">
      <w:pPr>
        <w:spacing w:before="260" w:after="100"/>
      </w:pPr>
      <w:r>
        <w:rPr>
          <w:b/>
          <w:bCs/>
          <w:color w:val="1F3864"/>
          <w:sz w:val="26"/>
          <w:szCs w:val="26"/>
        </w:rPr>
        <w:t>WOW Factor 4 — Power BI Early Warning Dashboard</w:t>
      </w:r>
    </w:p>
    <w:p w14:paraId="0556B350" w14:textId="77777777" w:rsidR="009307D2" w:rsidRDefault="009307D2">
      <w:pPr>
        <w:spacing w:before="60"/>
      </w:pPr>
    </w:p>
    <w:p w14:paraId="6A29A9F9" w14:textId="77777777" w:rsidR="009307D2" w:rsidRDefault="00000000">
      <w:pPr>
        <w:pBdr>
          <w:left w:val="single" w:sz="20" w:space="10" w:color="2E5FA3"/>
        </w:pBdr>
        <w:shd w:val="clear" w:color="auto" w:fill="EBF5FB"/>
        <w:spacing w:before="120" w:after="120"/>
        <w:ind w:left="280"/>
      </w:pPr>
      <w:r>
        <w:rPr>
          <w:color w:val="0A2A4A"/>
        </w:rPr>
        <w:t>What it is: Our Power BI dashboard will go beyond standard trend charts. It will include an Ireland county risk map colour-coded by affordability risk level, with threshold alert indicators that flag when any county is approaching the 30% line.</w:t>
      </w:r>
    </w:p>
    <w:p w14:paraId="5B6AB236" w14:textId="77777777" w:rsidR="009307D2" w:rsidRDefault="009307D2">
      <w:pPr>
        <w:spacing w:before="80"/>
      </w:pPr>
    </w:p>
    <w:p w14:paraId="2743AC04" w14:textId="77777777" w:rsidR="009307D2" w:rsidRDefault="00000000">
      <w:pPr>
        <w:spacing w:before="60" w:after="60"/>
      </w:pPr>
      <w:r>
        <w:t>Dashboard components:</w:t>
      </w:r>
    </w:p>
    <w:p w14:paraId="6A2AEC98" w14:textId="77777777" w:rsidR="009307D2" w:rsidRDefault="00000000">
      <w:pPr>
        <w:pStyle w:val="ListParagraph"/>
        <w:numPr>
          <w:ilvl w:val="0"/>
          <w:numId w:val="2"/>
        </w:numPr>
        <w:spacing w:before="50" w:after="50"/>
      </w:pPr>
      <w:r>
        <w:t>Ireland county map — Green below 25%, Amber 25 to 30%, Red above 30% affordability ratio</w:t>
      </w:r>
    </w:p>
    <w:p w14:paraId="0BC36694" w14:textId="77777777" w:rsidR="009307D2" w:rsidRDefault="00000000">
      <w:pPr>
        <w:pStyle w:val="ListParagraph"/>
        <w:numPr>
          <w:ilvl w:val="0"/>
          <w:numId w:val="2"/>
        </w:numPr>
        <w:spacing w:before="50" w:after="50"/>
      </w:pPr>
      <w:r>
        <w:t>National and regional forecast lines with scenario toggle — Status Quo, Supply Shock, Rate Cut</w:t>
      </w:r>
    </w:p>
    <w:p w14:paraId="6242E9B2" w14:textId="77777777" w:rsidR="009307D2" w:rsidRDefault="00000000">
      <w:pPr>
        <w:pStyle w:val="ListParagraph"/>
        <w:numPr>
          <w:ilvl w:val="0"/>
          <w:numId w:val="2"/>
        </w:numPr>
        <w:spacing w:before="50" w:after="50"/>
      </w:pPr>
      <w:r>
        <w:t>County drill-down — click any county to see historical rent, current level, forecast, and affordability timeline</w:t>
      </w:r>
    </w:p>
    <w:p w14:paraId="3C0C38C4" w14:textId="77777777" w:rsidR="009307D2" w:rsidRDefault="00000000">
      <w:pPr>
        <w:pStyle w:val="ListParagraph"/>
        <w:numPr>
          <w:ilvl w:val="0"/>
          <w:numId w:val="2"/>
        </w:numPr>
        <w:spacing w:before="50" w:after="50"/>
      </w:pPr>
      <w:r>
        <w:t>Early warning panel — lists counties approaching the threshold with estimated breach quarter</w:t>
      </w:r>
    </w:p>
    <w:p w14:paraId="3BEA8EA5" w14:textId="77777777" w:rsidR="009307D2" w:rsidRDefault="00000000">
      <w:pPr>
        <w:pStyle w:val="ListParagraph"/>
        <w:numPr>
          <w:ilvl w:val="0"/>
          <w:numId w:val="2"/>
        </w:numPr>
        <w:spacing w:before="50" w:after="50"/>
      </w:pPr>
      <w:r>
        <w:t>Model accuracy summary — MAE, RMSE, MAPE for all three models in one clear view</w:t>
      </w:r>
    </w:p>
    <w:p w14:paraId="306F28CF" w14:textId="77777777" w:rsidR="009307D2" w:rsidRDefault="009307D2">
      <w:pPr>
        <w:spacing w:before="80"/>
      </w:pPr>
    </w:p>
    <w:p w14:paraId="337D5103" w14:textId="77777777" w:rsidR="009307D2" w:rsidRDefault="00000000">
      <w:pPr>
        <w:pBdr>
          <w:left w:val="single" w:sz="20" w:space="10" w:color="2E5FA3"/>
        </w:pBdr>
        <w:shd w:val="clear" w:color="auto" w:fill="EBF5FB"/>
        <w:spacing w:before="120" w:after="120"/>
        <w:ind w:left="280"/>
      </w:pPr>
      <w:r>
        <w:rPr>
          <w:color w:val="0A2A4A"/>
        </w:rPr>
        <w:lastRenderedPageBreak/>
        <w:t>Why it is a WOW: Vamsi specifically asked for a decision-support tool, not just analysis. This dashboard IS that tool. A government housing official can open it, see which counties need urgent intervention, and act — without reading a 40-page report.</w:t>
      </w:r>
    </w:p>
    <w:p w14:paraId="6999A253" w14:textId="77777777" w:rsidR="009307D2" w:rsidRDefault="009307D2">
      <w:pPr>
        <w:pBdr>
          <w:bottom w:val="single" w:sz="6" w:space="1" w:color="2E5FA3"/>
        </w:pBdr>
        <w:spacing w:before="200" w:after="200"/>
      </w:pPr>
    </w:p>
    <w:p w14:paraId="45F539DF" w14:textId="77777777" w:rsidR="009307D2" w:rsidRDefault="00000000">
      <w:pPr>
        <w:spacing w:before="360" w:after="160"/>
      </w:pPr>
      <w:r>
        <w:rPr>
          <w:b/>
          <w:bCs/>
          <w:color w:val="1F3864"/>
          <w:sz w:val="36"/>
          <w:szCs w:val="36"/>
        </w:rPr>
        <w:t>Section 5 — How This Plan Addresses Every Teacher Complaint</w:t>
      </w:r>
    </w:p>
    <w:p w14:paraId="6BB9F32E" w14:textId="77777777" w:rsidR="009307D2" w:rsidRDefault="009307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9307D2" w14:paraId="1F4B89BA" w14:textId="77777777">
        <w:tblPrEx>
          <w:tblCellMar>
            <w:top w:w="0" w:type="dxa"/>
            <w:bottom w:w="0" w:type="dxa"/>
          </w:tblCellMar>
        </w:tblPrEx>
        <w:tc>
          <w:tcPr>
            <w:tcW w:w="1600" w:type="dxa"/>
            <w:shd w:val="clear" w:color="auto" w:fill="1F3864"/>
            <w:tcMar>
              <w:top w:w="100" w:type="dxa"/>
              <w:left w:w="140" w:type="dxa"/>
              <w:bottom w:w="100" w:type="dxa"/>
              <w:right w:w="140" w:type="dxa"/>
            </w:tcMar>
          </w:tcPr>
          <w:p w14:paraId="57B31D60" w14:textId="77777777" w:rsidR="009307D2" w:rsidRDefault="00000000">
            <w:r>
              <w:rPr>
                <w:b/>
                <w:bCs/>
                <w:color w:val="FFFFFF"/>
                <w:sz w:val="21"/>
                <w:szCs w:val="21"/>
              </w:rPr>
              <w:t>Teacher</w:t>
            </w:r>
          </w:p>
        </w:tc>
        <w:tc>
          <w:tcPr>
            <w:tcW w:w="3400" w:type="dxa"/>
            <w:shd w:val="clear" w:color="auto" w:fill="1F3864"/>
            <w:tcMar>
              <w:top w:w="100" w:type="dxa"/>
              <w:left w:w="140" w:type="dxa"/>
              <w:bottom w:w="100" w:type="dxa"/>
              <w:right w:w="140" w:type="dxa"/>
            </w:tcMar>
          </w:tcPr>
          <w:p w14:paraId="0D7ADAD9" w14:textId="77777777" w:rsidR="009307D2" w:rsidRDefault="00000000">
            <w:r>
              <w:rPr>
                <w:b/>
                <w:bCs/>
                <w:color w:val="FFFFFF"/>
                <w:sz w:val="21"/>
                <w:szCs w:val="21"/>
              </w:rPr>
              <w:t>What They Said</w:t>
            </w:r>
          </w:p>
        </w:tc>
        <w:tc>
          <w:tcPr>
            <w:tcW w:w="4360" w:type="dxa"/>
            <w:shd w:val="clear" w:color="auto" w:fill="1F3864"/>
            <w:tcMar>
              <w:top w:w="100" w:type="dxa"/>
              <w:left w:w="140" w:type="dxa"/>
              <w:bottom w:w="100" w:type="dxa"/>
              <w:right w:w="140" w:type="dxa"/>
            </w:tcMar>
          </w:tcPr>
          <w:p w14:paraId="3D2A6AAF" w14:textId="77777777" w:rsidR="009307D2" w:rsidRDefault="00000000">
            <w:r>
              <w:rPr>
                <w:b/>
                <w:bCs/>
                <w:color w:val="FFFFFF"/>
                <w:sz w:val="21"/>
                <w:szCs w:val="21"/>
              </w:rPr>
              <w:t>How Our Plan Fixes It</w:t>
            </w:r>
          </w:p>
        </w:tc>
      </w:tr>
      <w:tr w:rsidR="009307D2" w14:paraId="5E63B2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EF695B" w14:textId="77777777" w:rsidR="009307D2" w:rsidRDefault="00000000">
            <w:r>
              <w:rPr>
                <w:sz w:val="21"/>
                <w:szCs w:val="21"/>
              </w:rPr>
              <w:t>Rosati (ID1)</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EA99829" w14:textId="77777777" w:rsidR="009307D2" w:rsidRDefault="00000000">
            <w:r>
              <w:rPr>
                <w:sz w:val="21"/>
                <w:szCs w:val="21"/>
              </w:rPr>
              <w:t>Research question unclear. Abstract shows no link to existing literature.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3F170B" w14:textId="77777777" w:rsidR="009307D2" w:rsidRDefault="00000000">
            <w:r>
              <w:rPr>
                <w:sz w:val="21"/>
                <w:szCs w:val="21"/>
              </w:rPr>
              <w:t>Three specific answerable research questions with sub-questions in Section 1. Full gap analysis with 7 cited papers in Section 2.</w:t>
            </w:r>
          </w:p>
        </w:tc>
      </w:tr>
      <w:tr w:rsidR="009307D2" w14:paraId="51E323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A5ABC" w14:textId="77777777" w:rsidR="009307D2" w:rsidRDefault="00000000">
            <w:r>
              <w:rPr>
                <w:sz w:val="21"/>
                <w:szCs w:val="21"/>
              </w:rPr>
              <w:t>Vamsi — Written (ID2)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7A781" w14:textId="77777777" w:rsidR="009307D2" w:rsidRDefault="00000000">
            <w:r>
              <w:rPr>
                <w:sz w:val="21"/>
                <w:szCs w:val="21"/>
              </w:rPr>
              <w:t>Literature link remains weak. Data sources may not be sufficient.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1C519" w14:textId="77777777" w:rsidR="009307D2" w:rsidRDefault="00000000">
            <w:r>
              <w:rPr>
                <w:sz w:val="21"/>
                <w:szCs w:val="21"/>
              </w:rPr>
              <w:t>Ready-to-use gap paragraph with in-text citations. Six data sources including CSO SILC income data, DHLGH completions.</w:t>
            </w:r>
          </w:p>
        </w:tc>
      </w:tr>
      <w:tr w:rsidR="009307D2" w14:paraId="0760D1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1DA9F46" w14:textId="77777777" w:rsidR="009307D2" w:rsidRDefault="00000000">
            <w:r>
              <w:rPr>
                <w:sz w:val="21"/>
                <w:szCs w:val="21"/>
              </w:rPr>
              <w:t>Vamsi — In Class</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B1CF45C" w14:textId="77777777" w:rsidR="009307D2" w:rsidRDefault="00000000">
            <w:r>
              <w:rPr>
                <w:sz w:val="21"/>
                <w:szCs w:val="21"/>
              </w:rPr>
              <w:t>It is not about building a model. Predict results and justify why this model suits the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0D71C2D" w14:textId="77777777" w:rsidR="009307D2" w:rsidRDefault="00000000">
            <w:r>
              <w:rPr>
                <w:sz w:val="21"/>
                <w:szCs w:val="21"/>
              </w:rPr>
              <w:t>Model comparison table with MAE, RMSE, MAPE. Written justification for each model. Best model selected with academic reasoning.</w:t>
            </w:r>
          </w:p>
        </w:tc>
      </w:tr>
      <w:tr w:rsidR="009307D2" w14:paraId="45242B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D206D" w14:textId="77777777" w:rsidR="009307D2" w:rsidRDefault="00000000">
            <w:r>
              <w:rPr>
                <w:sz w:val="21"/>
                <w:szCs w:val="21"/>
              </w:rPr>
              <w:t>Vamsi — In Class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1B331" w14:textId="77777777" w:rsidR="009307D2" w:rsidRDefault="00000000">
            <w:r>
              <w:rPr>
                <w:sz w:val="21"/>
                <w:szCs w:val="21"/>
              </w:rPr>
              <w:t>Business value and how government can take predictive action.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41E1E" w14:textId="77777777" w:rsidR="009307D2" w:rsidRDefault="00000000">
            <w:r>
              <w:rPr>
                <w:sz w:val="21"/>
                <w:szCs w:val="21"/>
              </w:rPr>
              <w:t>Three named policy shock scenarios. Affordability collapse timeline per county. Power BI dashboard with early warning system.</w:t>
            </w:r>
          </w:p>
        </w:tc>
      </w:tr>
      <w:tr w:rsidR="009307D2" w14:paraId="470C4F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93AC59" w14:textId="5AAA1BB4" w:rsidR="009307D2" w:rsidRDefault="00000000">
            <w:r>
              <w:rPr>
                <w:sz w:val="21"/>
                <w:szCs w:val="21"/>
              </w:rPr>
              <w:t xml:space="preserve">Rudy </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478F07" w14:textId="77777777" w:rsidR="009307D2" w:rsidRDefault="00000000">
            <w:r>
              <w:rPr>
                <w:sz w:val="21"/>
                <w:szCs w:val="21"/>
              </w:rPr>
              <w:t>Present data analytically not descriptively. Add value — explain why forecasting is important.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46B7F7" w14:textId="77777777" w:rsidR="009307D2" w:rsidRDefault="00000000">
            <w:r>
              <w:rPr>
                <w:sz w:val="21"/>
                <w:szCs w:val="21"/>
              </w:rPr>
              <w:t>RPZ structural break test. County affordability timelines. Shock scenarios that directly answer why this forecast matters for housing policy.</w:t>
            </w:r>
          </w:p>
        </w:tc>
      </w:tr>
    </w:tbl>
    <w:p w14:paraId="3E641995" w14:textId="77777777" w:rsidR="009307D2" w:rsidRDefault="009307D2">
      <w:pPr>
        <w:spacing w:before="160"/>
      </w:pPr>
    </w:p>
    <w:p w14:paraId="74211DED" w14:textId="54C267A9" w:rsidR="009307D2" w:rsidRDefault="009307D2" w:rsidP="00F83870">
      <w:pPr>
        <w:spacing w:before="80" w:after="80"/>
      </w:pPr>
    </w:p>
    <w:sectPr w:rsidR="009307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EF4"/>
    <w:multiLevelType w:val="hybridMultilevel"/>
    <w:tmpl w:val="5C909046"/>
    <w:lvl w:ilvl="0" w:tplc="41223E38">
      <w:start w:val="1"/>
      <w:numFmt w:val="decimal"/>
      <w:lvlText w:val="%1."/>
      <w:lvlJc w:val="left"/>
      <w:pPr>
        <w:ind w:left="720" w:hanging="360"/>
      </w:pPr>
    </w:lvl>
    <w:lvl w:ilvl="1" w:tplc="78E219D4">
      <w:numFmt w:val="decimal"/>
      <w:lvlText w:val=""/>
      <w:lvlJc w:val="left"/>
    </w:lvl>
    <w:lvl w:ilvl="2" w:tplc="36D84B88">
      <w:numFmt w:val="decimal"/>
      <w:lvlText w:val=""/>
      <w:lvlJc w:val="left"/>
    </w:lvl>
    <w:lvl w:ilvl="3" w:tplc="09B82D12">
      <w:numFmt w:val="decimal"/>
      <w:lvlText w:val=""/>
      <w:lvlJc w:val="left"/>
    </w:lvl>
    <w:lvl w:ilvl="4" w:tplc="98F6C114">
      <w:numFmt w:val="decimal"/>
      <w:lvlText w:val=""/>
      <w:lvlJc w:val="left"/>
    </w:lvl>
    <w:lvl w:ilvl="5" w:tplc="BD30631C">
      <w:numFmt w:val="decimal"/>
      <w:lvlText w:val=""/>
      <w:lvlJc w:val="left"/>
    </w:lvl>
    <w:lvl w:ilvl="6" w:tplc="A03462CA">
      <w:numFmt w:val="decimal"/>
      <w:lvlText w:val=""/>
      <w:lvlJc w:val="left"/>
    </w:lvl>
    <w:lvl w:ilvl="7" w:tplc="4FD61EB8">
      <w:numFmt w:val="decimal"/>
      <w:lvlText w:val=""/>
      <w:lvlJc w:val="left"/>
    </w:lvl>
    <w:lvl w:ilvl="8" w:tplc="D3225784">
      <w:numFmt w:val="decimal"/>
      <w:lvlText w:val=""/>
      <w:lvlJc w:val="left"/>
    </w:lvl>
  </w:abstractNum>
  <w:abstractNum w:abstractNumId="1" w15:restartNumberingAfterBreak="0">
    <w:nsid w:val="235A613E"/>
    <w:multiLevelType w:val="hybridMultilevel"/>
    <w:tmpl w:val="BEB8451A"/>
    <w:lvl w:ilvl="0" w:tplc="5BDC6AB2">
      <w:start w:val="1"/>
      <w:numFmt w:val="bullet"/>
      <w:lvlText w:val="•"/>
      <w:lvlJc w:val="left"/>
      <w:pPr>
        <w:ind w:left="720" w:hanging="360"/>
      </w:pPr>
    </w:lvl>
    <w:lvl w:ilvl="1" w:tplc="917839E0">
      <w:numFmt w:val="decimal"/>
      <w:lvlText w:val=""/>
      <w:lvlJc w:val="left"/>
    </w:lvl>
    <w:lvl w:ilvl="2" w:tplc="B9301B90">
      <w:numFmt w:val="decimal"/>
      <w:lvlText w:val=""/>
      <w:lvlJc w:val="left"/>
    </w:lvl>
    <w:lvl w:ilvl="3" w:tplc="A6827ADE">
      <w:numFmt w:val="decimal"/>
      <w:lvlText w:val=""/>
      <w:lvlJc w:val="left"/>
    </w:lvl>
    <w:lvl w:ilvl="4" w:tplc="14E87DBA">
      <w:numFmt w:val="decimal"/>
      <w:lvlText w:val=""/>
      <w:lvlJc w:val="left"/>
    </w:lvl>
    <w:lvl w:ilvl="5" w:tplc="A692B928">
      <w:numFmt w:val="decimal"/>
      <w:lvlText w:val=""/>
      <w:lvlJc w:val="left"/>
    </w:lvl>
    <w:lvl w:ilvl="6" w:tplc="D8140F28">
      <w:numFmt w:val="decimal"/>
      <w:lvlText w:val=""/>
      <w:lvlJc w:val="left"/>
    </w:lvl>
    <w:lvl w:ilvl="7" w:tplc="B28AF498">
      <w:numFmt w:val="decimal"/>
      <w:lvlText w:val=""/>
      <w:lvlJc w:val="left"/>
    </w:lvl>
    <w:lvl w:ilvl="8" w:tplc="19D2D95E">
      <w:numFmt w:val="decimal"/>
      <w:lvlText w:val=""/>
      <w:lvlJc w:val="left"/>
    </w:lvl>
  </w:abstractNum>
  <w:abstractNum w:abstractNumId="2" w15:restartNumberingAfterBreak="0">
    <w:nsid w:val="5BC73DB9"/>
    <w:multiLevelType w:val="hybridMultilevel"/>
    <w:tmpl w:val="32EAA988"/>
    <w:lvl w:ilvl="0" w:tplc="40464604">
      <w:start w:val="1"/>
      <w:numFmt w:val="bullet"/>
      <w:lvlText w:val="●"/>
      <w:lvlJc w:val="left"/>
      <w:pPr>
        <w:ind w:left="720" w:hanging="360"/>
      </w:pPr>
    </w:lvl>
    <w:lvl w:ilvl="1" w:tplc="75165D9E">
      <w:start w:val="1"/>
      <w:numFmt w:val="bullet"/>
      <w:lvlText w:val="○"/>
      <w:lvlJc w:val="left"/>
      <w:pPr>
        <w:ind w:left="1440" w:hanging="360"/>
      </w:pPr>
    </w:lvl>
    <w:lvl w:ilvl="2" w:tplc="08B2CF10">
      <w:start w:val="1"/>
      <w:numFmt w:val="bullet"/>
      <w:lvlText w:val="■"/>
      <w:lvlJc w:val="left"/>
      <w:pPr>
        <w:ind w:left="2160" w:hanging="360"/>
      </w:pPr>
    </w:lvl>
    <w:lvl w:ilvl="3" w:tplc="58A63BD2">
      <w:start w:val="1"/>
      <w:numFmt w:val="bullet"/>
      <w:lvlText w:val="●"/>
      <w:lvlJc w:val="left"/>
      <w:pPr>
        <w:ind w:left="2880" w:hanging="360"/>
      </w:pPr>
    </w:lvl>
    <w:lvl w:ilvl="4" w:tplc="5A480B0A">
      <w:start w:val="1"/>
      <w:numFmt w:val="bullet"/>
      <w:lvlText w:val="○"/>
      <w:lvlJc w:val="left"/>
      <w:pPr>
        <w:ind w:left="3600" w:hanging="360"/>
      </w:pPr>
    </w:lvl>
    <w:lvl w:ilvl="5" w:tplc="D7E05484">
      <w:start w:val="1"/>
      <w:numFmt w:val="bullet"/>
      <w:lvlText w:val="■"/>
      <w:lvlJc w:val="left"/>
      <w:pPr>
        <w:ind w:left="4320" w:hanging="360"/>
      </w:pPr>
    </w:lvl>
    <w:lvl w:ilvl="6" w:tplc="A9FCAA48">
      <w:start w:val="1"/>
      <w:numFmt w:val="bullet"/>
      <w:lvlText w:val="●"/>
      <w:lvlJc w:val="left"/>
      <w:pPr>
        <w:ind w:left="5040" w:hanging="360"/>
      </w:pPr>
    </w:lvl>
    <w:lvl w:ilvl="7" w:tplc="16983352">
      <w:start w:val="1"/>
      <w:numFmt w:val="bullet"/>
      <w:lvlText w:val="●"/>
      <w:lvlJc w:val="left"/>
      <w:pPr>
        <w:ind w:left="5760" w:hanging="360"/>
      </w:pPr>
    </w:lvl>
    <w:lvl w:ilvl="8" w:tplc="3F2CDA4E">
      <w:start w:val="1"/>
      <w:numFmt w:val="bullet"/>
      <w:lvlText w:val="●"/>
      <w:lvlJc w:val="left"/>
      <w:pPr>
        <w:ind w:left="6480" w:hanging="360"/>
      </w:pPr>
    </w:lvl>
  </w:abstractNum>
  <w:num w:numId="1" w16cid:durableId="2133396810">
    <w:abstractNumId w:val="2"/>
    <w:lvlOverride w:ilvl="0">
      <w:startOverride w:val="1"/>
    </w:lvlOverride>
  </w:num>
  <w:num w:numId="2" w16cid:durableId="1601990002">
    <w:abstractNumId w:val="1"/>
    <w:lvlOverride w:ilvl="0">
      <w:startOverride w:val="1"/>
    </w:lvlOverride>
  </w:num>
  <w:num w:numId="3" w16cid:durableId="1323119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D2"/>
    <w:rsid w:val="001A2A45"/>
    <w:rsid w:val="002970B3"/>
    <w:rsid w:val="00512D3E"/>
    <w:rsid w:val="00717ACE"/>
    <w:rsid w:val="009307D2"/>
    <w:rsid w:val="00E700A6"/>
    <w:rsid w:val="00F83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C5694B"/>
  <w15:docId w15:val="{7EDD6671-07D4-8E47-959F-1B038768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semiHidden/>
    <w:unhideWhenUsed/>
    <w:qFormat/>
    <w:pPr>
      <w:spacing w:before="26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17AC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17ACE"/>
    <w:rPr>
      <w:b/>
      <w:bCs/>
    </w:rPr>
  </w:style>
  <w:style w:type="character" w:styleId="Emphasis">
    <w:name w:val="Emphasis"/>
    <w:basedOn w:val="DefaultParagraphFont"/>
    <w:uiPriority w:val="20"/>
    <w:qFormat/>
    <w:rsid w:val="00717A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sri.ie/publications" TargetMode="External"/><Relationship Id="rId13" Type="http://schemas.openxmlformats.org/officeDocument/2006/relationships/hyperlink" Target="https://www.centralbank.ie/docs/default-source/publications/research-technical-papers/3rt98---forecasting-irish-inflation-using-arima-models-(kenny-meyler-and-quinn).pdf" TargetMode="External"/><Relationship Id="rId3" Type="http://schemas.openxmlformats.org/officeDocument/2006/relationships/settings" Target="settings.xml"/><Relationship Id="rId7" Type="http://schemas.openxmlformats.org/officeDocument/2006/relationships/hyperlink" Target="https://www.esri.ie/publications/exploring-rent-pressure-zones-irelands-recent-rent-control-regime" TargetMode="External"/><Relationship Id="rId12" Type="http://schemas.openxmlformats.org/officeDocument/2006/relationships/hyperlink" Target="https://ieeexplore.ieee.org/document/867495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andfonline.com/doi/full/10.1080/19491247.2022.2155338" TargetMode="External"/><Relationship Id="rId11" Type="http://schemas.openxmlformats.org/officeDocument/2006/relationships/hyperlink" Target="https://geoffboeing.com/publications/craigslist-rental-housing-markets/" TargetMode="External"/><Relationship Id="rId5" Type="http://schemas.openxmlformats.org/officeDocument/2006/relationships/hyperlink" Target="https://www.esri.ie/system/files/publications/JA201922.pdf" TargetMode="External"/><Relationship Id="rId15" Type="http://schemas.openxmlformats.org/officeDocument/2006/relationships/fontTable" Target="fontTable.xml"/><Relationship Id="rId10" Type="http://schemas.openxmlformats.org/officeDocument/2006/relationships/hyperlink" Target="https://arxiv.org/abs/1605.05397" TargetMode="External"/><Relationship Id="rId4" Type="http://schemas.openxmlformats.org/officeDocument/2006/relationships/webSettings" Target="webSettings.xml"/><Relationship Id="rId9" Type="http://schemas.openxmlformats.org/officeDocument/2006/relationships/hyperlink" Target="https://www.researchgate.net/publication/306400541" TargetMode="External"/><Relationship Id="rId14" Type="http://schemas.openxmlformats.org/officeDocument/2006/relationships/hyperlink" Target="https://www.tandfonline.com/doi/abs/10.1080/0959991032000162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3275</Words>
  <Characters>18672</Characters>
  <Application>Microsoft Office Word</Application>
  <DocSecurity>0</DocSecurity>
  <Lines>155</Lines>
  <Paragraphs>43</Paragraphs>
  <ScaleCrop>false</ScaleCrop>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Ajinkya Barve</cp:lastModifiedBy>
  <cp:revision>6</cp:revision>
  <dcterms:created xsi:type="dcterms:W3CDTF">2026-04-04T01:25:00Z</dcterms:created>
  <dcterms:modified xsi:type="dcterms:W3CDTF">2026-04-04T01:46:00Z</dcterms:modified>
</cp:coreProperties>
</file>