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color w:val="888888"/>
          <w:sz w:val="22"/>
          <w:szCs w:val="22"/>
        </w:rPr>
        <w:t xml:space="preserve">University of Galway  —  MS5131 MSc Business Analytics</w:t>
      </w:r>
    </w:p>
    <w:p>
      <w:pPr>
        <w:spacing w:after="80" w:before="80"/>
        <w:jc w:val="center"/>
      </w:pPr>
      <w:r>
        <w:rPr>
          <w:rFonts w:ascii="Arial" w:cs="Arial" w:eastAsia="Arial" w:hAnsi="Arial"/>
          <w:b/>
          <w:bCs/>
          <w:color w:val="1F3864"/>
          <w:sz w:val="46"/>
          <w:szCs w:val="46"/>
        </w:rPr>
        <w:t xml:space="preserve">Major Project — Internal Research &amp; Decision Log</w:t>
      </w:r>
    </w:p>
    <w:p>
      <w:pPr>
        <w:spacing w:after="80" w:before="80"/>
        <w:jc w:val="center"/>
      </w:pPr>
      <w:r>
        <w:rPr>
          <w:rFonts w:ascii="Arial" w:cs="Arial" w:eastAsia="Arial" w:hAnsi="Arial"/>
          <w:color w:val="2E5FA3"/>
          <w:sz w:val="24"/>
          <w:szCs w:val="24"/>
        </w:rPr>
        <w:t xml:space="preserve">Everything We Decided, Why We Decided It, and How It Flows into the Report</w:t>
      </w:r>
    </w:p>
    <w:p>
      <w:pPr>
        <w:spacing w:after="0" w:before="120"/>
      </w:pPr>
    </w:p>
    <w:p>
      <w:pPr>
        <w:spacing w:after="60" w:before="60"/>
        <w:jc w:val="center"/>
      </w:pPr>
      <w:r>
        <w:rPr>
          <w:rFonts w:ascii="Arial" w:cs="Arial" w:eastAsia="Arial" w:hAnsi="Arial"/>
          <w:color w:val="888888"/>
          <w:sz w:val="21"/>
          <w:szCs w:val="21"/>
        </w:rPr>
        <w:t xml:space="preserve">Prepared by Ajinkya Barve  |  Last Updated: 5 April 2026  |  Deadline: 10 April 2026</w:t>
      </w:r>
    </w:p>
    <w:p>
      <w:pPr>
        <w:spacing w:after="60" w:before="60"/>
        <w:jc w:val="center"/>
      </w:pPr>
      <w:r>
        <w:rPr>
          <w:rFonts w:ascii="Arial" w:cs="Arial" w:eastAsia="Arial" w:hAnsi="Arial"/>
          <w:color w:val="AAAAAA"/>
          <w:sz w:val="21"/>
          <w:szCs w:val="21"/>
        </w:rPr>
        <w:t xml:space="preserve">For internal use — this document is the thinking behind the final report</w:t>
      </w:r>
    </w:p>
    <w:p>
      <w:pPr>
        <w:pBdr>
          <w:bottom w:val="single" w:color="1F3864" w:sz="6" w:space="1"/>
        </w:pBdr>
        <w:spacing w:after="200" w:before="200"/>
      </w:pPr>
    </w:p>
    <w:p>
      <w:pPr>
        <w:spacing w:after="160" w:before="360"/>
      </w:pPr>
      <w:r>
        <w:rPr>
          <w:rFonts w:ascii="Arial" w:cs="Arial" w:eastAsia="Arial" w:hAnsi="Arial"/>
          <w:b/>
          <w:bCs/>
          <w:color w:val="1F3864"/>
          <w:sz w:val="36"/>
          <w:szCs w:val="36"/>
        </w:rPr>
        <w:t xml:space="preserve">Purpose of This Document</w:t>
      </w:r>
    </w:p>
    <w:p>
      <w:pPr>
        <w:spacing w:after="60" w:before="60"/>
      </w:pPr>
      <w:r>
        <w:rPr>
          <w:rFonts w:ascii="Arial" w:cs="Arial" w:eastAsia="Arial" w:hAnsi="Arial"/>
          <w:sz w:val="22"/>
          <w:szCs w:val="22"/>
        </w:rPr>
        <w:t xml:space="preserve">This document captures every major decision made during the planning phase of our major project — what we chose, why we chose it, and how each decision connects to the final report. It is written so that when we sit down to write the actual report, the reasoning and flow is already locked. We do not need to think from scratch — we just expand what is already here.</w:t>
      </w:r>
    </w:p>
    <w:p>
      <w:pPr>
        <w:spacing w:after="0" w:before="60"/>
      </w:pPr>
    </w:p>
    <w:p>
      <w:pPr>
        <w:pBdr>
          <w:left w:val="single" w:color="1A7A4A" w:sz="20" w:space="10"/>
        </w:pBdr>
        <w:shd w:fill="E8F5E9" w:val="clear"/>
        <w:spacing w:after="120" w:before="120"/>
        <w:ind w:left="280"/>
      </w:pPr>
      <w:r>
        <w:rPr>
          <w:rFonts w:ascii="Arial" w:cs="Arial" w:eastAsia="Arial" w:hAnsi="Arial"/>
          <w:b/>
          <w:bCs/>
          <w:color w:val="1A4A2A"/>
          <w:sz w:val="22"/>
          <w:szCs w:val="22"/>
        </w:rPr>
        <w:t xml:space="preserve">Think of this as the brain of the project. The final report is the presentation of that brain — polished, cited, and formatted. Everything in this document becomes a section, a paragraph, or a justification in the report.</w:t>
      </w:r>
    </w:p>
    <w:p>
      <w:pPr>
        <w:pBdr>
          <w:bottom w:val="single" w:color="2E5FA3" w:sz="6" w:space="1"/>
        </w:pBdr>
        <w:spacing w:after="200" w:before="200"/>
      </w:pPr>
    </w:p>
    <w:p>
      <w:r>
        <w:br w:type="page"/>
      </w:r>
    </w:p>
    <w:p>
      <w:pPr>
        <w:spacing w:after="160" w:before="360"/>
      </w:pPr>
      <w:r>
        <w:rPr>
          <w:rFonts w:ascii="Arial" w:cs="Arial" w:eastAsia="Arial" w:hAnsi="Arial"/>
          <w:b/>
          <w:bCs/>
          <w:color w:val="1F3864"/>
          <w:sz w:val="36"/>
          <w:szCs w:val="36"/>
        </w:rPr>
        <w:t xml:space="preserve">Section 1 — Research Question (Locked)</w:t>
      </w:r>
    </w:p>
    <w:p>
      <w:pPr>
        <w:spacing w:after="0" w:before="80"/>
      </w:pPr>
    </w:p>
    <w:p>
      <w:pPr>
        <w:pBdr>
          <w:left w:val="single" w:color="1F3864" w:sz="20" w:space="10"/>
        </w:pBdr>
        <w:shd w:fill="1F3864" w:val="clear"/>
        <w:spacing w:after="120" w:before="120"/>
        <w:ind w:left="280"/>
      </w:pPr>
      <w:r>
        <w:rPr>
          <w:rFonts w:ascii="Arial" w:cs="Arial" w:eastAsia="Arial" w:hAnsi="Arial"/>
          <w:b/>
          <w:bCs/>
          <w:color w:val="FFFFFF"/>
          <w:sz w:val="22"/>
          <w:szCs w:val="22"/>
        </w:rPr>
        <w:t xml:space="preserve">LOCKED: Version 3 — Academic and Ambitious</w:t>
      </w:r>
    </w:p>
    <w:p>
      <w:pPr>
        <w:spacing w:after="0" w:before="80"/>
      </w:pPr>
    </w:p>
    <w:p>
      <w:pPr>
        <w:pBdr>
          <w:left w:val="single" w:color="1A7A4A" w:sz="20" w:space="10"/>
        </w:pBdr>
        <w:shd w:fill="EAF7EE" w:val="clear"/>
        <w:spacing w:after="100" w:before="100"/>
        <w:ind w:left="280"/>
      </w:pPr>
      <w:r>
        <w:rPr>
          <w:rFonts w:ascii="Arial" w:cs="Arial" w:eastAsia="Arial" w:hAnsi="Arial"/>
          <w:b/>
          <w:bCs/>
          <w:color w:val="1A1A1A"/>
          <w:sz w:val="24"/>
          <w:szCs w:val="24"/>
        </w:rPr>
        <w:t xml:space="preserve">"Is Ireland's rental market heading towards a systemic crisis — and can predictive analytics give policymakers enough time to stop it?"</w:t>
      </w:r>
    </w:p>
    <w:p>
      <w:pPr>
        <w:spacing w:after="0" w:before="100"/>
      </w:pPr>
    </w:p>
    <w:p>
      <w:pPr>
        <w:spacing w:after="100" w:before="260"/>
      </w:pPr>
      <w:r>
        <w:rPr>
          <w:rFonts w:ascii="Arial" w:cs="Arial" w:eastAsia="Arial" w:hAnsi="Arial"/>
          <w:b/>
          <w:bCs/>
          <w:color w:val="2E5FA3"/>
          <w:sz w:val="26"/>
          <w:szCs w:val="26"/>
        </w:rPr>
        <w:t xml:space="preserve">Sub-Questions</w:t>
      </w:r>
    </w:p>
    <w:p>
      <w:pPr>
        <w:spacing w:after="0" w:before="60"/>
      </w:pPr>
    </w:p>
    <w:p>
      <w:pPr>
        <w:spacing w:after="60" w:before="60"/>
      </w:pPr>
      <w:r>
        <w:rPr>
          <w:rFonts w:ascii="Arial" w:cs="Arial" w:eastAsia="Arial" w:hAnsi="Arial"/>
          <w:b/>
          <w:bCs/>
          <w:color w:val="2E5FA3"/>
          <w:sz w:val="22"/>
          <w:szCs w:val="22"/>
        </w:rPr>
        <w:t xml:space="preserve">SQ1: </w:t>
      </w:r>
      <w:r>
        <w:rPr>
          <w:rFonts w:ascii="Arial" w:cs="Arial" w:eastAsia="Arial" w:hAnsi="Arial"/>
          <w:sz w:val="22"/>
          <w:szCs w:val="22"/>
        </w:rPr>
        <w:t xml:space="preserve">What macroeconomic, structural, and policy-driven forces have shaped Ireland's rental price crisis between 2007 and 2025 — and which factors matter most?</w:t>
      </w:r>
    </w:p>
    <w:p>
      <w:pPr>
        <w:spacing w:after="0" w:before="40"/>
      </w:pPr>
    </w:p>
    <w:p>
      <w:pPr>
        <w:spacing w:after="60" w:before="60"/>
      </w:pPr>
      <w:r>
        <w:rPr>
          <w:rFonts w:ascii="Arial" w:cs="Arial" w:eastAsia="Arial" w:hAnsi="Arial"/>
          <w:b/>
          <w:bCs/>
          <w:color w:val="2E5FA3"/>
          <w:sz w:val="22"/>
          <w:szCs w:val="22"/>
        </w:rPr>
        <w:t xml:space="preserve">SQ2: </w:t>
      </w:r>
      <w:r>
        <w:rPr>
          <w:rFonts w:ascii="Arial" w:cs="Arial" w:eastAsia="Arial" w:hAnsi="Arial"/>
          <w:sz w:val="22"/>
          <w:szCs w:val="22"/>
        </w:rPr>
        <w:t xml:space="preserve">Can SARIMA, SARIMAX, machine learning, and Prophet models, when combined with macroeconomic drivers, reliably forecast rental prices at county level — and which approach delivers the most policy-relevant predictions?</w:t>
      </w:r>
    </w:p>
    <w:p>
      <w:pPr>
        <w:spacing w:after="0" w:before="40"/>
      </w:pPr>
    </w:p>
    <w:p>
      <w:pPr>
        <w:spacing w:after="60" w:before="60"/>
      </w:pPr>
      <w:r>
        <w:rPr>
          <w:rFonts w:ascii="Arial" w:cs="Arial" w:eastAsia="Arial" w:hAnsi="Arial"/>
          <w:b/>
          <w:bCs/>
          <w:color w:val="2E5FA3"/>
          <w:sz w:val="22"/>
          <w:szCs w:val="22"/>
        </w:rPr>
        <w:t xml:space="preserve">SQ3: </w:t>
      </w:r>
      <w:r>
        <w:rPr>
          <w:rFonts w:ascii="Arial" w:cs="Arial" w:eastAsia="Arial" w:hAnsi="Arial"/>
          <w:sz w:val="22"/>
          <w:szCs w:val="22"/>
        </w:rPr>
        <w:t xml:space="preserve">When will affordability collapse county-by-county, did Rent Pressure Zones slow the crisis, and what does the forecast say about the window left for intervention?</w:t>
      </w:r>
    </w:p>
    <w:p>
      <w:pPr>
        <w:spacing w:after="0" w:before="120"/>
      </w:pPr>
    </w:p>
    <w:p>
      <w:pPr>
        <w:spacing w:after="100" w:before="260"/>
      </w:pPr>
      <w:r>
        <w:rPr>
          <w:rFonts w:ascii="Arial" w:cs="Arial" w:eastAsia="Arial" w:hAnsi="Arial"/>
          <w:b/>
          <w:bCs/>
          <w:color w:val="2E5FA3"/>
          <w:sz w:val="26"/>
          <w:szCs w:val="26"/>
        </w:rPr>
        <w:t xml:space="preserve">Why We Chose This Question — Our Own Reasoning</w:t>
      </w:r>
    </w:p>
    <w:p>
      <w:pPr>
        <w:spacing w:after="0" w:before="60"/>
      </w:pPr>
    </w:p>
    <w:p>
      <w:pPr>
        <w:pBdr>
          <w:left w:val="single" w:color="F39C12" w:sz="20" w:space="10"/>
        </w:pBdr>
        <w:shd w:fill="FFF9C4" w:val="clear"/>
        <w:spacing w:after="120" w:before="120"/>
        <w:ind w:left="280"/>
      </w:pPr>
      <w:r>
        <w:rPr>
          <w:rFonts w:ascii="Arial" w:cs="Arial" w:eastAsia="Arial" w:hAnsi="Arial"/>
          <w:b w:val="false"/>
          <w:bCs w:val="false"/>
          <w:color w:val="7D6608"/>
          <w:sz w:val="22"/>
          <w:szCs w:val="22"/>
        </w:rPr>
        <w:t xml:space="preserve">These are the exact reasons discussed and agreed — use this reasoning in the Introduction section of the final report.</w:t>
      </w:r>
    </w:p>
    <w:p>
      <w:pPr>
        <w:spacing w:after="0" w:before="80"/>
      </w:pPr>
    </w:p>
    <w:p>
      <w:pPr>
        <w:spacing w:after="60" w:before="60"/>
      </w:pPr>
      <w:r>
        <w:rPr>
          <w:rFonts w:ascii="Arial" w:cs="Arial" w:eastAsia="Arial" w:hAnsi="Arial"/>
          <w:b/>
          <w:bCs/>
          <w:sz w:val="22"/>
          <w:szCs w:val="22"/>
        </w:rPr>
        <w:t xml:space="preserve">Reason 1 — The issue is current and unresolved: </w:t>
      </w:r>
      <w:r>
        <w:rPr>
          <w:rFonts w:ascii="Arial" w:cs="Arial" w:eastAsia="Arial" w:hAnsi="Arial"/>
          <w:sz w:val="22"/>
          <w:szCs w:val="22"/>
        </w:rPr>
        <w:t xml:space="preserve">Ireland's RPZ policy expired in December 2025. The Housing Agency published a full review in 2025. This is a live policy debate, not a closed academic topic. Our forecasts are directly relevant to decisions being made right now.</w:t>
      </w:r>
    </w:p>
    <w:p>
      <w:pPr>
        <w:spacing w:after="0" w:before="60"/>
      </w:pPr>
    </w:p>
    <w:p>
      <w:pPr>
        <w:spacing w:after="60" w:before="60"/>
      </w:pPr>
      <w:r>
        <w:rPr>
          <w:rFonts w:ascii="Arial" w:cs="Arial" w:eastAsia="Arial" w:hAnsi="Arial"/>
          <w:b/>
          <w:bCs/>
          <w:sz w:val="22"/>
          <w:szCs w:val="22"/>
        </w:rPr>
        <w:t xml:space="preserve">Reason 2 — Existing work does not answer this question: </w:t>
      </w:r>
      <w:r>
        <w:rPr>
          <w:rFonts w:ascii="Arial" w:cs="Arial" w:eastAsia="Arial" w:hAnsi="Arial"/>
          <w:sz w:val="22"/>
          <w:szCs w:val="22"/>
        </w:rPr>
        <w:t xml:space="preserve">NCI has already done property-feature based prediction — bedrooms, location, BER rating. That is a hedonic, cross-sectional model. It tells you what a single property's rent should be. Our model tells you where the entire market is heading over time. Fundamentally different question, fundamentally different value.</w:t>
      </w:r>
    </w:p>
    <w:p>
      <w:pPr>
        <w:spacing w:after="0" w:before="60"/>
      </w:pPr>
    </w:p>
    <w:p>
      <w:pPr>
        <w:spacing w:after="60" w:before="60"/>
      </w:pPr>
      <w:r>
        <w:rPr>
          <w:rFonts w:ascii="Arial" w:cs="Arial" w:eastAsia="Arial" w:hAnsi="Arial"/>
          <w:b/>
          <w:bCs/>
          <w:sz w:val="22"/>
          <w:szCs w:val="22"/>
        </w:rPr>
        <w:t xml:space="preserve">Reason 3 — Our scenario analysis is policy-actionable: </w:t>
      </w:r>
      <w:r>
        <w:rPr>
          <w:rFonts w:ascii="Arial" w:cs="Arial" w:eastAsia="Arial" w:hAnsi="Arial"/>
          <w:sz w:val="22"/>
          <w:szCs w:val="22"/>
        </w:rPr>
        <w:t xml:space="preserve">The three scenarios are not generic. They are based on real current policy debates in Ireland — the 2% cap, the Knight Frank 48,000 completions target, and the documented landlord exodus from the market. Each scenario directly answers 'can analytics give policymakers enough time?'</w:t>
      </w:r>
    </w:p>
    <w:p>
      <w:pPr>
        <w:spacing w:after="0" w:before="60"/>
      </w:pPr>
    </w:p>
    <w:p>
      <w:pPr>
        <w:spacing w:after="60" w:before="60"/>
      </w:pPr>
      <w:r>
        <w:rPr>
          <w:rFonts w:ascii="Arial" w:cs="Arial" w:eastAsia="Arial" w:hAnsi="Arial"/>
          <w:b/>
          <w:bCs/>
          <w:sz w:val="22"/>
          <w:szCs w:val="22"/>
        </w:rPr>
        <w:t xml:space="preserve">Reason 4 — Multi-model approach adds academic rigour: </w:t>
      </w:r>
      <w:r>
        <w:rPr>
          <w:rFonts w:ascii="Arial" w:cs="Arial" w:eastAsia="Arial" w:hAnsi="Arial"/>
          <w:sz w:val="22"/>
          <w:szCs w:val="22"/>
        </w:rPr>
        <w:t xml:space="preserve">We are not relying on one model. We will run SARIMA, SARIMAX, Random Forest, and Prophet — compare them on MAE, RMSE, and MAPE — and justify which is best for this specific Irish context. This is exactly what Vamsi asked for in class.</w:t>
      </w:r>
    </w:p>
    <w:p>
      <w:pPr>
        <w:pBdr>
          <w:bottom w:val="single" w:color="2E5FA3" w:sz="6" w:space="1"/>
        </w:pBdr>
        <w:spacing w:after="200" w:before="200"/>
      </w:pPr>
    </w:p>
    <w:p>
      <w:pPr>
        <w:spacing w:after="160" w:before="360"/>
      </w:pPr>
      <w:r>
        <w:rPr>
          <w:rFonts w:ascii="Arial" w:cs="Arial" w:eastAsia="Arial" w:hAnsi="Arial"/>
          <w:b/>
          <w:bCs/>
          <w:color w:val="1F3864"/>
          <w:sz w:val="36"/>
          <w:szCs w:val="36"/>
        </w:rPr>
        <w:t xml:space="preserve">Section 2 — Scenario Analysis (Locked)</w:t>
      </w:r>
    </w:p>
    <w:p>
      <w:pPr>
        <w:spacing w:after="0" w:before="60"/>
      </w:pPr>
    </w:p>
    <w:p>
      <w:pPr>
        <w:spacing w:after="60" w:before="60"/>
      </w:pPr>
      <w:r>
        <w:rPr>
          <w:rFonts w:ascii="Arial" w:cs="Arial" w:eastAsia="Arial" w:hAnsi="Arial"/>
          <w:sz w:val="22"/>
          <w:szCs w:val="22"/>
        </w:rPr>
        <w:t xml:space="preserve">We agreed on three core scenarios plus one optional extension. These are not generic optimistic/pessimistic labels — they are named, real-world policy situations currently being debated in Ireland.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shd w:fill="1F3864" w:val="clear"/>
            <w:tcMar>
              <w:top w:type="dxa" w:w="100"/>
              <w:left w:type="dxa" w:w="140"/>
              <w:bottom w:type="dxa" w:w="100"/>
              <w:right w:type="dxa" w:w="140"/>
            </w:tcMar>
          </w:tcPr>
          <w:p>
            <w:r>
              <w:rPr>
                <w:rFonts w:ascii="Arial" w:cs="Arial" w:eastAsia="Arial" w:hAnsi="Arial"/>
                <w:b/>
                <w:bCs/>
                <w:color w:val="FFFFFF"/>
                <w:sz w:val="21"/>
                <w:szCs w:val="21"/>
              </w:rPr>
              <w:t xml:space="preserve">Scenario</w:t>
            </w:r>
          </w:p>
        </w:tc>
        <w:tc>
          <w:tcPr>
            <w:tcW w:type="dxa" w:w="28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It Models</w:t>
            </w:r>
          </w:p>
        </w:tc>
        <w:tc>
          <w:tcPr>
            <w:tcW w:type="dxa" w:w="2600"/>
            <w:shd w:fill="1F3864" w:val="clear"/>
            <w:tcMar>
              <w:top w:type="dxa" w:w="100"/>
              <w:left w:type="dxa" w:w="140"/>
              <w:bottom w:type="dxa" w:w="100"/>
              <w:right w:type="dxa" w:w="140"/>
            </w:tcMar>
          </w:tcPr>
          <w:p>
            <w:r>
              <w:rPr>
                <w:rFonts w:ascii="Arial" w:cs="Arial" w:eastAsia="Arial" w:hAnsi="Arial"/>
                <w:b/>
                <w:bCs/>
                <w:color w:val="FFFFFF"/>
                <w:sz w:val="21"/>
                <w:szCs w:val="21"/>
              </w:rPr>
              <w:t xml:space="preserve">Real-World Basis</w:t>
            </w:r>
          </w:p>
        </w:tc>
        <w:tc>
          <w:tcPr>
            <w:tcW w:type="dxa" w:w="2560"/>
            <w:shd w:fill="1F3864" w:val="clear"/>
            <w:tcMar>
              <w:top w:type="dxa" w:w="100"/>
              <w:left w:type="dxa" w:w="140"/>
              <w:bottom w:type="dxa" w:w="100"/>
              <w:right w:type="dxa" w:w="140"/>
            </w:tcMar>
          </w:tcPr>
          <w:p>
            <w:r>
              <w:rPr>
                <w:rFonts w:ascii="Arial" w:cs="Arial" w:eastAsia="Arial" w:hAnsi="Arial"/>
                <w:b/>
                <w:bCs/>
                <w:color w:val="FFFFFF"/>
                <w:sz w:val="21"/>
                <w:szCs w:val="21"/>
              </w:rPr>
              <w:t xml:space="preserve">Policy Question It Answers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Scenario A — Status Quo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Current policy holds: 2% rent cap, new tenancy reforms, slow construction continues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Current Irish government position post-RPZ review 2025</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What happens if no new intervention is made?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Scenario B — Supply Accelerates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Housing completions hit 48,000 per year — the Knight Frank target for Ireland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Knight Frank Ireland Housing Report — stated industry target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Does building our way out actually work and how fast?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Scenario C — Landlord Exodus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Individual landlords continue exiting market at current pace with no supply offset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RTB data showing consistent decline in individual landlord registrations 2022–2024</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What is the worst-case timeline if supply shrinks further?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Scenario D — Policy Reversal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RPZ completely removed — full market deregulation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Housing Agency 2025 review debating whether to continue rent controls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What happens if rent controls are abolished entirely?</w:t>
            </w:r>
          </w:p>
        </w:tc>
      </w:tr>
    </w:tbl>
    <w:p>
      <w:pPr>
        <w:spacing w:after="0" w:before="120"/>
      </w:pPr>
    </w:p>
    <w:p>
      <w:pPr>
        <w:pBdr>
          <w:left w:val="single" w:color="1A7A4A" w:sz="20" w:space="10"/>
        </w:pBdr>
        <w:shd w:fill="E8F5E9" w:val="clear"/>
        <w:spacing w:after="120" w:before="120"/>
        <w:ind w:left="280"/>
      </w:pPr>
      <w:r>
        <w:rPr>
          <w:rFonts w:ascii="Arial" w:cs="Arial" w:eastAsia="Arial" w:hAnsi="Arial"/>
          <w:b/>
          <w:bCs/>
          <w:color w:val="1A4A2A"/>
          <w:sz w:val="22"/>
          <w:szCs w:val="22"/>
        </w:rPr>
        <w:t xml:space="preserve">Key output from scenarios: For each scenario, we will state explicitly how many quarters of lead time policymakers have before Dublin, Cork, and Wicklow cross the 30% affordability threshold. This directly and precisely answers the research question.</w:t>
      </w:r>
    </w:p>
    <w:p>
      <w:pPr>
        <w:spacing w:after="0" w:before="80"/>
      </w:pPr>
    </w:p>
    <w:p>
      <w:pPr>
        <w:spacing w:after="60" w:before="60"/>
      </w:pPr>
      <w:r>
        <w:rPr>
          <w:rFonts w:ascii="Arial" w:cs="Arial" w:eastAsia="Arial" w:hAnsi="Arial"/>
          <w:sz w:val="22"/>
          <w:szCs w:val="22"/>
        </w:rPr>
        <w:t xml:space="preserve">Example of what this looks like in the report:</w:t>
      </w:r>
    </w:p>
    <w:p>
      <w:pPr>
        <w:pBdr>
          <w:left w:val="single" w:color="888888" w:sz="20" w:space="10"/>
        </w:pBdr>
        <w:shd w:fill="F5F5F5" w:val="clear"/>
        <w:spacing w:after="120" w:before="120"/>
        <w:ind w:left="280"/>
      </w:pPr>
      <w:r>
        <w:rPr>
          <w:rFonts w:ascii="Arial" w:cs="Arial" w:eastAsia="Arial" w:hAnsi="Arial"/>
          <w:b w:val="false"/>
          <w:bCs w:val="false"/>
          <w:color w:val="333333"/>
          <w:sz w:val="22"/>
          <w:szCs w:val="22"/>
        </w:rPr>
        <w:t xml:space="preserve">Under Scenario A, Dublin is projected to reach 35% rent-to-income ratio by Q3 2026, giving policymakers approximately 2 quarters to act. Under Scenario C, this window shrinks to 1 quarter. Under Scenario B, the threshold breach is delayed to Q1 2028, providing a 6-quarter intervention window.</w:t>
      </w:r>
    </w:p>
    <w:p>
      <w:pPr>
        <w:pBdr>
          <w:bottom w:val="single" w:color="2E5FA3" w:sz="6" w:space="1"/>
        </w:pBdr>
        <w:spacing w:after="200" w:before="200"/>
      </w:pPr>
    </w:p>
    <w:p>
      <w:r>
        <w:br w:type="page"/>
      </w:r>
    </w:p>
    <w:p>
      <w:pPr>
        <w:spacing w:after="160" w:before="360"/>
      </w:pPr>
      <w:r>
        <w:rPr>
          <w:rFonts w:ascii="Arial" w:cs="Arial" w:eastAsia="Arial" w:hAnsi="Arial"/>
          <w:b/>
          <w:bCs/>
          <w:color w:val="1F3864"/>
          <w:sz w:val="36"/>
          <w:szCs w:val="36"/>
        </w:rPr>
        <w:t xml:space="preserve">Section 3 — Model Selection (Locked)</w:t>
      </w:r>
    </w:p>
    <w:p>
      <w:pPr>
        <w:spacing w:after="0" w:before="60"/>
      </w:pPr>
    </w:p>
    <w:p>
      <w:pPr>
        <w:spacing w:after="60" w:before="60"/>
      </w:pPr>
      <w:r>
        <w:rPr>
          <w:rFonts w:ascii="Arial" w:cs="Arial" w:eastAsia="Arial" w:hAnsi="Arial"/>
          <w:sz w:val="22"/>
          <w:szCs w:val="22"/>
        </w:rPr>
        <w:t xml:space="preserve">We will run four models, compare them, and select the best one with full academic justification. This approach directly addresses Vamsi's feedback that the project is not about building a model — it is about justifying which model is right and why.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shd w:fill="1F3864" w:val="clear"/>
            <w:tcMar>
              <w:top w:type="dxa" w:w="100"/>
              <w:left w:type="dxa" w:w="140"/>
              <w:bottom w:type="dxa" w:w="100"/>
              <w:right w:type="dxa" w:w="140"/>
            </w:tcMar>
          </w:tcPr>
          <w:p>
            <w:r>
              <w:rPr>
                <w:rFonts w:ascii="Arial" w:cs="Arial" w:eastAsia="Arial" w:hAnsi="Arial"/>
                <w:b/>
                <w:bCs/>
                <w:color w:val="FFFFFF"/>
                <w:sz w:val="21"/>
                <w:szCs w:val="21"/>
              </w:rPr>
              <w:t xml:space="preserve">Model</w:t>
            </w:r>
          </w:p>
        </w:tc>
        <w:tc>
          <w:tcPr>
            <w:tcW w:type="dxa" w:w="1400"/>
            <w:shd w:fill="1F3864"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200"/>
            <w:shd w:fill="1F3864" w:val="clear"/>
            <w:tcMar>
              <w:top w:type="dxa" w:w="100"/>
              <w:left w:type="dxa" w:w="140"/>
              <w:bottom w:type="dxa" w:w="100"/>
              <w:right w:type="dxa" w:w="140"/>
            </w:tcMar>
          </w:tcPr>
          <w:p>
            <w:r>
              <w:rPr>
                <w:rFonts w:ascii="Arial" w:cs="Arial" w:eastAsia="Arial" w:hAnsi="Arial"/>
                <w:b/>
                <w:bCs/>
                <w:color w:val="FFFFFF"/>
                <w:sz w:val="21"/>
                <w:szCs w:val="21"/>
              </w:rPr>
              <w:t xml:space="preserve">Why We Include It</w:t>
            </w:r>
          </w:p>
        </w:tc>
        <w:tc>
          <w:tcPr>
            <w:tcW w:type="dxa" w:w="316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It Adds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SARIMA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Baseline time-series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Standard benchmark in forecasting literature (Box et al., 2016). Handles quarterly seasonality. Every project needs a baseline to beat.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Captures linear temporal patterns and quarterly rent cycles. Sets the performance floor.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SARIMAX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Primary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Adds macroeconomic exogenous variables — unemployment, housing supply, property prices. Rent does not move in isolation.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Shows how external economic shocks affect rent. Most policy-relevant model. Directly feeds into scenario analysis.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Random Forest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Machine learning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Captures non-linear relationships SARIMAX cannot. Provides feature importance — tells us which variables drive rent most.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Answers SQ1 directly: which macroeconomic factors matter most? Feature importance ranking is a concrete analytical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Prophet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ML + seasonality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Familiar from ID1. Handles seasonality and structural changepoints automatically. Easy to interpret and visualise.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Can detect the 2016 RPZ introduction as a structural changepoint in the data — supports our RPZ impact analysis.</w:t>
            </w:r>
          </w:p>
        </w:tc>
      </w:tr>
    </w:tbl>
    <w:p>
      <w:pPr>
        <w:spacing w:after="0" w:before="120"/>
      </w:pPr>
    </w:p>
    <w:p>
      <w:pPr>
        <w:spacing w:after="100" w:before="260"/>
      </w:pPr>
      <w:r>
        <w:rPr>
          <w:rFonts w:ascii="Arial" w:cs="Arial" w:eastAsia="Arial" w:hAnsi="Arial"/>
          <w:b/>
          <w:bCs/>
          <w:color w:val="2E5FA3"/>
          <w:sz w:val="26"/>
          <w:szCs w:val="26"/>
        </w:rPr>
        <w:t xml:space="preserve">Model Comparison Framework</w:t>
      </w:r>
    </w:p>
    <w:p>
      <w:pPr>
        <w:spacing w:after="0" w:before="60"/>
      </w:pPr>
    </w:p>
    <w:p>
      <w:pPr>
        <w:spacing w:after="60" w:before="60"/>
      </w:pPr>
      <w:r>
        <w:rPr>
          <w:rFonts w:ascii="Arial" w:cs="Arial" w:eastAsia="Arial" w:hAnsi="Arial"/>
          <w:sz w:val="22"/>
          <w:szCs w:val="22"/>
        </w:rPr>
        <w:t xml:space="preserve">All four models will be evaluated on the same three metrics. This is what goes in the model comparison table in the report: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shd w:fill="1F3864"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35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It Measures</w:t>
            </w:r>
          </w:p>
        </w:tc>
        <w:tc>
          <w:tcPr>
            <w:tcW w:type="dxa" w:w="4060"/>
            <w:shd w:fill="1F3864" w:val="clear"/>
            <w:tcMar>
              <w:top w:type="dxa" w:w="100"/>
              <w:left w:type="dxa" w:w="140"/>
              <w:bottom w:type="dxa" w:w="100"/>
              <w:right w:type="dxa" w:w="140"/>
            </w:tcMar>
          </w:tcPr>
          <w:p>
            <w:r>
              <w:rPr>
                <w:rFonts w:ascii="Arial" w:cs="Arial" w:eastAsia="Arial" w:hAnsi="Arial"/>
                <w:b/>
                <w:bCs/>
                <w:color w:val="FFFFFF"/>
                <w:sz w:val="21"/>
                <w:szCs w:val="21"/>
              </w:rPr>
              <w:t xml:space="preserve">Why We Use It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MAE — Mean Absolute Error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Average absolute difference between predicted and actual rent values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Easy to interpret — tells us in euros how far off our forecasts are on average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RMSE — Root Mean Square 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Penalises large errors more heavily than MAE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Important because a large single-quarter forecast error would be very damaging for policy decisions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MAPE — Mean Absolute Percentage Error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Error as a percentage of actual values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Allows fair comparison across counties with different rent levels — Dublin vs Leitrim</w:t>
            </w:r>
          </w:p>
        </w:tc>
      </w:tr>
    </w:tbl>
    <w:p>
      <w:pPr>
        <w:spacing w:after="0" w:before="120"/>
      </w:pPr>
    </w:p>
    <w:p>
      <w:pPr>
        <w:pBdr>
          <w:left w:val="single" w:color="2E5FA3" w:sz="20" w:space="10"/>
        </w:pBdr>
        <w:shd w:fill="EBF5FB" w:val="clear"/>
        <w:spacing w:after="120" w:before="120"/>
        <w:ind w:left="280"/>
      </w:pPr>
      <w:r>
        <w:rPr>
          <w:rFonts w:ascii="Arial" w:cs="Arial" w:eastAsia="Arial" w:hAnsi="Arial"/>
          <w:b w:val="false"/>
          <w:bCs w:val="false"/>
          <w:color w:val="0A2A4A"/>
          <w:sz w:val="22"/>
          <w:szCs w:val="22"/>
        </w:rPr>
        <w:t xml:space="preserve">How to write the model justification in the report: Do not just list the metrics. Write one paragraph that says: 'SARIMAX outperformed SARIMA on all three metrics (MAE: X vs Y, RMSE: X vs Y, MAPE: X% vs Y%). This improvement is attributable to the inclusion of unemployment rate and housing completion data as exogenous variables, consistent with findings by [cite paper]. Random Forest achieved comparable MAPE but lacks the interpretability required for policy communication. Prophet successfully identified the 2016 RPZ introduction as a structural changepoint. On balance, SARIMAX is selected as the primary forecasting model for scenario analysis.'</w:t>
      </w:r>
    </w:p>
    <w:p>
      <w:pPr>
        <w:pBdr>
          <w:bottom w:val="single" w:color="2E5FA3" w:sz="6" w:space="1"/>
        </w:pBdr>
        <w:spacing w:after="200" w:before="200"/>
      </w:pPr>
    </w:p>
    <w:p>
      <w:pPr>
        <w:spacing w:after="160" w:before="360"/>
      </w:pPr>
      <w:r>
        <w:rPr>
          <w:rFonts w:ascii="Arial" w:cs="Arial" w:eastAsia="Arial" w:hAnsi="Arial"/>
          <w:b/>
          <w:bCs/>
          <w:color w:val="1F3864"/>
          <w:sz w:val="36"/>
          <w:szCs w:val="36"/>
        </w:rPr>
        <w:t xml:space="preserve">Section 4 — Research Gap and Literature (Locked)</w:t>
      </w:r>
    </w:p>
    <w:p>
      <w:pPr>
        <w:spacing w:after="0" w:before="60"/>
      </w:pPr>
    </w:p>
    <w:p>
      <w:pPr>
        <w:spacing w:after="60" w:before="60"/>
      </w:pPr>
      <w:r>
        <w:rPr>
          <w:rFonts w:ascii="Arial" w:cs="Arial" w:eastAsia="Arial" w:hAnsi="Arial"/>
          <w:sz w:val="22"/>
          <w:szCs w:val="22"/>
        </w:rPr>
        <w:t xml:space="preserve">This section captures the full reasoning behind our literature review and gap statement. It flows directly into Section 4 of the final report.</w:t>
      </w:r>
    </w:p>
    <w:p>
      <w:pPr>
        <w:spacing w:after="0" w:before="100"/>
      </w:pPr>
    </w:p>
    <w:p>
      <w:pPr>
        <w:spacing w:after="100" w:before="260"/>
      </w:pPr>
      <w:r>
        <w:rPr>
          <w:rFonts w:ascii="Arial" w:cs="Arial" w:eastAsia="Arial" w:hAnsi="Arial"/>
          <w:b/>
          <w:bCs/>
          <w:color w:val="2E5FA3"/>
          <w:sz w:val="26"/>
          <w:szCs w:val="26"/>
        </w:rPr>
        <w:t xml:space="preserve">What Makes Our Study Different from Existing Work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shd w:fill="1F3864" w:val="clear"/>
            <w:tcMar>
              <w:top w:type="dxa" w:w="100"/>
              <w:left w:type="dxa" w:w="140"/>
              <w:bottom w:type="dxa" w:w="100"/>
              <w:right w:type="dxa" w:w="140"/>
            </w:tcMar>
          </w:tcPr>
          <w:p>
            <w:r>
              <w:rPr>
                <w:rFonts w:ascii="Arial" w:cs="Arial" w:eastAsia="Arial" w:hAnsi="Arial"/>
                <w:b/>
                <w:bCs/>
                <w:color w:val="FFFFFF"/>
                <w:sz w:val="21"/>
                <w:szCs w:val="21"/>
              </w:rPr>
              <w:t xml:space="preserve">Existing Study</w:t>
            </w:r>
          </w:p>
        </w:tc>
        <w:tc>
          <w:tcPr>
            <w:tcW w:type="dxa" w:w="22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They Did</w:t>
            </w:r>
          </w:p>
        </w:tc>
        <w:tc>
          <w:tcPr>
            <w:tcW w:type="dxa" w:w="25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They Could Not Do</w:t>
            </w:r>
          </w:p>
        </w:tc>
        <w:tc>
          <w:tcPr>
            <w:tcW w:type="dxa" w:w="2660"/>
            <w:shd w:fill="1F3864" w:val="clear"/>
            <w:tcMar>
              <w:top w:type="dxa" w:w="100"/>
              <w:left w:type="dxa" w:w="140"/>
              <w:bottom w:type="dxa" w:w="100"/>
              <w:right w:type="dxa" w:w="140"/>
            </w:tcMar>
          </w:tcPr>
          <w:p>
            <w:r>
              <w:rPr>
                <w:rFonts w:ascii="Arial" w:cs="Arial" w:eastAsia="Arial" w:hAnsi="Arial"/>
                <w:b/>
                <w:bCs/>
                <w:color w:val="FFFFFF"/>
                <w:sz w:val="21"/>
                <w:szCs w:val="21"/>
              </w:rPr>
              <w:t xml:space="preserve">How We Go Further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Corrigan et al. (2019)
ESRI / Econ Social Review</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Described affordability challenges across Irish households using SILC survey data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No forecasting. No county-level predictions. Ends at 2016 data.</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We forecast future affordability breach points county-by-county up to 2027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O'Toole (2023)
Intl Journal Housing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Measured RPZ impact using difference-in-difference — found 2 to 5 pp moderation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Backward-looking only. Does not forecast whether controls will hold going forward.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We test RPZ as a structural break AND forecast post-RPZ trajectory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NCI Study (property features)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Predicted individual property rent using bedroom count, location, BER rating</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Cross-sectional model — cannot forecast market-level time trends</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We forecast market-level trajectories, not individual property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Boeing and Waddell (2017)
JPER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Applied ML to 11 million US Craigslist listings for spatial rental patterns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US context, unofficial data, no time-series forecasting, no policy scenarios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We use official RTB-ESRI quarterly data with scenario-based policy forecasting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Kenny, Meyler and Quinn (1998)
Central Bank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Applied ARIMA to forecast Irish inflation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Inflation not rental markets. 1998 — RTB data did not exist.</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We apply time-series modelling to the rental market specifically</w:t>
            </w:r>
          </w:p>
        </w:tc>
      </w:tr>
    </w:tbl>
    <w:p>
      <w:pPr>
        <w:spacing w:after="0" w:before="120"/>
      </w:pPr>
    </w:p>
    <w:p>
      <w:pPr>
        <w:spacing w:after="100" w:before="260"/>
      </w:pPr>
      <w:r>
        <w:rPr>
          <w:rFonts w:ascii="Arial" w:cs="Arial" w:eastAsia="Arial" w:hAnsi="Arial"/>
          <w:b/>
          <w:bCs/>
          <w:color w:val="2E5FA3"/>
          <w:sz w:val="26"/>
          <w:szCs w:val="26"/>
        </w:rPr>
        <w:t xml:space="preserve">Ready-to-Use Gap Paragraph for Report</w:t>
      </w:r>
    </w:p>
    <w:p>
      <w:pPr>
        <w:spacing w:after="0" w:before="60"/>
      </w:pPr>
    </w:p>
    <w:p>
      <w:pPr>
        <w:pBdr>
          <w:left w:val="single" w:color="F39C12" w:sz="20" w:space="10"/>
        </w:pBdr>
        <w:shd w:fill="FFF9C4" w:val="clear"/>
        <w:spacing w:after="120" w:before="120"/>
        <w:ind w:left="280"/>
      </w:pPr>
      <w:r>
        <w:rPr>
          <w:rFonts w:ascii="Arial" w:cs="Arial" w:eastAsia="Arial" w:hAnsi="Arial"/>
          <w:b w:val="false"/>
          <w:bCs w:val="false"/>
          <w:color w:val="7D6608"/>
          <w:sz w:val="22"/>
          <w:szCs w:val="22"/>
        </w:rPr>
        <w:t xml:space="preserve">Copy this into your literature review section. Expand each sentence with one cited supporting detail from the papers above.</w:t>
      </w:r>
    </w:p>
    <w:p>
      <w:pPr>
        <w:spacing w:after="0" w:before="60"/>
      </w:pPr>
    </w:p>
    <w:p>
      <w:pPr>
        <w:pBdr>
          <w:left w:val="single" w:color="888888" w:sz="20" w:space="10"/>
        </w:pBdr>
        <w:shd w:fill="F5F5F5" w:val="clear"/>
        <w:spacing w:after="120" w:before="120"/>
        <w:ind w:left="280"/>
      </w:pPr>
      <w:r>
        <w:rPr>
          <w:rFonts w:ascii="Arial" w:cs="Arial" w:eastAsia="Arial" w:hAnsi="Arial"/>
          <w:b w:val="false"/>
          <w:bCs w:val="false"/>
          <w:color w:val="222222"/>
          <w:sz w:val="22"/>
          <w:szCs w:val="22"/>
        </w:rPr>
        <w:t xml:space="preserve">While existing Irish studies have described affordability challenges descriptively (Corrigan et al., 2019) or evaluated past rent control policies retrospectively (O'Toole, 2023), none has applied a multi-model time-series forecasting framework to official RTB-ESRI quarterly data to generate forward-looking, county-level rental price predictions. Prior work predicting rental prices at the property level using hedonic features (NCI, 2024) addresses a different research question and cannot capture market-level temporal dynamics. International studies applying machine learning to rental markets (Boeing and Waddell, 2017) operate in different national contexts using unofficial data sources, and do not account for Ireland-specific policy instruments such as Rent Pressure Zones. This study addresses that gap by combining time-series modelling, macroeconomic drivers, affordability threshold analysis, and scenario-based forecasting to produce policy-actionable insights directly relevant to Ireland's current housing crisis.</w:t>
      </w:r>
    </w:p>
    <w:p>
      <w:pPr>
        <w:pBdr>
          <w:bottom w:val="single" w:color="2E5FA3" w:sz="6" w:space="1"/>
        </w:pBdr>
        <w:spacing w:after="200" w:before="200"/>
      </w:pPr>
    </w:p>
    <w:p>
      <w:r>
        <w:br w:type="page"/>
      </w:r>
    </w:p>
    <w:p>
      <w:pPr>
        <w:spacing w:after="160" w:before="360"/>
      </w:pPr>
      <w:r>
        <w:rPr>
          <w:rFonts w:ascii="Arial" w:cs="Arial" w:eastAsia="Arial" w:hAnsi="Arial"/>
          <w:b/>
          <w:bCs/>
          <w:color w:val="1F3864"/>
          <w:sz w:val="36"/>
          <w:szCs w:val="36"/>
        </w:rPr>
        <w:t xml:space="preserve">Section 5 — WOW Factors (Locked)</w:t>
      </w:r>
    </w:p>
    <w:p>
      <w:pPr>
        <w:spacing w:after="0" w:before="60"/>
      </w:pPr>
    </w:p>
    <w:p>
      <w:pPr>
        <w:spacing w:after="60" w:before="60"/>
      </w:pPr>
      <w:r>
        <w:rPr>
          <w:rFonts w:ascii="Arial" w:cs="Arial" w:eastAsia="Arial" w:hAnsi="Arial"/>
          <w:sz w:val="22"/>
          <w:szCs w:val="22"/>
        </w:rPr>
        <w:t xml:space="preserve">These four elements are what separate our project from every other group. Each one must appear as a distinct analytical output in the final report — not just mentioned, but shown with actual results.</w:t>
      </w:r>
    </w:p>
    <w:p>
      <w:pPr>
        <w:spacing w:after="0" w:before="100"/>
      </w:pPr>
    </w:p>
    <w:p>
      <w:pPr>
        <w:spacing w:after="100" w:before="260"/>
      </w:pPr>
      <w:r>
        <w:rPr>
          <w:rFonts w:ascii="Arial" w:cs="Arial" w:eastAsia="Arial" w:hAnsi="Arial"/>
          <w:b/>
          <w:bCs/>
          <w:color w:val="C0392B"/>
          <w:sz w:val="26"/>
          <w:szCs w:val="26"/>
        </w:rPr>
        <w:t xml:space="preserve">WOW 1 — Affordability Threshold Forecasting</w:t>
      </w:r>
    </w:p>
    <w:p>
      <w:pPr>
        <w:spacing w:after="0" w:before="60"/>
      </w:pPr>
    </w:p>
    <w:p>
      <w:pPr>
        <w:spacing w:after="60" w:before="60"/>
      </w:pPr>
      <w:r>
        <w:rPr>
          <w:rFonts w:ascii="Arial" w:cs="Arial" w:eastAsia="Arial" w:hAnsi="Arial"/>
          <w:sz w:val="22"/>
          <w:szCs w:val="22"/>
        </w:rPr>
        <w:t xml:space="preserve">Using CSO average household income data alongside our rent forecasts, we calculate the rent-to-income ratio for each county in each forecast quarter. When this ratio exceeds 30% — the internationally accepted affordability threshold used by Corrigan et al. (2019) and Irish Planning and Development Act (2000) — that county has crossed the affordability line.</w:t>
      </w:r>
    </w:p>
    <w:p>
      <w:pPr>
        <w:spacing w:after="0" w:before="60"/>
      </w:pPr>
    </w:p>
    <w:p>
      <w:pPr>
        <w:spacing w:after="60" w:before="60"/>
      </w:pPr>
      <w:r>
        <w:rPr>
          <w:rFonts w:ascii="Arial" w:cs="Arial" w:eastAsia="Arial" w:hAnsi="Arial"/>
          <w:sz w:val="22"/>
          <w:szCs w:val="22"/>
        </w:rPr>
        <w:t xml:space="preserve">Report output: A table and chart showing — for each county — the quarter in which the 30% threshold is breached under each scenario. Dublin, Wicklow, Kildare, and Cork are expected to breach earliest. Leitrim, Roscommon, and Monaghan may remain below threshold through the full forecast horizon.</w:t>
      </w:r>
    </w:p>
    <w:p>
      <w:pPr>
        <w:spacing w:after="0" w:before="60"/>
      </w:pPr>
    </w:p>
    <w:p>
      <w:pPr>
        <w:pBdr>
          <w:left w:val="single" w:color="C0392B" w:sz="20" w:space="10"/>
        </w:pBdr>
        <w:shd w:fill="FDEDEC" w:val="clear"/>
        <w:spacing w:after="120" w:before="120"/>
        <w:ind w:left="280"/>
      </w:pPr>
      <w:r>
        <w:rPr>
          <w:rFonts w:ascii="Arial" w:cs="Arial" w:eastAsia="Arial" w:hAnsi="Arial"/>
          <w:b w:val="false"/>
          <w:bCs w:val="false"/>
          <w:color w:val="7B241C"/>
          <w:sz w:val="22"/>
          <w:szCs w:val="22"/>
        </w:rPr>
        <w:t xml:space="preserve">This directly and precisely answers SQ3 of our research question. No prior Irish study has produced this output. This is our original contribution.</w:t>
      </w:r>
    </w:p>
    <w:p>
      <w:pPr>
        <w:spacing w:after="0" w:before="120"/>
      </w:pPr>
    </w:p>
    <w:p>
      <w:pPr>
        <w:spacing w:after="100" w:before="260"/>
      </w:pPr>
      <w:r>
        <w:rPr>
          <w:rFonts w:ascii="Arial" w:cs="Arial" w:eastAsia="Arial" w:hAnsi="Arial"/>
          <w:b/>
          <w:bCs/>
          <w:color w:val="7D3C98"/>
          <w:sz w:val="26"/>
          <w:szCs w:val="26"/>
        </w:rPr>
        <w:t xml:space="preserve">WOW 2 — RPZ Structural Break Analysis</w:t>
      </w:r>
    </w:p>
    <w:p>
      <w:pPr>
        <w:spacing w:after="0" w:before="60"/>
      </w:pPr>
    </w:p>
    <w:p>
      <w:pPr>
        <w:spacing w:after="60" w:before="60"/>
      </w:pPr>
      <w:r>
        <w:rPr>
          <w:rFonts w:ascii="Arial" w:cs="Arial" w:eastAsia="Arial" w:hAnsi="Arial"/>
          <w:sz w:val="22"/>
          <w:szCs w:val="22"/>
        </w:rPr>
        <w:t xml:space="preserve">We apply a Chow Test to the quarterly RTB rent time series to detect whether the introduction of RPZ in Q4 2016 caused a statistically significant structural break in rental price growth rates. Prophet will also be used to detect this changepoint automatically.</w:t>
      </w:r>
    </w:p>
    <w:p>
      <w:pPr>
        <w:spacing w:after="0" w:before="60"/>
      </w:pPr>
    </w:p>
    <w:p>
      <w:pPr>
        <w:spacing w:after="60" w:before="60"/>
      </w:pPr>
      <w:r>
        <w:rPr>
          <w:rFonts w:ascii="Arial" w:cs="Arial" w:eastAsia="Arial" w:hAnsi="Arial"/>
          <w:sz w:val="22"/>
          <w:szCs w:val="22"/>
        </w:rPr>
        <w:t xml:space="preserve">Report output: A statistical test result stating whether RPZ caused a significant break (p-value), the magnitude of the break (percentage point reduction in growth rate), and a forecast showing whether this moderation is sustained or whether rents revert to pre-RPZ trajectory post-2025.</w:t>
      </w:r>
    </w:p>
    <w:p>
      <w:pPr>
        <w:spacing w:after="0" w:before="60"/>
      </w:pPr>
    </w:p>
    <w:p>
      <w:pPr>
        <w:pBdr>
          <w:left w:val="single" w:color="7D3C98" w:sz="20" w:space="10"/>
        </w:pBdr>
        <w:shd w:fill="F4ECF7" w:val="clear"/>
        <w:spacing w:after="120" w:before="120"/>
        <w:ind w:left="280"/>
      </w:pPr>
      <w:r>
        <w:rPr>
          <w:rFonts w:ascii="Arial" w:cs="Arial" w:eastAsia="Arial" w:hAnsi="Arial"/>
          <w:b w:val="false"/>
          <w:bCs w:val="false"/>
          <w:color w:val="4A235A"/>
          <w:sz w:val="22"/>
          <w:szCs w:val="22"/>
        </w:rPr>
        <w:t xml:space="preserve">O'Toole (2023) found 2 to 5 percentage points of moderation using difference-in-difference. We replicate and extend this using time-series methods and add a forward-looking forecast. This is a genuine extension of existing literature.</w:t>
      </w:r>
    </w:p>
    <w:p>
      <w:pPr>
        <w:spacing w:after="0" w:before="120"/>
      </w:pPr>
    </w:p>
    <w:p>
      <w:pPr>
        <w:spacing w:after="100" w:before="260"/>
      </w:pPr>
      <w:r>
        <w:rPr>
          <w:rFonts w:ascii="Arial" w:cs="Arial" w:eastAsia="Arial" w:hAnsi="Arial"/>
          <w:b/>
          <w:bCs/>
          <w:color w:val="117A65"/>
          <w:sz w:val="26"/>
          <w:szCs w:val="26"/>
        </w:rPr>
        <w:t xml:space="preserve">WOW 3 — Named Policy Scenario Forecasts</w:t>
      </w:r>
    </w:p>
    <w:p>
      <w:pPr>
        <w:spacing w:after="0" w:before="60"/>
      </w:pPr>
    </w:p>
    <w:p>
      <w:pPr>
        <w:spacing w:after="60" w:before="60"/>
      </w:pPr>
      <w:r>
        <w:rPr>
          <w:rFonts w:ascii="Arial" w:cs="Arial" w:eastAsia="Arial" w:hAnsi="Arial"/>
          <w:sz w:val="22"/>
          <w:szCs w:val="22"/>
        </w:rPr>
        <w:t xml:space="preserve">Three scenarios (four if Scenario D is included) each run through the SARIMAX model with adjusted exogenous variable values. Each produces a full forecast curve with confidence intervals. The key output is not the forecast numbers themselves but the derived policy window — how many quarters does each scenario give policymakers before the affordability threshold is breached.</w:t>
      </w:r>
    </w:p>
    <w:p>
      <w:pPr>
        <w:spacing w:after="0" w:before="60"/>
      </w:pPr>
    </w:p>
    <w:p>
      <w:pPr>
        <w:pBdr>
          <w:left w:val="single" w:color="117A65" w:sz="20" w:space="10"/>
        </w:pBdr>
        <w:shd w:fill="E8F8F5" w:val="clear"/>
        <w:spacing w:after="120" w:before="120"/>
        <w:ind w:left="280"/>
      </w:pPr>
      <w:r>
        <w:rPr>
          <w:rFonts w:ascii="Arial" w:cs="Arial" w:eastAsia="Arial" w:hAnsi="Arial"/>
          <w:b w:val="false"/>
          <w:bCs w:val="false"/>
          <w:color w:val="0A4A3A"/>
          <w:sz w:val="22"/>
          <w:szCs w:val="22"/>
        </w:rPr>
        <w:t xml:space="preserve">This is the direct answer to the research question 'can analytics give policymakers enough time?' The answer will be specific: Under Scenario A: 2 quarters. Under Scenario B: 8 quarters. Under Scenario C: 1 quarter.</w:t>
      </w:r>
    </w:p>
    <w:p>
      <w:pPr>
        <w:spacing w:after="0" w:before="120"/>
      </w:pPr>
    </w:p>
    <w:p>
      <w:pPr>
        <w:spacing w:after="100" w:before="260"/>
      </w:pPr>
      <w:r>
        <w:rPr>
          <w:rFonts w:ascii="Arial" w:cs="Arial" w:eastAsia="Arial" w:hAnsi="Arial"/>
          <w:b/>
          <w:bCs/>
          <w:color w:val="1F3864"/>
          <w:sz w:val="26"/>
          <w:szCs w:val="26"/>
        </w:rPr>
        <w:t xml:space="preserve">WOW 4 — Power BI Early Warning Dashboard</w:t>
      </w:r>
    </w:p>
    <w:p>
      <w:pPr>
        <w:spacing w:after="0" w:before="60"/>
      </w:pPr>
    </w:p>
    <w:p>
      <w:pPr>
        <w:spacing w:after="60" w:before="60"/>
      </w:pPr>
      <w:r>
        <w:rPr>
          <w:rFonts w:ascii="Arial" w:cs="Arial" w:eastAsia="Arial" w:hAnsi="Arial"/>
          <w:sz w:val="22"/>
          <w:szCs w:val="22"/>
        </w:rPr>
        <w:t xml:space="preserve">The dashboard is the decision-support tool that turns our analysis into something a government official can actually use. It is not a chart collection — it is an early warning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shd w:fill="1F3864" w:val="clear"/>
            <w:tcMar>
              <w:top w:type="dxa" w:w="100"/>
              <w:left w:type="dxa" w:w="140"/>
              <w:bottom w:type="dxa" w:w="100"/>
              <w:right w:type="dxa" w:w="140"/>
            </w:tcMar>
          </w:tcPr>
          <w:p>
            <w:r>
              <w:rPr>
                <w:rFonts w:ascii="Arial" w:cs="Arial" w:eastAsia="Arial" w:hAnsi="Arial"/>
                <w:b/>
                <w:bCs/>
                <w:color w:val="FFFFFF"/>
                <w:sz w:val="21"/>
                <w:szCs w:val="21"/>
              </w:rPr>
              <w:t xml:space="preserve">Dashboard Component</w:t>
            </w:r>
          </w:p>
        </w:tc>
        <w:tc>
          <w:tcPr>
            <w:tcW w:type="dxa" w:w="35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It Shows</w:t>
            </w:r>
          </w:p>
        </w:tc>
        <w:tc>
          <w:tcPr>
            <w:tcW w:type="dxa" w:w="3360"/>
            <w:shd w:fill="1F3864" w:val="clear"/>
            <w:tcMar>
              <w:top w:type="dxa" w:w="100"/>
              <w:left w:type="dxa" w:w="140"/>
              <w:bottom w:type="dxa" w:w="100"/>
              <w:right w:type="dxa" w:w="140"/>
            </w:tcMar>
          </w:tcPr>
          <w:p>
            <w:r>
              <w:rPr>
                <w:rFonts w:ascii="Arial" w:cs="Arial" w:eastAsia="Arial" w:hAnsi="Arial"/>
                <w:b/>
                <w:bCs/>
                <w:color w:val="FFFFFF"/>
                <w:sz w:val="21"/>
                <w:szCs w:val="21"/>
              </w:rPr>
              <w:t xml:space="preserve">Who Uses It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Ireland County Risk Map</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Counties colour-coded: Green below 25%, Amber 25-30%, Red above 30% affordability ratio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Minister for Housing — immediate visual of crisis geography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Scenario Forecast Panel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Three scenario forecast lines with confidence intervals and threshold markers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Policy analysts — compare intervention options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County Drill-Down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Click any county: historical rent, current level, forecast, breach quarter per scenario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Local authority planners — county-specific planning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Early Warning Alerts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Lists counties within 2 quarters of breaching threshold with urgency flag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RTB and DHLGH — trigger intervention decisions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Model Accuracy Summary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MAE, RMSE, MAPE for all four models — shows why SARIMAX was selected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Academic reviewers and examiners</w:t>
            </w:r>
          </w:p>
        </w:tc>
      </w:tr>
    </w:tbl>
    <w:p>
      <w:pPr>
        <w:pBdr>
          <w:bottom w:val="single" w:color="2E5FA3" w:sz="6" w:space="1"/>
        </w:pBdr>
        <w:spacing w:after="200" w:before="200"/>
      </w:pPr>
    </w:p>
    <w:p>
      <w:pPr>
        <w:spacing w:after="160" w:before="360"/>
      </w:pPr>
      <w:r>
        <w:rPr>
          <w:rFonts w:ascii="Arial" w:cs="Arial" w:eastAsia="Arial" w:hAnsi="Arial"/>
          <w:b/>
          <w:bCs/>
          <w:color w:val="1F3864"/>
          <w:sz w:val="36"/>
          <w:szCs w:val="36"/>
        </w:rPr>
        <w:t xml:space="preserve">Section 6 — Data Sources (Locked)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c>
          <w:tcPr>
            <w:tcW w:type="dxa" w:w="2200"/>
            <w:shd w:fill="1F3864" w:val="clear"/>
            <w:tcMar>
              <w:top w:type="dxa" w:w="100"/>
              <w:left w:type="dxa" w:w="140"/>
              <w:bottom w:type="dxa" w:w="100"/>
              <w:right w:type="dxa" w:w="140"/>
            </w:tcMar>
          </w:tcPr>
          <w:p>
            <w:r>
              <w:rPr>
                <w:rFonts w:ascii="Arial" w:cs="Arial" w:eastAsia="Arial" w:hAnsi="Arial"/>
                <w:b/>
                <w:bCs/>
                <w:color w:val="FFFFFF"/>
                <w:sz w:val="21"/>
                <w:szCs w:val="21"/>
              </w:rPr>
              <w:t xml:space="preserve">Dataset</w:t>
            </w:r>
          </w:p>
        </w:tc>
        <w:tc>
          <w:tcPr>
            <w:tcW w:type="dxa" w:w="1500"/>
            <w:shd w:fill="1F3864" w:val="clear"/>
            <w:tcMar>
              <w:top w:type="dxa" w:w="100"/>
              <w:left w:type="dxa" w:w="140"/>
              <w:bottom w:type="dxa" w:w="100"/>
              <w:right w:type="dxa" w:w="140"/>
            </w:tcMar>
          </w:tcPr>
          <w:p>
            <w:r>
              <w:rPr>
                <w:rFonts w:ascii="Arial" w:cs="Arial" w:eastAsia="Arial" w:hAnsi="Arial"/>
                <w:b/>
                <w:bCs/>
                <w:color w:val="FFFFFF"/>
                <w:sz w:val="21"/>
                <w:szCs w:val="21"/>
              </w:rPr>
              <w:t xml:space="preserve">Source</w:t>
            </w:r>
          </w:p>
        </w:tc>
        <w:tc>
          <w:tcPr>
            <w:tcW w:type="dxa" w:w="3000"/>
            <w:shd w:fill="1F3864" w:val="clear"/>
            <w:tcMar>
              <w:top w:type="dxa" w:w="100"/>
              <w:left w:type="dxa" w:w="140"/>
              <w:bottom w:type="dxa" w:w="100"/>
              <w:right w:type="dxa" w:w="140"/>
            </w:tcMar>
          </w:tcPr>
          <w:p>
            <w:r>
              <w:rPr>
                <w:rFonts w:ascii="Arial" w:cs="Arial" w:eastAsia="Arial" w:hAnsi="Arial"/>
                <w:b/>
                <w:bCs/>
                <w:color w:val="FFFFFF"/>
                <w:sz w:val="21"/>
                <w:szCs w:val="21"/>
              </w:rPr>
              <w:t xml:space="preserve">What It Provides</w:t>
            </w:r>
          </w:p>
        </w:tc>
        <w:tc>
          <w:tcPr>
            <w:tcW w:type="dxa" w:w="2660"/>
            <w:shd w:fill="1F3864" w:val="clear"/>
            <w:tcMar>
              <w:top w:type="dxa" w:w="100"/>
              <w:left w:type="dxa" w:w="140"/>
              <w:bottom w:type="dxa" w:w="100"/>
              <w:right w:type="dxa" w:w="140"/>
            </w:tcMar>
          </w:tcPr>
          <w:p>
            <w:r>
              <w:rPr>
                <w:rFonts w:ascii="Arial" w:cs="Arial" w:eastAsia="Arial" w:hAnsi="Arial"/>
                <w:b/>
                <w:bCs/>
                <w:color w:val="FFFFFF"/>
                <w:sz w:val="21"/>
                <w:szCs w:val="21"/>
              </w:rPr>
              <w:t xml:space="preserve">Used For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RTB Rent Index — Quarterly Regional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RTB–ESRI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Dublin, Non-Dublin, GDA rents Q3 2007 to Q2 2025</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Primary time series for 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RTB Average Rent by County (RIA02)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RTB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County-level quarterly rents — 26 counties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County-level forecasts and affordability mapping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Residential Property Price Index</w:t>
            </w:r>
          </w:p>
        </w:tc>
        <w:tc>
          <w:tcPr>
            <w:tcW w:type="dxa" w:w="1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CSO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House purchase price index from 2010</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Exogenous variable — housing market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Unemployment Rate Monthly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CSO — MUM01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Monthly unemployment rate by region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Key SARIMAX exogenous variable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Average Household Income (SILC)</w:t>
            </w:r>
          </w:p>
        </w:tc>
        <w:tc>
          <w:tcPr>
            <w:tcW w:type="dxa" w:w="1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CSO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Annual average household income by region</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Denominator for 30% affordability threshold 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Housing Completions Quarterly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DHLGH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New housing units completed per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Scenario B variable — supply acceleration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Landlord Registration Data</w:t>
            </w:r>
          </w:p>
        </w:tc>
        <w:tc>
          <w:tcPr>
            <w:tcW w:type="dxa" w:w="1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RTB Annual Report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Net change in individual landlord registrations</w:t>
            </w:r>
          </w:p>
        </w:tc>
        <w:tc>
          <w:tcPr>
            <w:tcW w:type="dxa" w:w="26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Scenario C variable — landlord exodus quantification</w:t>
            </w:r>
          </w:p>
        </w:tc>
      </w:tr>
    </w:tbl>
    <w:p>
      <w:pPr>
        <w:spacing w:after="0" w:before="120"/>
      </w:pPr>
    </w:p>
    <w:p>
      <w:pPr>
        <w:pBdr>
          <w:left w:val="single" w:color="2E5FA3" w:sz="20" w:space="10"/>
        </w:pBdr>
        <w:shd w:fill="EBF5FB" w:val="clear"/>
        <w:spacing w:after="120" w:before="120"/>
        <w:ind w:left="280"/>
      </w:pPr>
      <w:r>
        <w:rPr>
          <w:rFonts w:ascii="Arial" w:cs="Arial" w:eastAsia="Arial" w:hAnsi="Arial"/>
          <w:b w:val="false"/>
          <w:bCs w:val="false"/>
          <w:color w:val="0A2A4A"/>
          <w:sz w:val="22"/>
          <w:szCs w:val="22"/>
        </w:rPr>
        <w:t xml:space="preserve">Data note: Figure-2 from RTB (already downloaded) covers regional level Q3 2007 to Q2 2025. County-level RIA02 data needs to be downloaded from rtb.ie. CSO unemployment data (MUM01) needs to be downloaded from data.cso.ie. SILC income data is available as annual reports from CSO.</w:t>
      </w:r>
    </w:p>
    <w:p>
      <w:pPr>
        <w:pBdr>
          <w:bottom w:val="single" w:color="2E5FA3" w:sz="6" w:space="1"/>
        </w:pBdr>
        <w:spacing w:after="200" w:before="200"/>
      </w:pPr>
    </w:p>
    <w:p>
      <w:r>
        <w:br w:type="page"/>
      </w:r>
    </w:p>
    <w:p>
      <w:pPr>
        <w:spacing w:after="160" w:before="360"/>
      </w:pPr>
      <w:r>
        <w:rPr>
          <w:rFonts w:ascii="Arial" w:cs="Arial" w:eastAsia="Arial" w:hAnsi="Arial"/>
          <w:b/>
          <w:bCs/>
          <w:color w:val="1F3864"/>
          <w:sz w:val="36"/>
          <w:szCs w:val="36"/>
        </w:rPr>
        <w:t xml:space="preserve">Section 7 — How This Flows into the Final Report</w:t>
      </w:r>
    </w:p>
    <w:p>
      <w:pPr>
        <w:spacing w:after="0" w:before="60"/>
      </w:pPr>
    </w:p>
    <w:p>
      <w:pPr>
        <w:spacing w:after="60" w:before="60"/>
      </w:pPr>
      <w:r>
        <w:rPr>
          <w:rFonts w:ascii="Arial" w:cs="Arial" w:eastAsia="Arial" w:hAnsi="Arial"/>
          <w:sz w:val="22"/>
          <w:szCs w:val="22"/>
        </w:rPr>
        <w:t xml:space="preserve">Every section of our final report maps directly to a decision made in this document. Use the table below when writing.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shd w:fill="1F3864" w:val="clear"/>
            <w:tcMar>
              <w:top w:type="dxa" w:w="100"/>
              <w:left w:type="dxa" w:w="140"/>
              <w:bottom w:type="dxa" w:w="100"/>
              <w:right w:type="dxa" w:w="140"/>
            </w:tcMar>
          </w:tcPr>
          <w:p>
            <w:r>
              <w:rPr>
                <w:rFonts w:ascii="Arial" w:cs="Arial" w:eastAsia="Arial" w:hAnsi="Arial"/>
                <w:b/>
                <w:bCs/>
                <w:color w:val="FFFFFF"/>
                <w:sz w:val="21"/>
                <w:szCs w:val="21"/>
              </w:rPr>
              <w:t xml:space="preserve">Report Section</w:t>
            </w:r>
          </w:p>
        </w:tc>
        <w:tc>
          <w:tcPr>
            <w:tcW w:type="dxa" w:w="3000"/>
            <w:shd w:fill="1F3864" w:val="clear"/>
            <w:tcMar>
              <w:top w:type="dxa" w:w="100"/>
              <w:left w:type="dxa" w:w="140"/>
              <w:bottom w:type="dxa" w:w="100"/>
              <w:right w:type="dxa" w:w="140"/>
            </w:tcMar>
          </w:tcPr>
          <w:p>
            <w:r>
              <w:rPr>
                <w:rFonts w:ascii="Arial" w:cs="Arial" w:eastAsia="Arial" w:hAnsi="Arial"/>
                <w:b/>
                <w:bCs/>
                <w:color w:val="FFFFFF"/>
                <w:sz w:val="21"/>
                <w:szCs w:val="21"/>
              </w:rPr>
              <w:t xml:space="preserve">Content Source in This Document</w:t>
            </w:r>
          </w:p>
        </w:tc>
        <w:tc>
          <w:tcPr>
            <w:tcW w:type="dxa" w:w="3860"/>
            <w:shd w:fill="1F3864" w:val="clear"/>
            <w:tcMar>
              <w:top w:type="dxa" w:w="100"/>
              <w:left w:type="dxa" w:w="140"/>
              <w:bottom w:type="dxa" w:w="100"/>
              <w:right w:type="dxa" w:w="140"/>
            </w:tcMar>
          </w:tcPr>
          <w:p>
            <w:r>
              <w:rPr>
                <w:rFonts w:ascii="Arial" w:cs="Arial" w:eastAsia="Arial" w:hAnsi="Arial"/>
                <w:b/>
                <w:bCs/>
                <w:color w:val="FFFFFF"/>
                <w:sz w:val="21"/>
                <w:szCs w:val="21"/>
              </w:rPr>
              <w:t xml:space="preserve">Key Things to Include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Abstract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Summary of all sections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Research question, methods (4 models), key finding (affordability breach timeline), policy implication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 Introduction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Section 1 — Research Question + Why We Chose 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State RQ and 3 SQs. Explain why this is current and unresolved. Mention NCI gap. State scope (2007-2025, county level).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2. Literature Review</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Section 4 — Gap and Literature</w:t>
            </w:r>
          </w:p>
        </w:tc>
        <w:tc>
          <w:tcPr>
            <w:tcW w:type="dxa" w:w="3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Review 6-7 papers, identify what each misses, write the gap paragraph. End with: 'This study addresses that gap 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Section 6 — Data Sources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Describe each dataset, its source, time period, and what it contributes. Justify why each exogenous variable is included with a citation.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4. Methodology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Section 3 — Model Selection</w:t>
            </w:r>
          </w:p>
        </w:tc>
        <w:tc>
          <w:tcPr>
            <w:tcW w:type="dxa" w:w="3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Explain each model, why it was chosen, how it handles seasonality. Describe Chow Test for RPZ. Describe scenario construction.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 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Sections 2 and 5 — Scenarios and WOW Factors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Model comparison table (MAE/RMSE/MAPE). Affordability breach timeline. RPZ structural break result. Scenario forecast charts.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6. Discussion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Section 2 — Scenario reasoning</w:t>
            </w:r>
          </w:p>
        </w:tc>
        <w:tc>
          <w:tcPr>
            <w:tcW w:type="dxa" w:w="3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Interpret what each scenario means for policy. Which scenario is most likely. What the forecast says about the window for intervention.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7. Conclusion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Research question from Section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Directly answer: Is Ireland heading to systemic crisis? Can analytics give enough time? State 3-5 policy recommendations. State limitations.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Dashboard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Section 5 WOW 4</w:t>
            </w:r>
          </w:p>
        </w:tc>
        <w:tc>
          <w:tcPr>
            <w:tcW w:type="dxa" w:w="3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1"/>
                <w:szCs w:val="21"/>
              </w:rPr>
              <w:t xml:space="preserve">Power BI screenshots. Explain each panel. Show how a policymaker would use it.</w:t>
            </w:r>
          </w:p>
        </w:tc>
      </w:tr>
    </w:tbl>
    <w:p>
      <w:pPr>
        <w:spacing w:after="0" w:before="160"/>
      </w:pPr>
    </w:p>
    <w:p>
      <w:pPr>
        <w:pBdr>
          <w:bottom w:val="single" w:color="1F3864" w:sz="6" w:space="1"/>
        </w:pBdr>
        <w:spacing w:after="200" w:before="200"/>
      </w:pPr>
    </w:p>
    <w:p>
      <w:pPr>
        <w:spacing w:after="80" w:before="200"/>
        <w:jc w:val="center"/>
      </w:pPr>
      <w:r>
        <w:rPr>
          <w:rFonts w:ascii="Arial" w:cs="Arial" w:eastAsia="Arial" w:hAnsi="Arial"/>
          <w:b/>
          <w:bCs/>
          <w:color w:val="1F3864"/>
          <w:sz w:val="26"/>
          <w:szCs w:val="26"/>
        </w:rPr>
        <w:t xml:space="preserve">This document is the project brain.</w:t>
      </w:r>
    </w:p>
    <w:p>
      <w:pPr>
        <w:spacing w:after="60" w:before="60"/>
        <w:jc w:val="center"/>
      </w:pPr>
      <w:r>
        <w:rPr>
          <w:rFonts w:ascii="Arial" w:cs="Arial" w:eastAsia="Arial" w:hAnsi="Arial"/>
          <w:color w:val="2E5FA3"/>
          <w:sz w:val="22"/>
          <w:szCs w:val="22"/>
        </w:rPr>
        <w:t xml:space="preserve">Everything decided here flows directly into the final report. Do not deviate from this plan.</w:t>
      </w:r>
    </w:p>
    <w:p>
      <w:pPr>
        <w:spacing w:after="60" w:before="60"/>
        <w:jc w:val="center"/>
      </w:pPr>
      <w:r>
        <w:rPr>
          <w:rFonts w:ascii="Arial" w:cs="Arial" w:eastAsia="Arial" w:hAnsi="Arial"/>
          <w:color w:val="888888"/>
          <w:sz w:val="21"/>
          <w:szCs w:val="21"/>
        </w:rPr>
        <w:t xml:space="preserve">Last updated: 5 April 2026  |  Next step: Data download and model execution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2026-04-05T01:18:12.719Z</dcterms:created>
  <dcterms:modified xsi:type="dcterms:W3CDTF">2026-04-05T01:18:12.719Z</dcterms:modified>
</cp:coreProperties>
</file>

<file path=docProps/custom.xml><?xml version="1.0" encoding="utf-8"?>
<Properties xmlns="http://schemas.openxmlformats.org/officeDocument/2006/custom-properties" xmlns:vt="http://schemas.openxmlformats.org/officeDocument/2006/docPropsVTypes"/>
</file>