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0F232B" w14:textId="77777777" w:rsidR="00DD7F87" w:rsidRDefault="00000000">
      <w:pPr>
        <w:spacing w:before="1200" w:after="80"/>
        <w:jc w:val="center"/>
      </w:pPr>
      <w:r>
        <w:rPr>
          <w:color w:val="888888"/>
        </w:rPr>
        <w:t>MS5131 — MSc Business Analytics</w:t>
      </w:r>
    </w:p>
    <w:p w14:paraId="21C4EA1C" w14:textId="77777777" w:rsidR="00DD7F87" w:rsidRDefault="00000000">
      <w:pPr>
        <w:spacing w:before="80" w:after="80"/>
        <w:jc w:val="center"/>
      </w:pPr>
      <w:r>
        <w:rPr>
          <w:b/>
          <w:bCs/>
          <w:color w:val="1F3864"/>
          <w:sz w:val="44"/>
          <w:szCs w:val="44"/>
        </w:rPr>
        <w:t>Major Project — Research Direction Document</w:t>
      </w:r>
    </w:p>
    <w:p w14:paraId="1A560493" w14:textId="77777777" w:rsidR="00DD7F87" w:rsidRDefault="00000000">
      <w:pPr>
        <w:spacing w:before="80" w:after="80"/>
        <w:jc w:val="center"/>
      </w:pPr>
      <w:r>
        <w:rPr>
          <w:color w:val="2E5FA3"/>
          <w:sz w:val="24"/>
          <w:szCs w:val="24"/>
        </w:rPr>
        <w:t>Research Questions, Project Plan &amp; Locked Strategy</w:t>
      </w:r>
    </w:p>
    <w:p w14:paraId="70FA2B0E" w14:textId="77777777" w:rsidR="00DD7F87" w:rsidRDefault="00DD7F87">
      <w:pPr>
        <w:spacing w:before="80"/>
      </w:pPr>
    </w:p>
    <w:p w14:paraId="4852A601" w14:textId="77777777" w:rsidR="00DD7F87" w:rsidRDefault="00000000">
      <w:pPr>
        <w:spacing w:before="80" w:after="80"/>
        <w:jc w:val="center"/>
      </w:pPr>
      <w:r>
        <w:rPr>
          <w:color w:val="888888"/>
          <w:sz w:val="21"/>
          <w:szCs w:val="21"/>
        </w:rPr>
        <w:t>Prepared by Ajinkya Barve  |  For Group Review  |  Deadline: 10 April 2026</w:t>
      </w:r>
    </w:p>
    <w:p w14:paraId="25B76030" w14:textId="77777777" w:rsidR="00DD7F87" w:rsidRDefault="00000000">
      <w:pPr>
        <w:spacing w:before="60" w:after="60"/>
        <w:jc w:val="center"/>
      </w:pPr>
      <w:r>
        <w:rPr>
          <w:color w:val="AAAAAA"/>
          <w:sz w:val="21"/>
          <w:szCs w:val="21"/>
        </w:rPr>
        <w:t>Group: Ajinkya Barve · Dorca Masa · Harshitha Narendra Kumar · Padmaja Miriyala</w:t>
      </w:r>
    </w:p>
    <w:p w14:paraId="06F1D387" w14:textId="77777777" w:rsidR="00DD7F87" w:rsidRDefault="00DD7F87">
      <w:pPr>
        <w:pBdr>
          <w:bottom w:val="single" w:sz="4" w:space="1" w:color="1F3864"/>
        </w:pBdr>
        <w:spacing w:before="200" w:after="200"/>
      </w:pPr>
    </w:p>
    <w:p w14:paraId="064C9D77" w14:textId="77777777" w:rsidR="00DD7F87" w:rsidRDefault="00000000">
      <w:pPr>
        <w:spacing w:before="400" w:after="160"/>
      </w:pPr>
      <w:r>
        <w:rPr>
          <w:b/>
          <w:bCs/>
          <w:color w:val="1F3864"/>
          <w:sz w:val="34"/>
          <w:szCs w:val="34"/>
        </w:rPr>
        <w:t>1.  Why This Document Exists</w:t>
      </w:r>
    </w:p>
    <w:p w14:paraId="44419348" w14:textId="77777777" w:rsidR="00DD7F87" w:rsidRDefault="00000000">
      <w:pPr>
        <w:spacing w:before="80" w:after="80"/>
      </w:pPr>
      <w:r>
        <w:t>Our group received 61/100 in ID1 and 60/100 in ID2. Both scores are below the 75% we need for the final submission. After a detailed analysis of all three instructors' feedback (Rosati, Vamsi, and Rudy), three core problems were identified:</w:t>
      </w:r>
    </w:p>
    <w:p w14:paraId="22BBFBB6" w14:textId="77777777" w:rsidR="00DD7F87" w:rsidRDefault="00DD7F87">
      <w:pPr>
        <w:spacing w:before="60"/>
      </w:pPr>
    </w:p>
    <w:p w14:paraId="20B444B1" w14:textId="77777777" w:rsidR="00DD7F87" w:rsidRDefault="00000000">
      <w:pPr>
        <w:pStyle w:val="ListParagraph"/>
        <w:numPr>
          <w:ilvl w:val="0"/>
          <w:numId w:val="2"/>
        </w:numPr>
        <w:spacing w:before="40" w:after="40"/>
      </w:pPr>
      <w:r>
        <w:rPr>
          <w:b/>
          <w:bCs/>
        </w:rPr>
        <w:t>No clear research question — every section felt disconnected</w:t>
      </w:r>
    </w:p>
    <w:p w14:paraId="3EBC1065" w14:textId="77777777" w:rsidR="00DD7F87" w:rsidRDefault="00000000">
      <w:pPr>
        <w:pStyle w:val="ListParagraph"/>
        <w:numPr>
          <w:ilvl w:val="0"/>
          <w:numId w:val="2"/>
        </w:numPr>
        <w:spacing w:before="40" w:after="40"/>
      </w:pPr>
      <w:r>
        <w:rPr>
          <w:b/>
          <w:bCs/>
        </w:rPr>
        <w:t>Literature review was descriptive, not analytical — no gap was identified</w:t>
      </w:r>
    </w:p>
    <w:p w14:paraId="4FCDC137" w14:textId="77777777" w:rsidR="00DD7F87" w:rsidRDefault="00000000">
      <w:pPr>
        <w:pStyle w:val="ListParagraph"/>
        <w:numPr>
          <w:ilvl w:val="0"/>
          <w:numId w:val="2"/>
        </w:numPr>
        <w:spacing w:before="40" w:after="40"/>
      </w:pPr>
      <w:r>
        <w:rPr>
          <w:b/>
          <w:bCs/>
        </w:rPr>
        <w:t>No actual model results or forecasts were shown — project was still a plan, not a product</w:t>
      </w:r>
    </w:p>
    <w:p w14:paraId="237A429C" w14:textId="77777777" w:rsidR="00DD7F87" w:rsidRDefault="00DD7F87">
      <w:pPr>
        <w:spacing w:before="80"/>
      </w:pPr>
    </w:p>
    <w:p w14:paraId="245A162B" w14:textId="77777777" w:rsidR="00DD7F87" w:rsidRDefault="00000000">
      <w:pPr>
        <w:spacing w:before="80" w:after="80"/>
      </w:pPr>
      <w:r>
        <w:t>This document fixes all three. It presents our research questions (developed from teacher feedback), our locked project plan, and what makes our project stand out. Please read carefully and vote on the research question before we begin writing.</w:t>
      </w:r>
    </w:p>
    <w:p w14:paraId="2F112BA4" w14:textId="77777777" w:rsidR="00DD7F87" w:rsidRDefault="00DD7F87">
      <w:pPr>
        <w:pBdr>
          <w:bottom w:val="single" w:sz="4" w:space="1" w:color="2E5FA3"/>
        </w:pBdr>
        <w:spacing w:before="200" w:after="200"/>
      </w:pPr>
    </w:p>
    <w:p w14:paraId="40C3F903" w14:textId="77777777" w:rsidR="00DD7F87" w:rsidRDefault="00000000">
      <w:pPr>
        <w:spacing w:before="400" w:after="160"/>
      </w:pPr>
      <w:r>
        <w:rPr>
          <w:b/>
          <w:bCs/>
          <w:color w:val="1F3864"/>
          <w:sz w:val="34"/>
          <w:szCs w:val="34"/>
        </w:rPr>
        <w:t>2.  Research Questions — Team Vote Required</w:t>
      </w:r>
    </w:p>
    <w:p w14:paraId="3934B80A" w14:textId="77777777" w:rsidR="00DD7F87" w:rsidRDefault="00DD7F87">
      <w:pPr>
        <w:spacing w:before="60"/>
      </w:pPr>
    </w:p>
    <w:p w14:paraId="36852A34" w14:textId="77777777" w:rsidR="00DD7F87" w:rsidRDefault="00000000">
      <w:pPr>
        <w:pBdr>
          <w:left w:val="single" w:sz="16" w:space="8" w:color="F39C12"/>
        </w:pBdr>
        <w:shd w:val="clear" w:color="auto" w:fill="FFF9C4"/>
        <w:spacing w:before="120" w:after="120"/>
        <w:ind w:left="280"/>
      </w:pPr>
      <w:r>
        <w:rPr>
          <w:b/>
          <w:bCs/>
          <w:color w:val="7D6608"/>
        </w:rPr>
        <w:t>Important Note: All four versions below were built around the SAME project plan — the locked strategy described in Section 3. The question is not about changing direction, only about how we frame and present that direction to the examiner. Please choose the version that sounds most compelling to you.</w:t>
      </w:r>
    </w:p>
    <w:p w14:paraId="2DB0ED2D" w14:textId="77777777" w:rsidR="00DD7F87" w:rsidRDefault="00DD7F87">
      <w:pPr>
        <w:spacing w:before="120"/>
      </w:pPr>
    </w:p>
    <w:p w14:paraId="77879A7B" w14:textId="77777777" w:rsidR="00DD7F87" w:rsidRDefault="00000000">
      <w:pPr>
        <w:spacing w:before="280" w:after="120"/>
      </w:pPr>
      <w:r>
        <w:rPr>
          <w:b/>
          <w:bCs/>
          <w:color w:val="2E5FA3"/>
          <w:sz w:val="26"/>
          <w:szCs w:val="26"/>
        </w:rPr>
        <w:t>Version 1 — Simple &amp; Clear</w:t>
      </w:r>
    </w:p>
    <w:p w14:paraId="283E574C"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87" w14:paraId="118123F9" w14:textId="77777777">
        <w:tblPrEx>
          <w:tblCellMar>
            <w:top w:w="0" w:type="dxa"/>
            <w:bottom w:w="0" w:type="dxa"/>
          </w:tblCellMar>
        </w:tblPrEx>
        <w:tc>
          <w:tcPr>
            <w:tcW w:w="9360" w:type="dxa"/>
            <w:shd w:val="clear" w:color="auto" w:fill="1F3864"/>
            <w:tcMar>
              <w:top w:w="120" w:type="dxa"/>
              <w:left w:w="180" w:type="dxa"/>
              <w:bottom w:w="120" w:type="dxa"/>
              <w:right w:w="180" w:type="dxa"/>
            </w:tcMar>
          </w:tcPr>
          <w:p w14:paraId="7AA7C6C3" w14:textId="77777777" w:rsidR="00DD7F87" w:rsidRDefault="00000000">
            <w:r>
              <w:rPr>
                <w:b/>
                <w:bCs/>
                <w:color w:val="FFFFFF"/>
                <w:sz w:val="24"/>
                <w:szCs w:val="24"/>
              </w:rPr>
              <w:lastRenderedPageBreak/>
              <w:t xml:space="preserve">Version 1  </w:t>
            </w:r>
            <w:r>
              <w:rPr>
                <w:color w:val="DDDDDD"/>
              </w:rPr>
              <w:t>Simple &amp; Clear</w:t>
            </w:r>
          </w:p>
        </w:tc>
      </w:tr>
      <w:tr w:rsidR="00DD7F87" w14:paraId="1CFD5DFF" w14:textId="77777777">
        <w:tblPrEx>
          <w:tblCellMar>
            <w:top w:w="0" w:type="dxa"/>
            <w:bottom w:w="0" w:type="dxa"/>
          </w:tblCellMar>
        </w:tblPrEx>
        <w:tc>
          <w:tcPr>
            <w:tcW w:w="9360" w:type="dxa"/>
            <w:shd w:val="clear" w:color="auto" w:fill="EBF5FB"/>
            <w:tcMar>
              <w:top w:w="120" w:type="dxa"/>
              <w:left w:w="180" w:type="dxa"/>
              <w:bottom w:w="120" w:type="dxa"/>
              <w:right w:w="180" w:type="dxa"/>
            </w:tcMar>
          </w:tcPr>
          <w:p w14:paraId="224DC7F9" w14:textId="77777777" w:rsidR="00DD7F87" w:rsidRDefault="00000000">
            <w:r>
              <w:rPr>
                <w:b/>
                <w:bCs/>
                <w:color w:val="1A1A1A"/>
              </w:rPr>
              <w:t>"How will rental prices across Irish counties evolve over the next two years, and when will they become unaffordable for average households — and what should policymakers do about it?"</w:t>
            </w:r>
          </w:p>
        </w:tc>
      </w:tr>
      <w:tr w:rsidR="00DD7F87" w14:paraId="67921475" w14:textId="77777777">
        <w:tblPrEx>
          <w:tblCellMar>
            <w:top w:w="0" w:type="dxa"/>
            <w:bottom w:w="0" w:type="dxa"/>
          </w:tblCellMar>
        </w:tblPrEx>
        <w:tc>
          <w:tcPr>
            <w:tcW w:w="9360" w:type="dxa"/>
            <w:shd w:val="clear" w:color="auto" w:fill="FAFAFA"/>
            <w:tcMar>
              <w:top w:w="100" w:type="dxa"/>
              <w:left w:w="180" w:type="dxa"/>
              <w:bottom w:w="100" w:type="dxa"/>
              <w:right w:w="180" w:type="dxa"/>
            </w:tcMar>
          </w:tcPr>
          <w:p w14:paraId="3F0BBE80" w14:textId="77777777" w:rsidR="00DD7F87" w:rsidRDefault="00000000">
            <w:pPr>
              <w:spacing w:before="80" w:after="60"/>
            </w:pPr>
            <w:r>
              <w:rPr>
                <w:b/>
                <w:bCs/>
                <w:color w:val="444444"/>
                <w:sz w:val="21"/>
                <w:szCs w:val="21"/>
              </w:rPr>
              <w:t>Sub-Questions:</w:t>
            </w:r>
          </w:p>
          <w:p w14:paraId="40981D8D" w14:textId="77777777" w:rsidR="00DD7F87" w:rsidRDefault="00000000">
            <w:pPr>
              <w:spacing w:before="40" w:after="40"/>
              <w:ind w:left="360"/>
            </w:pPr>
            <w:r>
              <w:rPr>
                <w:color w:val="333333"/>
                <w:sz w:val="21"/>
                <w:szCs w:val="21"/>
              </w:rPr>
              <w:t>SQ1: What trends, regional differences, and economic factors have driven Irish rental prices from 2007 to 2025?</w:t>
            </w:r>
          </w:p>
          <w:p w14:paraId="26B27707" w14:textId="77777777" w:rsidR="00DD7F87" w:rsidRDefault="00000000">
            <w:pPr>
              <w:spacing w:before="40" w:after="40"/>
              <w:ind w:left="360"/>
            </w:pPr>
            <w:r>
              <w:rPr>
                <w:color w:val="333333"/>
                <w:sz w:val="21"/>
                <w:szCs w:val="21"/>
              </w:rPr>
              <w:t>SQ2: Which forecasting model best predicts Irish rental prices — and why is it better than the alternatives?</w:t>
            </w:r>
          </w:p>
          <w:p w14:paraId="278D01FD" w14:textId="77777777" w:rsidR="00DD7F87" w:rsidRDefault="00000000">
            <w:pPr>
              <w:spacing w:before="40" w:after="40"/>
              <w:ind w:left="360"/>
            </w:pPr>
            <w:r>
              <w:rPr>
                <w:color w:val="333333"/>
                <w:sz w:val="21"/>
                <w:szCs w:val="21"/>
              </w:rPr>
              <w:t>SQ3: Which Irish counties will cross the affordability limit first, and what policy actions can prevent it?</w:t>
            </w:r>
          </w:p>
        </w:tc>
      </w:tr>
    </w:tbl>
    <w:p w14:paraId="6A27CCA1" w14:textId="77777777" w:rsidR="00DD7F87" w:rsidRDefault="00DD7F87">
      <w:pPr>
        <w:spacing w:before="80"/>
      </w:pPr>
    </w:p>
    <w:p w14:paraId="13E22D8F" w14:textId="77777777" w:rsidR="00DD7F87" w:rsidRDefault="00000000">
      <w:pPr>
        <w:spacing w:before="80" w:after="80"/>
      </w:pPr>
      <w:r>
        <w:t>Why this works: Easy to understand. Every reader — examiner, government official, teammate — immediately knows what the project is about. Strong but not complex.</w:t>
      </w:r>
    </w:p>
    <w:p w14:paraId="66FA7E18" w14:textId="77777777" w:rsidR="00DD7F87" w:rsidRDefault="00DD7F87">
      <w:pPr>
        <w:spacing w:before="160"/>
      </w:pPr>
    </w:p>
    <w:p w14:paraId="32C452EF" w14:textId="77777777" w:rsidR="00DD7F87" w:rsidRDefault="00000000">
      <w:pPr>
        <w:spacing w:before="280" w:after="120"/>
      </w:pPr>
      <w:r>
        <w:rPr>
          <w:b/>
          <w:bCs/>
          <w:color w:val="2E5FA3"/>
          <w:sz w:val="26"/>
          <w:szCs w:val="26"/>
        </w:rPr>
        <w:t>Version 2 — Bold &amp; Journalistic</w:t>
      </w:r>
    </w:p>
    <w:p w14:paraId="30AE6A1A"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87" w14:paraId="7AFD55C3" w14:textId="77777777">
        <w:tblPrEx>
          <w:tblCellMar>
            <w:top w:w="0" w:type="dxa"/>
            <w:bottom w:w="0" w:type="dxa"/>
          </w:tblCellMar>
        </w:tblPrEx>
        <w:tc>
          <w:tcPr>
            <w:tcW w:w="9360" w:type="dxa"/>
            <w:shd w:val="clear" w:color="auto" w:fill="1F3864"/>
            <w:tcMar>
              <w:top w:w="120" w:type="dxa"/>
              <w:left w:w="180" w:type="dxa"/>
              <w:bottom w:w="120" w:type="dxa"/>
              <w:right w:w="180" w:type="dxa"/>
            </w:tcMar>
          </w:tcPr>
          <w:p w14:paraId="2E2921AA" w14:textId="77777777" w:rsidR="00DD7F87" w:rsidRDefault="00000000">
            <w:r>
              <w:rPr>
                <w:b/>
                <w:bCs/>
                <w:color w:val="FFFFFF"/>
                <w:sz w:val="24"/>
                <w:szCs w:val="24"/>
              </w:rPr>
              <w:t xml:space="preserve">Version 2  </w:t>
            </w:r>
            <w:r>
              <w:rPr>
                <w:color w:val="DDDDDD"/>
              </w:rPr>
              <w:t>Bold &amp; Journalistic</w:t>
            </w:r>
          </w:p>
        </w:tc>
      </w:tr>
      <w:tr w:rsidR="00DD7F87" w14:paraId="435B5489" w14:textId="77777777">
        <w:tblPrEx>
          <w:tblCellMar>
            <w:top w:w="0" w:type="dxa"/>
            <w:bottom w:w="0" w:type="dxa"/>
          </w:tblCellMar>
        </w:tblPrEx>
        <w:tc>
          <w:tcPr>
            <w:tcW w:w="9360" w:type="dxa"/>
            <w:shd w:val="clear" w:color="auto" w:fill="EBF5FB"/>
            <w:tcMar>
              <w:top w:w="120" w:type="dxa"/>
              <w:left w:w="180" w:type="dxa"/>
              <w:bottom w:w="120" w:type="dxa"/>
              <w:right w:w="180" w:type="dxa"/>
            </w:tcMar>
          </w:tcPr>
          <w:p w14:paraId="63D02654" w14:textId="77777777" w:rsidR="00DD7F87" w:rsidRDefault="00000000">
            <w:r>
              <w:rPr>
                <w:b/>
                <w:bCs/>
                <w:color w:val="1A1A1A"/>
              </w:rPr>
              <w:t>"When will Irish rental markets break — and can we predict it before it happens?"</w:t>
            </w:r>
          </w:p>
        </w:tc>
      </w:tr>
      <w:tr w:rsidR="00DD7F87" w14:paraId="6DB6DF8E" w14:textId="77777777">
        <w:tblPrEx>
          <w:tblCellMar>
            <w:top w:w="0" w:type="dxa"/>
            <w:bottom w:w="0" w:type="dxa"/>
          </w:tblCellMar>
        </w:tblPrEx>
        <w:tc>
          <w:tcPr>
            <w:tcW w:w="9360" w:type="dxa"/>
            <w:shd w:val="clear" w:color="auto" w:fill="FAFAFA"/>
            <w:tcMar>
              <w:top w:w="100" w:type="dxa"/>
              <w:left w:w="180" w:type="dxa"/>
              <w:bottom w:w="100" w:type="dxa"/>
              <w:right w:w="180" w:type="dxa"/>
            </w:tcMar>
          </w:tcPr>
          <w:p w14:paraId="21C6D474" w14:textId="77777777" w:rsidR="00DD7F87" w:rsidRDefault="00000000">
            <w:pPr>
              <w:spacing w:before="80" w:after="60"/>
            </w:pPr>
            <w:r>
              <w:rPr>
                <w:b/>
                <w:bCs/>
                <w:color w:val="444444"/>
                <w:sz w:val="21"/>
                <w:szCs w:val="21"/>
              </w:rPr>
              <w:t>Sub-Questions:</w:t>
            </w:r>
          </w:p>
          <w:p w14:paraId="63D120F5" w14:textId="77777777" w:rsidR="00DD7F87" w:rsidRDefault="00000000">
            <w:pPr>
              <w:spacing w:before="40" w:after="40"/>
              <w:ind w:left="360"/>
            </w:pPr>
            <w:r>
              <w:rPr>
                <w:color w:val="333333"/>
                <w:sz w:val="21"/>
                <w:szCs w:val="21"/>
              </w:rPr>
              <w:t>SQ1: What economic forces and policy interventions have shaped Irish rental prices between 2007 and 2025, and how have these varied across counties?</w:t>
            </w:r>
          </w:p>
          <w:p w14:paraId="68EA4765" w14:textId="77777777" w:rsidR="00DD7F87" w:rsidRDefault="00000000">
            <w:pPr>
              <w:spacing w:before="40" w:after="40"/>
              <w:ind w:left="360"/>
            </w:pPr>
            <w:r>
              <w:rPr>
                <w:color w:val="333333"/>
                <w:sz w:val="21"/>
                <w:szCs w:val="21"/>
              </w:rPr>
              <w:t>SQ2: Which forecasting model — SARIMA, SARIMAX, or machine learning — most accurately captures Irish rental market dynamics, and what do the forecasts reveal?</w:t>
            </w:r>
          </w:p>
          <w:p w14:paraId="7EC1D936" w14:textId="77777777" w:rsidR="00DD7F87" w:rsidRDefault="00000000">
            <w:pPr>
              <w:spacing w:before="40" w:after="40"/>
              <w:ind w:left="360"/>
            </w:pPr>
            <w:r>
              <w:rPr>
                <w:color w:val="333333"/>
                <w:sz w:val="21"/>
                <w:szCs w:val="21"/>
              </w:rPr>
              <w:t>SQ3: Which counties will breach the 30% affordability threshold first, did Rent Pressure Zones actually work, and what interventions can delay or prevent a full market breakdown?</w:t>
            </w:r>
          </w:p>
        </w:tc>
      </w:tr>
    </w:tbl>
    <w:p w14:paraId="1BAB3CDB" w14:textId="77777777" w:rsidR="00DD7F87" w:rsidRDefault="00DD7F87">
      <w:pPr>
        <w:spacing w:before="80"/>
      </w:pPr>
    </w:p>
    <w:p w14:paraId="134A5130" w14:textId="77777777" w:rsidR="00DD7F87" w:rsidRDefault="00000000">
      <w:pPr>
        <w:spacing w:before="80" w:after="80"/>
      </w:pPr>
      <w:r>
        <w:t>Why this works: Memorable, punchy, hooks the reader immediately. Reads like an Economist headline. Shows confidence. The word 'break' creates urgency that generic forecasting questions never do.</w:t>
      </w:r>
    </w:p>
    <w:p w14:paraId="251957AF" w14:textId="77777777" w:rsidR="00DD7F87" w:rsidRDefault="00DD7F87">
      <w:pPr>
        <w:spacing w:before="160"/>
      </w:pPr>
    </w:p>
    <w:p w14:paraId="5845A5B8" w14:textId="2C16B05E" w:rsidR="00DD7F87" w:rsidRDefault="00000000">
      <w:pPr>
        <w:spacing w:before="280" w:after="120"/>
      </w:pPr>
      <w:r>
        <w:rPr>
          <w:b/>
          <w:bCs/>
          <w:color w:val="7D3C98"/>
          <w:sz w:val="26"/>
          <w:szCs w:val="26"/>
        </w:rPr>
        <w:t>Version 3 — Academic &amp; Advanced</w:t>
      </w:r>
      <w:r w:rsidR="00CF58CF">
        <w:rPr>
          <w:b/>
          <w:bCs/>
          <w:color w:val="7D3C98"/>
          <w:sz w:val="26"/>
          <w:szCs w:val="26"/>
        </w:rPr>
        <w:t xml:space="preserve"> </w:t>
      </w:r>
      <w:r w:rsidR="00CF58CF" w:rsidRPr="00CF58CF">
        <w:rPr>
          <w:b/>
          <w:bCs/>
          <w:color w:val="EE0000"/>
          <w:sz w:val="26"/>
          <w:szCs w:val="26"/>
        </w:rPr>
        <w:t>( I like This One)</w:t>
      </w:r>
    </w:p>
    <w:p w14:paraId="02F3792F"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D7F87" w14:paraId="3A961C27" w14:textId="77777777">
        <w:tblPrEx>
          <w:tblCellMar>
            <w:top w:w="0" w:type="dxa"/>
            <w:bottom w:w="0" w:type="dxa"/>
          </w:tblCellMar>
        </w:tblPrEx>
        <w:tc>
          <w:tcPr>
            <w:tcW w:w="9360" w:type="dxa"/>
            <w:shd w:val="clear" w:color="auto" w:fill="1A7A4A"/>
            <w:tcMar>
              <w:top w:w="120" w:type="dxa"/>
              <w:left w:w="180" w:type="dxa"/>
              <w:bottom w:w="120" w:type="dxa"/>
              <w:right w:w="180" w:type="dxa"/>
            </w:tcMar>
          </w:tcPr>
          <w:p w14:paraId="517CC4C8" w14:textId="6A83B5DE" w:rsidR="00DD7F87" w:rsidRDefault="00000000">
            <w:r>
              <w:rPr>
                <w:b/>
                <w:bCs/>
                <w:color w:val="FFFFFF"/>
                <w:sz w:val="24"/>
                <w:szCs w:val="24"/>
              </w:rPr>
              <w:t xml:space="preserve">Version 3  </w:t>
            </w:r>
            <w:r>
              <w:rPr>
                <w:color w:val="DDDDDD"/>
              </w:rPr>
              <w:t>Academic &amp; Advanced</w:t>
            </w:r>
            <w:r>
              <w:rPr>
                <w:b/>
                <w:bCs/>
                <w:color w:val="90EE90"/>
                <w:sz w:val="20"/>
                <w:szCs w:val="20"/>
              </w:rPr>
              <w:t xml:space="preserve">   </w:t>
            </w:r>
          </w:p>
        </w:tc>
      </w:tr>
      <w:tr w:rsidR="00DD7F87" w14:paraId="6D1C6C49" w14:textId="77777777">
        <w:tblPrEx>
          <w:tblCellMar>
            <w:top w:w="0" w:type="dxa"/>
            <w:bottom w:w="0" w:type="dxa"/>
          </w:tblCellMar>
        </w:tblPrEx>
        <w:tc>
          <w:tcPr>
            <w:tcW w:w="9360" w:type="dxa"/>
            <w:shd w:val="clear" w:color="auto" w:fill="D5F5E3"/>
            <w:tcMar>
              <w:top w:w="120" w:type="dxa"/>
              <w:left w:w="180" w:type="dxa"/>
              <w:bottom w:w="120" w:type="dxa"/>
              <w:right w:w="180" w:type="dxa"/>
            </w:tcMar>
          </w:tcPr>
          <w:p w14:paraId="2BC2D970" w14:textId="77777777" w:rsidR="00DD7F87" w:rsidRDefault="00000000">
            <w:r>
              <w:rPr>
                <w:b/>
                <w:bCs/>
                <w:color w:val="1A1A1A"/>
              </w:rPr>
              <w:lastRenderedPageBreak/>
              <w:t>"Is Ireland's rental market heading towards a systemic crisis — and can predictive analytics give policymakers enough time to stop it?"</w:t>
            </w:r>
          </w:p>
        </w:tc>
      </w:tr>
      <w:tr w:rsidR="00DD7F87" w14:paraId="4F9AF6E9" w14:textId="77777777">
        <w:tblPrEx>
          <w:tblCellMar>
            <w:top w:w="0" w:type="dxa"/>
            <w:bottom w:w="0" w:type="dxa"/>
          </w:tblCellMar>
        </w:tblPrEx>
        <w:tc>
          <w:tcPr>
            <w:tcW w:w="9360" w:type="dxa"/>
            <w:shd w:val="clear" w:color="auto" w:fill="FAFAFA"/>
            <w:tcMar>
              <w:top w:w="100" w:type="dxa"/>
              <w:left w:w="180" w:type="dxa"/>
              <w:bottom w:w="100" w:type="dxa"/>
              <w:right w:w="180" w:type="dxa"/>
            </w:tcMar>
          </w:tcPr>
          <w:p w14:paraId="76731B1C" w14:textId="77777777" w:rsidR="00DD7F87" w:rsidRDefault="00000000">
            <w:pPr>
              <w:spacing w:before="80" w:after="60"/>
            </w:pPr>
            <w:r>
              <w:rPr>
                <w:b/>
                <w:bCs/>
                <w:color w:val="444444"/>
                <w:sz w:val="21"/>
                <w:szCs w:val="21"/>
              </w:rPr>
              <w:t>Sub-Questions:</w:t>
            </w:r>
          </w:p>
          <w:p w14:paraId="38E40545" w14:textId="77777777" w:rsidR="00DD7F87" w:rsidRDefault="00000000">
            <w:pPr>
              <w:spacing w:before="40" w:after="40"/>
              <w:ind w:left="360"/>
            </w:pPr>
            <w:r>
              <w:rPr>
                <w:color w:val="333333"/>
                <w:sz w:val="21"/>
                <w:szCs w:val="21"/>
              </w:rPr>
              <w:t>SQ1: What macroeconomic, structural, and policy-driven forces have shaped Ireland's rental price crisis between 2007 and 2025 — and which factors matter most?</w:t>
            </w:r>
          </w:p>
          <w:p w14:paraId="1EAB0AE6" w14:textId="77777777" w:rsidR="00DD7F87" w:rsidRDefault="00000000">
            <w:pPr>
              <w:spacing w:before="40" w:after="40"/>
              <w:ind w:left="360"/>
            </w:pPr>
            <w:r>
              <w:rPr>
                <w:color w:val="333333"/>
                <w:sz w:val="21"/>
                <w:szCs w:val="21"/>
              </w:rPr>
              <w:t>SQ2: Can SARIMA, SARIMAX, and machine learning models, when combined with macroeconomic drivers, reliably forecast rental prices at county level — and which approach delivers the most policy-relevant predictions?</w:t>
            </w:r>
          </w:p>
          <w:p w14:paraId="22CDE370" w14:textId="77777777" w:rsidR="00DD7F87" w:rsidRDefault="00000000">
            <w:pPr>
              <w:spacing w:before="40" w:after="40"/>
              <w:ind w:left="360"/>
            </w:pPr>
            <w:r>
              <w:rPr>
                <w:color w:val="333333"/>
                <w:sz w:val="21"/>
                <w:szCs w:val="21"/>
              </w:rPr>
              <w:t>SQ3: When will affordability collapse county-by-county, did Rent Pressure Zones slow the crisis, and what does the forecast say about the window left for intervention?</w:t>
            </w:r>
          </w:p>
        </w:tc>
      </w:tr>
    </w:tbl>
    <w:p w14:paraId="06FF1D78" w14:textId="77777777" w:rsidR="00DD7F87" w:rsidRDefault="00DD7F87">
      <w:pPr>
        <w:spacing w:before="80"/>
      </w:pPr>
    </w:p>
    <w:p w14:paraId="041A2963" w14:textId="77777777" w:rsidR="00DD7F87" w:rsidRDefault="00000000">
      <w:pPr>
        <w:spacing w:before="80" w:after="80"/>
      </w:pPr>
      <w:r>
        <w:t>Why this works: 'Systemic crisis' is a strong academic term. 'Window left for intervention' directly addresses what Rudy asked for in class — why does forecasting matter? This version signals the most sophisticated understanding of the topic and the most ambitious scope.</w:t>
      </w:r>
    </w:p>
    <w:p w14:paraId="7AB2758E" w14:textId="77777777" w:rsidR="00DD7F87" w:rsidRDefault="00DD7F87">
      <w:pPr>
        <w:spacing w:before="200"/>
      </w:pPr>
    </w:p>
    <w:p w14:paraId="2B54CA70" w14:textId="77777777" w:rsidR="00DD7F87" w:rsidRDefault="00000000">
      <w:r>
        <w:br w:type="page"/>
      </w:r>
    </w:p>
    <w:p w14:paraId="6EE6FC48" w14:textId="77777777" w:rsidR="00DD7F87" w:rsidRDefault="00000000">
      <w:pPr>
        <w:spacing w:before="400" w:after="160"/>
      </w:pPr>
      <w:r>
        <w:rPr>
          <w:b/>
          <w:bCs/>
          <w:color w:val="1F3864"/>
          <w:sz w:val="34"/>
          <w:szCs w:val="34"/>
        </w:rPr>
        <w:lastRenderedPageBreak/>
        <w:t>3.  The Locked Project Plan — What We Are Building</w:t>
      </w:r>
    </w:p>
    <w:p w14:paraId="2E694EF1" w14:textId="77777777" w:rsidR="00DD7F87" w:rsidRDefault="00DD7F87">
      <w:pPr>
        <w:spacing w:before="60"/>
      </w:pPr>
    </w:p>
    <w:p w14:paraId="190645E6" w14:textId="77777777" w:rsidR="00DD7F87" w:rsidRDefault="00000000">
      <w:pPr>
        <w:spacing w:before="80" w:after="80"/>
      </w:pPr>
      <w:r>
        <w:t>Regardless of which research question the team selects, the project itself does not change. Here is exactly what we will build — and why each element is included.</w:t>
      </w:r>
    </w:p>
    <w:p w14:paraId="20B453EF" w14:textId="77777777" w:rsidR="00DD7F87" w:rsidRDefault="00DD7F87">
      <w:pPr>
        <w:spacing w:before="120"/>
      </w:pPr>
    </w:p>
    <w:p w14:paraId="4104C753" w14:textId="77777777" w:rsidR="00DD7F87" w:rsidRDefault="00000000">
      <w:pPr>
        <w:spacing w:before="280" w:after="120"/>
      </w:pPr>
      <w:r>
        <w:rPr>
          <w:b/>
          <w:bCs/>
          <w:color w:val="2E5FA3"/>
          <w:sz w:val="26"/>
          <w:szCs w:val="26"/>
        </w:rPr>
        <w:t>3.1  The Core Problem We Are Solving</w:t>
      </w:r>
    </w:p>
    <w:p w14:paraId="6F5F8A46" w14:textId="77777777" w:rsidR="00DD7F87" w:rsidRDefault="00DD7F87">
      <w:pPr>
        <w:spacing w:before="40"/>
      </w:pPr>
    </w:p>
    <w:p w14:paraId="3F489870" w14:textId="77777777" w:rsidR="00DD7F87" w:rsidRDefault="00000000">
      <w:pPr>
        <w:pBdr>
          <w:left w:val="single" w:sz="16" w:space="8" w:color="1A7A4A"/>
        </w:pBdr>
        <w:shd w:val="clear" w:color="auto" w:fill="E8F5E9"/>
        <w:spacing w:before="120" w:after="120"/>
        <w:ind w:left="280"/>
      </w:pPr>
      <w:r>
        <w:rPr>
          <w:b/>
          <w:bCs/>
          <w:color w:val="1A4A2A"/>
        </w:rPr>
        <w:t>Standard forecasting projects predict numbers. Our project predicts consequences — when real Irish families will no longer be able to afford rent, county by county. That is the difference between an academic exercise and a decision-support tool.</w:t>
      </w:r>
    </w:p>
    <w:p w14:paraId="5F0CE803" w14:textId="77777777" w:rsidR="00DD7F87" w:rsidRDefault="00DD7F87">
      <w:pPr>
        <w:spacing w:before="120"/>
      </w:pPr>
    </w:p>
    <w:p w14:paraId="0D2DA771" w14:textId="77777777" w:rsidR="00DD7F87" w:rsidRDefault="00000000">
      <w:pPr>
        <w:spacing w:before="280" w:after="120"/>
      </w:pPr>
      <w:r>
        <w:rPr>
          <w:b/>
          <w:bCs/>
          <w:color w:val="2E5FA3"/>
          <w:sz w:val="26"/>
          <w:szCs w:val="26"/>
        </w:rPr>
        <w:t>3.2  The Four WOW Factors — What Makes Us Stand Out</w:t>
      </w:r>
    </w:p>
    <w:p w14:paraId="2B7D4031" w14:textId="77777777" w:rsidR="00DD7F87" w:rsidRDefault="00DD7F87">
      <w:pPr>
        <w:spacing w:before="40"/>
      </w:pPr>
    </w:p>
    <w:p w14:paraId="7F145CBB" w14:textId="77777777" w:rsidR="00DD7F87" w:rsidRDefault="00000000">
      <w:pPr>
        <w:spacing w:before="200" w:after="80"/>
      </w:pPr>
      <w:r>
        <w:rPr>
          <w:b/>
          <w:bCs/>
          <w:color w:val="1A7A4A"/>
          <w:sz w:val="23"/>
          <w:szCs w:val="23"/>
        </w:rPr>
        <w:t>WOW #1 — Affordability Threshold Forecasting</w:t>
      </w:r>
    </w:p>
    <w:p w14:paraId="4B367655" w14:textId="77777777" w:rsidR="00DD7F87" w:rsidRDefault="00000000">
      <w:pPr>
        <w:spacing w:before="80" w:after="80"/>
      </w:pPr>
      <w:r>
        <w:t>We will not just forecast rent prices. We will calculate WHEN each county crosses the 30% affordability threshold — the internationally accepted standard above which rent is considered unaffordable. Using CSO average income data alongside our rent forecasts, we will produce a county-by-county timeline of affordability collapse. No prior Irish study has done this.</w:t>
      </w:r>
    </w:p>
    <w:p w14:paraId="03667339" w14:textId="77777777" w:rsidR="00DD7F87" w:rsidRDefault="00DD7F87">
      <w:pPr>
        <w:spacing w:before="80"/>
      </w:pPr>
    </w:p>
    <w:p w14:paraId="0C5F0B1B" w14:textId="77777777" w:rsidR="00DD7F87" w:rsidRDefault="00000000">
      <w:pPr>
        <w:spacing w:before="200" w:after="80"/>
      </w:pPr>
      <w:r>
        <w:rPr>
          <w:b/>
          <w:bCs/>
          <w:color w:val="1A7A4A"/>
          <w:sz w:val="23"/>
          <w:szCs w:val="23"/>
        </w:rPr>
        <w:t>WOW #2 — Rent Pressure Zone (RPZ) Policy Impact Analysis</w:t>
      </w:r>
    </w:p>
    <w:p w14:paraId="3539C388" w14:textId="77777777" w:rsidR="00DD7F87" w:rsidRDefault="00000000">
      <w:pPr>
        <w:spacing w:before="80" w:after="80"/>
      </w:pPr>
      <w:r>
        <w:t>Ireland introduced Rent Pressure Zones in 2016, capping rent increases at 4%. We will use our forecasting models to quantify whether RPZ actually worked — comparing pre-RPZ and post-RPZ rent growth rates statistically. This gives our project a unique academic contribution: original evidence on a real Irish government policy.</w:t>
      </w:r>
    </w:p>
    <w:p w14:paraId="040EFF24" w14:textId="77777777" w:rsidR="00DD7F87" w:rsidRDefault="00DD7F87">
      <w:pPr>
        <w:spacing w:before="80"/>
      </w:pPr>
    </w:p>
    <w:p w14:paraId="4E5ECD89" w14:textId="77777777" w:rsidR="00DD7F87" w:rsidRDefault="00000000">
      <w:pPr>
        <w:spacing w:before="200" w:after="80"/>
      </w:pPr>
      <w:r>
        <w:rPr>
          <w:b/>
          <w:bCs/>
          <w:color w:val="1A7A4A"/>
          <w:sz w:val="23"/>
          <w:szCs w:val="23"/>
        </w:rPr>
        <w:t>WOW #3 — Economic Shock Scenario Modelling</w:t>
      </w:r>
    </w:p>
    <w:p w14:paraId="25FFE939" w14:textId="77777777" w:rsidR="00DD7F87" w:rsidRDefault="00000000">
      <w:pPr>
        <w:spacing w:before="80" w:after="80"/>
      </w:pPr>
      <w:r>
        <w:t>Instead of generic optimistic/baseline/pessimistic scenarios, we will simulate real policy shocks — what happens to rents if interest rates drop by 2%? What if 30,000 new housing units complete by 2026? What if a GFC-level economic shock occurs? These scenarios are directly actionable for government planning.</w:t>
      </w:r>
    </w:p>
    <w:p w14:paraId="65A2EB20" w14:textId="77777777" w:rsidR="00DD7F87" w:rsidRDefault="00DD7F87">
      <w:pPr>
        <w:spacing w:before="80"/>
      </w:pPr>
    </w:p>
    <w:p w14:paraId="3623060A" w14:textId="77777777" w:rsidR="00DD7F87" w:rsidRDefault="00000000">
      <w:pPr>
        <w:spacing w:before="200" w:after="80"/>
      </w:pPr>
      <w:r>
        <w:rPr>
          <w:b/>
          <w:bCs/>
          <w:color w:val="1A7A4A"/>
          <w:sz w:val="23"/>
          <w:szCs w:val="23"/>
        </w:rPr>
        <w:t>WOW #4 — Early Warning Dashboard in Power BI</w:t>
      </w:r>
    </w:p>
    <w:p w14:paraId="78AB782F" w14:textId="77777777" w:rsidR="00DD7F87" w:rsidRDefault="00000000">
      <w:pPr>
        <w:spacing w:before="80" w:after="80"/>
      </w:pPr>
      <w:r>
        <w:t>Our Power BI dashboard will not just show charts. It will show a county risk map of Ireland — colour-coded by affordability risk level — with a threshold alert system that flags when any county is within 12 months of crossing the 30% line. This is the decision-support tool that Vamsi and Rudy specifically asked for.</w:t>
      </w:r>
    </w:p>
    <w:p w14:paraId="652E9902" w14:textId="77777777" w:rsidR="00DD7F87" w:rsidRDefault="00DD7F87">
      <w:pPr>
        <w:spacing w:before="120"/>
      </w:pPr>
    </w:p>
    <w:p w14:paraId="47B0DE2F" w14:textId="77777777" w:rsidR="00DD7F87" w:rsidRDefault="00000000">
      <w:pPr>
        <w:spacing w:before="280" w:after="120"/>
      </w:pPr>
      <w:r>
        <w:rPr>
          <w:b/>
          <w:bCs/>
          <w:color w:val="2E5FA3"/>
          <w:sz w:val="26"/>
          <w:szCs w:val="26"/>
        </w:rPr>
        <w:lastRenderedPageBreak/>
        <w:t>3.3  Models We Will Use — And Why</w:t>
      </w:r>
    </w:p>
    <w:p w14:paraId="67487F99"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DD7F87" w14:paraId="0BF9738E" w14:textId="77777777">
        <w:tblPrEx>
          <w:tblCellMar>
            <w:top w:w="0" w:type="dxa"/>
            <w:bottom w:w="0" w:type="dxa"/>
          </w:tblCellMar>
        </w:tblPrEx>
        <w:tc>
          <w:tcPr>
            <w:tcW w:w="3000" w:type="dxa"/>
            <w:shd w:val="clear" w:color="auto" w:fill="1F3864"/>
            <w:tcMar>
              <w:top w:w="100" w:type="dxa"/>
              <w:left w:w="140" w:type="dxa"/>
              <w:bottom w:w="100" w:type="dxa"/>
              <w:right w:w="140" w:type="dxa"/>
            </w:tcMar>
          </w:tcPr>
          <w:p w14:paraId="6353F835" w14:textId="77777777" w:rsidR="00DD7F87" w:rsidRDefault="00000000">
            <w:r>
              <w:rPr>
                <w:b/>
                <w:bCs/>
                <w:color w:val="FFFFFF"/>
                <w:sz w:val="21"/>
                <w:szCs w:val="21"/>
              </w:rPr>
              <w:t>Model</w:t>
            </w:r>
          </w:p>
        </w:tc>
        <w:tc>
          <w:tcPr>
            <w:tcW w:w="6360" w:type="dxa"/>
            <w:shd w:val="clear" w:color="auto" w:fill="1F3864"/>
            <w:tcMar>
              <w:top w:w="100" w:type="dxa"/>
              <w:left w:w="140" w:type="dxa"/>
              <w:bottom w:w="100" w:type="dxa"/>
              <w:right w:w="140" w:type="dxa"/>
            </w:tcMar>
          </w:tcPr>
          <w:p w14:paraId="2765EB1D" w14:textId="77777777" w:rsidR="00DD7F87" w:rsidRDefault="00000000">
            <w:r>
              <w:rPr>
                <w:b/>
                <w:bCs/>
                <w:color w:val="FFFFFF"/>
                <w:sz w:val="21"/>
                <w:szCs w:val="21"/>
              </w:rPr>
              <w:t>Why We Are Using It — Justified</w:t>
            </w:r>
          </w:p>
        </w:tc>
      </w:tr>
    </w:tbl>
    <w:p w14:paraId="7BD2D504" w14:textId="77777777" w:rsidR="00DD7F87" w:rsidRDefault="00DD7F87">
      <w:pPr>
        <w:spacing w:before="8"/>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DD7F87" w14:paraId="5E85A915" w14:textId="77777777">
        <w:tblPrEx>
          <w:tblCellMar>
            <w:top w:w="0" w:type="dxa"/>
            <w:bottom w:w="0" w:type="dxa"/>
          </w:tblCellMar>
        </w:tblPrEx>
        <w:tc>
          <w:tcPr>
            <w:tcW w:w="2200" w:type="dxa"/>
            <w:shd w:val="clear" w:color="auto" w:fill="1F3864"/>
            <w:tcMar>
              <w:top w:w="100" w:type="dxa"/>
              <w:left w:w="140" w:type="dxa"/>
              <w:bottom w:w="100" w:type="dxa"/>
              <w:right w:w="140" w:type="dxa"/>
            </w:tcMar>
          </w:tcPr>
          <w:p w14:paraId="6242F0C3" w14:textId="77777777" w:rsidR="00DD7F87" w:rsidRDefault="00000000">
            <w:r>
              <w:rPr>
                <w:b/>
                <w:bCs/>
                <w:color w:val="FFFFFF"/>
                <w:sz w:val="21"/>
                <w:szCs w:val="21"/>
              </w:rPr>
              <w:t>Model</w:t>
            </w:r>
          </w:p>
        </w:tc>
        <w:tc>
          <w:tcPr>
            <w:tcW w:w="7160" w:type="dxa"/>
            <w:shd w:val="clear" w:color="auto" w:fill="1F3864"/>
            <w:tcMar>
              <w:top w:w="100" w:type="dxa"/>
              <w:left w:w="140" w:type="dxa"/>
              <w:bottom w:w="100" w:type="dxa"/>
              <w:right w:w="140" w:type="dxa"/>
            </w:tcMar>
          </w:tcPr>
          <w:p w14:paraId="3D1B61D9" w14:textId="77777777" w:rsidR="00DD7F87" w:rsidRDefault="00000000">
            <w:r>
              <w:rPr>
                <w:b/>
                <w:bCs/>
                <w:color w:val="FFFFFF"/>
                <w:sz w:val="21"/>
                <w:szCs w:val="21"/>
              </w:rPr>
              <w:t>Why We Are Using It</w:t>
            </w:r>
          </w:p>
        </w:tc>
      </w:tr>
      <w:tr w:rsidR="00DD7F87" w14:paraId="3D87BA41"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8B47002" w14:textId="77777777" w:rsidR="00DD7F87" w:rsidRDefault="00000000">
            <w:r>
              <w:rPr>
                <w:b/>
                <w:bCs/>
                <w:sz w:val="21"/>
                <w:szCs w:val="21"/>
              </w:rPr>
              <w:t>SARIMA</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4D39CD59" w14:textId="77777777" w:rsidR="00DD7F87" w:rsidRDefault="00000000">
            <w:r>
              <w:rPr>
                <w:sz w:val="21"/>
                <w:szCs w:val="21"/>
              </w:rPr>
              <w:t>Our baseline model. Handles quarterly seasonality in rent data. Every project needs a baseline to compare against — this is ours. Proven in forecasting literature (Box et al., 2016).</w:t>
            </w:r>
          </w:p>
        </w:tc>
      </w:tr>
      <w:tr w:rsidR="00DD7F87" w14:paraId="753957B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01312C" w14:textId="77777777" w:rsidR="00DD7F87" w:rsidRDefault="00000000">
            <w:r>
              <w:rPr>
                <w:b/>
                <w:bCs/>
                <w:sz w:val="21"/>
                <w:szCs w:val="21"/>
              </w:rPr>
              <w:t>SARIMAX</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C82B7F" w14:textId="77777777" w:rsidR="00DD7F87" w:rsidRDefault="00000000">
            <w:r>
              <w:rPr>
                <w:sz w:val="21"/>
                <w:szCs w:val="21"/>
              </w:rPr>
              <w:t>Our primary model. Adds macroeconomic variables (unemployment, housing supply, property prices) as external drivers. This is what separates a sophisticated model from a basic one — rent does not move in isolation.</w:t>
            </w:r>
          </w:p>
        </w:tc>
      </w:tr>
      <w:tr w:rsidR="00DD7F87" w14:paraId="79E050A0"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3E5EFC0" w14:textId="77777777" w:rsidR="00DD7F87" w:rsidRDefault="00000000">
            <w:r>
              <w:rPr>
                <w:b/>
                <w:bCs/>
                <w:sz w:val="21"/>
                <w:szCs w:val="21"/>
              </w:rPr>
              <w:t>Random Forest</w:t>
            </w:r>
          </w:p>
        </w:tc>
        <w:tc>
          <w:tcPr>
            <w:tcW w:w="7160" w:type="dxa"/>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72B797C" w14:textId="77777777" w:rsidR="00DD7F87" w:rsidRDefault="00000000">
            <w:r>
              <w:rPr>
                <w:sz w:val="21"/>
                <w:szCs w:val="21"/>
              </w:rPr>
              <w:t>Our machine learning comparison. Captures non-linear relationships that SARIMAX cannot. Allows us to rank which variables matter most (feature importance) — directly answering SQ1 about which factors drive rent.</w:t>
            </w:r>
          </w:p>
        </w:tc>
      </w:tr>
      <w:tr w:rsidR="00DD7F87" w14:paraId="2E17E2CB"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820E60" w14:textId="77777777" w:rsidR="00DD7F87" w:rsidRDefault="00000000">
            <w:r>
              <w:rPr>
                <w:b/>
                <w:bCs/>
                <w:sz w:val="21"/>
                <w:szCs w:val="21"/>
              </w:rPr>
              <w:t>RPZ Structural Break Test</w:t>
            </w:r>
          </w:p>
        </w:tc>
        <w:tc>
          <w:tcPr>
            <w:tcW w:w="7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16E4347" w14:textId="77777777" w:rsidR="00DD7F87" w:rsidRDefault="00000000">
            <w:r>
              <w:rPr>
                <w:sz w:val="21"/>
                <w:szCs w:val="21"/>
              </w:rPr>
              <w:t>A statistical test (Chow test or dummy variable in SARIMAX) to measure whether the 2016 RPZ policy created a significant change in rent trends. This is our original academic contribution.</w:t>
            </w:r>
          </w:p>
        </w:tc>
      </w:tr>
    </w:tbl>
    <w:p w14:paraId="65646414" w14:textId="77777777" w:rsidR="00DD7F87" w:rsidRDefault="00DD7F87">
      <w:pPr>
        <w:spacing w:before="120"/>
      </w:pPr>
    </w:p>
    <w:p w14:paraId="57604767" w14:textId="77777777" w:rsidR="00DD7F87" w:rsidRDefault="00000000">
      <w:pPr>
        <w:spacing w:before="280" w:after="120"/>
      </w:pPr>
      <w:r>
        <w:rPr>
          <w:b/>
          <w:bCs/>
          <w:color w:val="2E5FA3"/>
          <w:sz w:val="26"/>
          <w:szCs w:val="26"/>
        </w:rPr>
        <w:t>3.4  Data Sources We Will Use</w:t>
      </w:r>
    </w:p>
    <w:p w14:paraId="23A02917"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9"/>
        <w:gridCol w:w="1406"/>
        <w:gridCol w:w="4935"/>
      </w:tblGrid>
      <w:tr w:rsidR="00DD7F87" w14:paraId="2A15472A" w14:textId="77777777">
        <w:tblPrEx>
          <w:tblCellMar>
            <w:top w:w="0" w:type="dxa"/>
            <w:bottom w:w="0" w:type="dxa"/>
          </w:tblCellMar>
        </w:tblPrEx>
        <w:tc>
          <w:tcPr>
            <w:tcW w:w="0" w:type="auto"/>
            <w:shd w:val="clear" w:color="auto" w:fill="1F3864"/>
            <w:tcMar>
              <w:top w:w="100" w:type="dxa"/>
              <w:left w:w="140" w:type="dxa"/>
              <w:bottom w:w="100" w:type="dxa"/>
              <w:right w:w="140" w:type="dxa"/>
            </w:tcMar>
          </w:tcPr>
          <w:p w14:paraId="525515B2" w14:textId="77777777" w:rsidR="00DD7F87" w:rsidRDefault="00000000">
            <w:r>
              <w:rPr>
                <w:b/>
                <w:bCs/>
                <w:color w:val="FFFFFF"/>
                <w:sz w:val="21"/>
                <w:szCs w:val="21"/>
              </w:rPr>
              <w:t>Dataset</w:t>
            </w:r>
          </w:p>
        </w:tc>
        <w:tc>
          <w:tcPr>
            <w:tcW w:w="0" w:type="auto"/>
            <w:shd w:val="clear" w:color="auto" w:fill="1F3864"/>
            <w:tcMar>
              <w:top w:w="100" w:type="dxa"/>
              <w:left w:w="140" w:type="dxa"/>
              <w:bottom w:w="100" w:type="dxa"/>
              <w:right w:w="140" w:type="dxa"/>
            </w:tcMar>
          </w:tcPr>
          <w:p w14:paraId="252E2C4D" w14:textId="77777777" w:rsidR="00DD7F87" w:rsidRDefault="00000000">
            <w:r>
              <w:rPr>
                <w:b/>
                <w:bCs/>
                <w:color w:val="FFFFFF"/>
                <w:sz w:val="21"/>
                <w:szCs w:val="21"/>
              </w:rPr>
              <w:t>Source</w:t>
            </w:r>
          </w:p>
        </w:tc>
        <w:tc>
          <w:tcPr>
            <w:tcW w:w="0" w:type="auto"/>
            <w:shd w:val="clear" w:color="auto" w:fill="1F3864"/>
            <w:tcMar>
              <w:top w:w="100" w:type="dxa"/>
              <w:left w:w="140" w:type="dxa"/>
              <w:bottom w:w="100" w:type="dxa"/>
              <w:right w:w="140" w:type="dxa"/>
            </w:tcMar>
          </w:tcPr>
          <w:p w14:paraId="77664941" w14:textId="77777777" w:rsidR="00DD7F87" w:rsidRDefault="00000000">
            <w:r>
              <w:rPr>
                <w:b/>
                <w:bCs/>
                <w:color w:val="FFFFFF"/>
                <w:sz w:val="21"/>
                <w:szCs w:val="21"/>
              </w:rPr>
              <w:t>What It Gives Us</w:t>
            </w:r>
          </w:p>
        </w:tc>
      </w:tr>
      <w:tr w:rsidR="00DD7F87" w14:paraId="67EF0E01"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D57D62D" w14:textId="77777777" w:rsidR="00DD7F87" w:rsidRDefault="00000000">
            <w:r>
              <w:rPr>
                <w:sz w:val="21"/>
                <w:szCs w:val="21"/>
              </w:rPr>
              <w:t>RTB Rent Index (Quarterly)</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7DC02D7F" w14:textId="77777777" w:rsidR="00DD7F87" w:rsidRDefault="00000000">
            <w:r>
              <w:rPr>
                <w:sz w:val="21"/>
                <w:szCs w:val="21"/>
              </w:rPr>
              <w:t>RTB–ESRI</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09E6755" w14:textId="77777777" w:rsidR="00DD7F87" w:rsidRDefault="00000000">
            <w:r>
              <w:rPr>
                <w:sz w:val="21"/>
                <w:szCs w:val="21"/>
              </w:rPr>
              <w:t>Primary time series — regional rents Q3 2007 to Q2 2025</w:t>
            </w:r>
          </w:p>
        </w:tc>
      </w:tr>
      <w:tr w:rsidR="00DD7F87" w14:paraId="362FB66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F92C4E" w14:textId="77777777" w:rsidR="00DD7F87" w:rsidRDefault="00000000">
            <w:r>
              <w:rPr>
                <w:sz w:val="21"/>
                <w:szCs w:val="21"/>
              </w:rPr>
              <w:t>RTB Average Rent by County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259469" w14:textId="77777777" w:rsidR="00DD7F87" w:rsidRDefault="00000000">
            <w:r>
              <w:rPr>
                <w:sz w:val="21"/>
                <w:szCs w:val="21"/>
              </w:rPr>
              <w:t>RTB (RIA02)</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BB6573" w14:textId="77777777" w:rsidR="00DD7F87" w:rsidRDefault="00000000">
            <w:r>
              <w:rPr>
                <w:sz w:val="21"/>
                <w:szCs w:val="21"/>
              </w:rPr>
              <w:t>County-level rent data for regional analysis</w:t>
            </w:r>
          </w:p>
        </w:tc>
      </w:tr>
      <w:tr w:rsidR="00DD7F87" w14:paraId="71494FFC"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F768901" w14:textId="77777777" w:rsidR="00DD7F87" w:rsidRDefault="00000000">
            <w:r>
              <w:rPr>
                <w:sz w:val="21"/>
                <w:szCs w:val="21"/>
              </w:rPr>
              <w:t>Residential Property Price Index</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172CC8B" w14:textId="77777777" w:rsidR="00DD7F87" w:rsidRDefault="00000000">
            <w:r>
              <w:rPr>
                <w:sz w:val="21"/>
                <w:szCs w:val="21"/>
              </w:rPr>
              <w:t>CSO</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C1DE0E4" w14:textId="77777777" w:rsidR="00DD7F87" w:rsidRDefault="00000000">
            <w:r>
              <w:rPr>
                <w:sz w:val="21"/>
                <w:szCs w:val="21"/>
              </w:rPr>
              <w:t>Exogenous variable — housing price pressure</w:t>
            </w:r>
          </w:p>
        </w:tc>
      </w:tr>
      <w:tr w:rsidR="00DD7F87" w14:paraId="72381975"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8E697D" w14:textId="77777777" w:rsidR="00DD7F87" w:rsidRDefault="00000000">
            <w:r>
              <w:rPr>
                <w:sz w:val="21"/>
                <w:szCs w:val="21"/>
              </w:rPr>
              <w:t>Unemployment Rate (Monthly)</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71AC51" w14:textId="77777777" w:rsidR="00DD7F87" w:rsidRDefault="00000000">
            <w:r>
              <w:rPr>
                <w:sz w:val="21"/>
                <w:szCs w:val="21"/>
              </w:rPr>
              <w:t>CSO</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EC52FA" w14:textId="77777777" w:rsidR="00DD7F87" w:rsidRDefault="00000000">
            <w:r>
              <w:rPr>
                <w:sz w:val="21"/>
                <w:szCs w:val="21"/>
              </w:rPr>
              <w:t>Exogenous variable — economic driver of rent demand</w:t>
            </w:r>
          </w:p>
        </w:tc>
      </w:tr>
      <w:tr w:rsidR="00DD7F87" w14:paraId="0A717BA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D359922" w14:textId="77777777" w:rsidR="00DD7F87" w:rsidRDefault="00000000">
            <w:r>
              <w:rPr>
                <w:sz w:val="21"/>
                <w:szCs w:val="21"/>
              </w:rPr>
              <w:t>Average Household Income</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C40A251" w14:textId="77777777" w:rsidR="00DD7F87" w:rsidRDefault="00000000">
            <w:r>
              <w:rPr>
                <w:sz w:val="21"/>
                <w:szCs w:val="21"/>
              </w:rPr>
              <w:t>CSO / SILC</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9FC5BC" w14:textId="77777777" w:rsidR="00DD7F87" w:rsidRDefault="00000000">
            <w:r>
              <w:rPr>
                <w:sz w:val="21"/>
                <w:szCs w:val="21"/>
              </w:rPr>
              <w:t>Required to calculate the 30% affordability threshold</w:t>
            </w:r>
          </w:p>
        </w:tc>
      </w:tr>
      <w:tr w:rsidR="00DD7F87" w14:paraId="182B06D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A0FADA" w14:textId="77777777" w:rsidR="00DD7F87" w:rsidRDefault="00000000">
            <w:r>
              <w:rPr>
                <w:sz w:val="21"/>
                <w:szCs w:val="21"/>
              </w:rPr>
              <w:t>Housing Completions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C4407B" w14:textId="77777777" w:rsidR="00DD7F87" w:rsidRDefault="00000000">
            <w:r>
              <w:rPr>
                <w:sz w:val="21"/>
                <w:szCs w:val="21"/>
              </w:rPr>
              <w:t>DHLGH</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EA8CDE" w14:textId="77777777" w:rsidR="00DD7F87" w:rsidRDefault="00000000">
            <w:r>
              <w:rPr>
                <w:sz w:val="21"/>
                <w:szCs w:val="21"/>
              </w:rPr>
              <w:t>Supply-side shock scenario variable</w:t>
            </w:r>
          </w:p>
        </w:tc>
      </w:tr>
    </w:tbl>
    <w:p w14:paraId="45B2A9BE" w14:textId="77777777" w:rsidR="00DD7F87" w:rsidRDefault="00DD7F87">
      <w:pPr>
        <w:spacing w:before="120"/>
      </w:pPr>
    </w:p>
    <w:p w14:paraId="7226C1FA" w14:textId="77777777" w:rsidR="00DD7F87" w:rsidRDefault="00000000">
      <w:pPr>
        <w:spacing w:before="280" w:after="120"/>
      </w:pPr>
      <w:r>
        <w:rPr>
          <w:b/>
          <w:bCs/>
          <w:color w:val="2E5FA3"/>
          <w:sz w:val="26"/>
          <w:szCs w:val="26"/>
        </w:rPr>
        <w:t>3.5  What Our Final Output Will Look Like</w:t>
      </w:r>
    </w:p>
    <w:p w14:paraId="53EC797F" w14:textId="77777777" w:rsidR="00DD7F87" w:rsidRDefault="00DD7F87">
      <w:pPr>
        <w:spacing w:before="40"/>
      </w:pPr>
    </w:p>
    <w:p w14:paraId="31FDE9B6" w14:textId="77777777" w:rsidR="00DD7F87" w:rsidRDefault="00000000">
      <w:pPr>
        <w:pStyle w:val="ListParagraph"/>
        <w:numPr>
          <w:ilvl w:val="0"/>
          <w:numId w:val="2"/>
        </w:numPr>
        <w:spacing w:before="40" w:after="40"/>
      </w:pPr>
      <w:r>
        <w:t>A forecasting model comparison table — SARIMA vs SARIMAX vs Random Forest with MAE, RMSE, MAPE scores</w:t>
      </w:r>
    </w:p>
    <w:p w14:paraId="74FBA628" w14:textId="77777777" w:rsidR="00DD7F87" w:rsidRDefault="00000000">
      <w:pPr>
        <w:pStyle w:val="ListParagraph"/>
        <w:numPr>
          <w:ilvl w:val="0"/>
          <w:numId w:val="2"/>
        </w:numPr>
        <w:spacing w:before="40" w:after="40"/>
      </w:pPr>
      <w:r>
        <w:lastRenderedPageBreak/>
        <w:t>County-by-county affordability timeline — which county crosses 30% first, which last</w:t>
      </w:r>
    </w:p>
    <w:p w14:paraId="752251D3" w14:textId="77777777" w:rsidR="00DD7F87" w:rsidRDefault="00000000">
      <w:pPr>
        <w:pStyle w:val="ListParagraph"/>
        <w:numPr>
          <w:ilvl w:val="0"/>
          <w:numId w:val="2"/>
        </w:numPr>
        <w:spacing w:before="40" w:after="40"/>
      </w:pPr>
      <w:r>
        <w:t>RPZ policy impact analysis — statistical evidence of whether rent control worked</w:t>
      </w:r>
    </w:p>
    <w:p w14:paraId="40AA1140" w14:textId="77777777" w:rsidR="00DD7F87" w:rsidRDefault="00000000">
      <w:pPr>
        <w:pStyle w:val="ListParagraph"/>
        <w:numPr>
          <w:ilvl w:val="0"/>
          <w:numId w:val="2"/>
        </w:numPr>
        <w:spacing w:before="40" w:after="40"/>
      </w:pPr>
      <w:r>
        <w:t>Three economic shock scenarios — with actual forecast numbers, not just descriptions</w:t>
      </w:r>
    </w:p>
    <w:p w14:paraId="576498FE" w14:textId="77777777" w:rsidR="00DD7F87" w:rsidRDefault="00000000">
      <w:pPr>
        <w:pStyle w:val="ListParagraph"/>
        <w:numPr>
          <w:ilvl w:val="0"/>
          <w:numId w:val="2"/>
        </w:numPr>
        <w:spacing w:before="40" w:after="40"/>
      </w:pPr>
      <w:r>
        <w:t>Power BI dashboard — Ireland county risk map + threshold alerts + trend forecasts</w:t>
      </w:r>
    </w:p>
    <w:p w14:paraId="494E32D2" w14:textId="77777777" w:rsidR="00DD7F87" w:rsidRDefault="00000000">
      <w:pPr>
        <w:pStyle w:val="ListParagraph"/>
        <w:numPr>
          <w:ilvl w:val="0"/>
          <w:numId w:val="2"/>
        </w:numPr>
        <w:spacing w:before="40" w:after="40"/>
      </w:pPr>
      <w:r>
        <w:t>Policy recommendations — 3 to 5 specific, evidence-backed actions the Irish government should take</w:t>
      </w:r>
    </w:p>
    <w:p w14:paraId="5800875E" w14:textId="77777777" w:rsidR="00DD7F87" w:rsidRDefault="00DD7F87">
      <w:pPr>
        <w:spacing w:before="160"/>
      </w:pPr>
    </w:p>
    <w:p w14:paraId="2755FC43" w14:textId="77777777" w:rsidR="00DD7F87" w:rsidRDefault="00000000">
      <w:pPr>
        <w:spacing w:before="280" w:after="120"/>
      </w:pPr>
      <w:r>
        <w:rPr>
          <w:b/>
          <w:bCs/>
          <w:color w:val="2E5FA3"/>
          <w:sz w:val="26"/>
          <w:szCs w:val="26"/>
        </w:rPr>
        <w:t>3.6  How This Directly Addresses Teacher Feedback</w:t>
      </w:r>
    </w:p>
    <w:p w14:paraId="28BB6B63"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72"/>
        <w:gridCol w:w="6788"/>
      </w:tblGrid>
      <w:tr w:rsidR="00DD7F87" w14:paraId="5C504F85" w14:textId="77777777">
        <w:tblPrEx>
          <w:tblCellMar>
            <w:top w:w="0" w:type="dxa"/>
            <w:bottom w:w="0" w:type="dxa"/>
          </w:tblCellMar>
        </w:tblPrEx>
        <w:tc>
          <w:tcPr>
            <w:tcW w:w="0" w:type="auto"/>
            <w:shd w:val="clear" w:color="auto" w:fill="C0392B"/>
            <w:tcMar>
              <w:top w:w="100" w:type="dxa"/>
              <w:left w:w="140" w:type="dxa"/>
              <w:bottom w:w="100" w:type="dxa"/>
              <w:right w:w="140" w:type="dxa"/>
            </w:tcMar>
          </w:tcPr>
          <w:p w14:paraId="39136EA9" w14:textId="77777777" w:rsidR="00DD7F87" w:rsidRDefault="00000000">
            <w:r>
              <w:rPr>
                <w:b/>
                <w:bCs/>
                <w:color w:val="FFFFFF"/>
                <w:sz w:val="21"/>
                <w:szCs w:val="21"/>
              </w:rPr>
              <w:t>Teacher Complaint</w:t>
            </w:r>
          </w:p>
        </w:tc>
        <w:tc>
          <w:tcPr>
            <w:tcW w:w="0" w:type="auto"/>
            <w:shd w:val="clear" w:color="auto" w:fill="C0392B"/>
            <w:tcMar>
              <w:top w:w="100" w:type="dxa"/>
              <w:left w:w="140" w:type="dxa"/>
              <w:bottom w:w="100" w:type="dxa"/>
              <w:right w:w="140" w:type="dxa"/>
            </w:tcMar>
          </w:tcPr>
          <w:p w14:paraId="39891DFD" w14:textId="77777777" w:rsidR="00DD7F87" w:rsidRDefault="00000000">
            <w:r>
              <w:rPr>
                <w:b/>
                <w:bCs/>
                <w:color w:val="FFFFFF"/>
                <w:sz w:val="21"/>
                <w:szCs w:val="21"/>
              </w:rPr>
              <w:t>How Our Plan Fixes It</w:t>
            </w:r>
          </w:p>
        </w:tc>
      </w:tr>
      <w:tr w:rsidR="00DD7F87" w14:paraId="1BFC52DB"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F2F2"/>
            <w:tcMar>
              <w:top w:w="80" w:type="dxa"/>
              <w:left w:w="140" w:type="dxa"/>
              <w:bottom w:w="80" w:type="dxa"/>
              <w:right w:w="140" w:type="dxa"/>
            </w:tcMar>
          </w:tcPr>
          <w:p w14:paraId="10078EA4" w14:textId="77777777" w:rsidR="00DD7F87" w:rsidRDefault="00000000">
            <w:r>
              <w:rPr>
                <w:b/>
                <w:bCs/>
                <w:sz w:val="21"/>
                <w:szCs w:val="21"/>
              </w:rPr>
              <w:t>No clear research question (Rosati)</w:t>
            </w:r>
          </w:p>
        </w:tc>
        <w:tc>
          <w:tcPr>
            <w:tcW w:w="0" w:type="auto"/>
            <w:tcBorders>
              <w:top w:val="single" w:sz="1" w:space="0" w:color="CCCCCC"/>
              <w:left w:val="single" w:sz="1" w:space="0" w:color="CCCCCC"/>
              <w:bottom w:val="single" w:sz="1" w:space="0" w:color="CCCCCC"/>
              <w:right w:val="single" w:sz="1" w:space="0" w:color="CCCCCC"/>
            </w:tcBorders>
            <w:shd w:val="clear" w:color="auto" w:fill="FDF2F2"/>
            <w:tcMar>
              <w:top w:w="80" w:type="dxa"/>
              <w:left w:w="140" w:type="dxa"/>
              <w:bottom w:w="80" w:type="dxa"/>
              <w:right w:w="140" w:type="dxa"/>
            </w:tcMar>
          </w:tcPr>
          <w:p w14:paraId="0CF7DD95" w14:textId="77777777" w:rsidR="00DD7F87" w:rsidRDefault="00000000">
            <w:r>
              <w:rPr>
                <w:sz w:val="21"/>
                <w:szCs w:val="21"/>
              </w:rPr>
              <w:t>Three versions presented in Section 2 — all specific, measurable, and answerable by our methodology</w:t>
            </w:r>
          </w:p>
        </w:tc>
      </w:tr>
      <w:tr w:rsidR="00DD7F87" w14:paraId="17C64CB7"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03581A" w14:textId="77777777" w:rsidR="00DD7F87" w:rsidRDefault="00000000">
            <w:r>
              <w:rPr>
                <w:b/>
                <w:bCs/>
                <w:sz w:val="21"/>
                <w:szCs w:val="21"/>
              </w:rPr>
              <w:t>Literature weak, no gap (Vamsi)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7AE4B" w14:textId="77777777" w:rsidR="00DD7F87" w:rsidRDefault="00000000">
            <w:r>
              <w:rPr>
                <w:sz w:val="21"/>
                <w:szCs w:val="21"/>
              </w:rPr>
              <w:t>Gap clearly identified: no prior study applies multi-model forecasting + affordability threshold analysis + RPZ policy impact to Irish rental data</w:t>
            </w:r>
          </w:p>
        </w:tc>
      </w:tr>
      <w:tr w:rsidR="00DD7F87" w14:paraId="39EA5C04"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F2F2"/>
            <w:tcMar>
              <w:top w:w="80" w:type="dxa"/>
              <w:left w:w="140" w:type="dxa"/>
              <w:bottom w:w="80" w:type="dxa"/>
              <w:right w:w="140" w:type="dxa"/>
            </w:tcMar>
          </w:tcPr>
          <w:p w14:paraId="2D79B750" w14:textId="77777777" w:rsidR="00DD7F87" w:rsidRDefault="00000000">
            <w:r>
              <w:rPr>
                <w:b/>
                <w:bCs/>
                <w:sz w:val="21"/>
                <w:szCs w:val="21"/>
              </w:rPr>
              <w:t>Not analytical, just descriptive (Rudy)</w:t>
            </w:r>
          </w:p>
        </w:tc>
        <w:tc>
          <w:tcPr>
            <w:tcW w:w="0" w:type="auto"/>
            <w:tcBorders>
              <w:top w:val="single" w:sz="1" w:space="0" w:color="CCCCCC"/>
              <w:left w:val="single" w:sz="1" w:space="0" w:color="CCCCCC"/>
              <w:bottom w:val="single" w:sz="1" w:space="0" w:color="CCCCCC"/>
              <w:right w:val="single" w:sz="1" w:space="0" w:color="CCCCCC"/>
            </w:tcBorders>
            <w:shd w:val="clear" w:color="auto" w:fill="FDF2F2"/>
            <w:tcMar>
              <w:top w:w="80" w:type="dxa"/>
              <w:left w:w="140" w:type="dxa"/>
              <w:bottom w:w="80" w:type="dxa"/>
              <w:right w:w="140" w:type="dxa"/>
            </w:tcMar>
          </w:tcPr>
          <w:p w14:paraId="317A3FB2" w14:textId="77777777" w:rsidR="00DD7F87" w:rsidRDefault="00000000">
            <w:r>
              <w:rPr>
                <w:sz w:val="21"/>
                <w:szCs w:val="21"/>
              </w:rPr>
              <w:t>RPZ structural break test + affordability collapse timeline + shock scenarios = genuinely new analytical outputs</w:t>
            </w:r>
          </w:p>
        </w:tc>
      </w:tr>
      <w:tr w:rsidR="00DD7F87" w14:paraId="49D8AEB2"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D8E2D0" w14:textId="77777777" w:rsidR="00DD7F87" w:rsidRDefault="00000000">
            <w:r>
              <w:rPr>
                <w:b/>
                <w:bCs/>
                <w:sz w:val="21"/>
                <w:szCs w:val="21"/>
              </w:rPr>
              <w:t>No actual results shown (Vamsi)</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822BD8" w14:textId="77777777" w:rsidR="00DD7F87" w:rsidRDefault="00000000">
            <w:r>
              <w:rPr>
                <w:sz w:val="21"/>
                <w:szCs w:val="21"/>
              </w:rPr>
              <w:t>Our plan produces real forecast numbers, model accuracy metrics, and policy-specific predictions — not just methodology descriptions</w:t>
            </w:r>
          </w:p>
        </w:tc>
      </w:tr>
      <w:tr w:rsidR="00DD7F87" w14:paraId="5E2A5A3E"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FDF2F2"/>
            <w:tcMar>
              <w:top w:w="80" w:type="dxa"/>
              <w:left w:w="140" w:type="dxa"/>
              <w:bottom w:w="80" w:type="dxa"/>
              <w:right w:w="140" w:type="dxa"/>
            </w:tcMar>
          </w:tcPr>
          <w:p w14:paraId="18B2C978" w14:textId="77777777" w:rsidR="00DD7F87" w:rsidRDefault="00000000">
            <w:r>
              <w:rPr>
                <w:b/>
                <w:bCs/>
                <w:sz w:val="21"/>
                <w:szCs w:val="21"/>
              </w:rPr>
              <w:t>Business value unclear (Vamsi)</w:t>
            </w:r>
          </w:p>
        </w:tc>
        <w:tc>
          <w:tcPr>
            <w:tcW w:w="0" w:type="auto"/>
            <w:tcBorders>
              <w:top w:val="single" w:sz="1" w:space="0" w:color="CCCCCC"/>
              <w:left w:val="single" w:sz="1" w:space="0" w:color="CCCCCC"/>
              <w:bottom w:val="single" w:sz="1" w:space="0" w:color="CCCCCC"/>
              <w:right w:val="single" w:sz="1" w:space="0" w:color="CCCCCC"/>
            </w:tcBorders>
            <w:shd w:val="clear" w:color="auto" w:fill="FDF2F2"/>
            <w:tcMar>
              <w:top w:w="80" w:type="dxa"/>
              <w:left w:w="140" w:type="dxa"/>
              <w:bottom w:w="80" w:type="dxa"/>
              <w:right w:w="140" w:type="dxa"/>
            </w:tcMar>
          </w:tcPr>
          <w:p w14:paraId="1DE7BC2A" w14:textId="77777777" w:rsidR="00DD7F87" w:rsidRDefault="00000000">
            <w:r>
              <w:rPr>
                <w:sz w:val="21"/>
                <w:szCs w:val="21"/>
              </w:rPr>
              <w:t>Power BI dashboard with county risk map + threshold alerts gives government a direct decision-support tool</w:t>
            </w:r>
          </w:p>
        </w:tc>
      </w:tr>
    </w:tbl>
    <w:p w14:paraId="19D4E533" w14:textId="77777777" w:rsidR="00DD7F87" w:rsidRDefault="00DD7F87">
      <w:pPr>
        <w:spacing w:before="200"/>
      </w:pPr>
    </w:p>
    <w:p w14:paraId="1769A5DA" w14:textId="77777777" w:rsidR="00DD7F87" w:rsidRDefault="00000000">
      <w:r>
        <w:br w:type="page"/>
      </w:r>
    </w:p>
    <w:p w14:paraId="4B0C6B3F" w14:textId="77777777" w:rsidR="00DD7F87" w:rsidRDefault="00000000">
      <w:pPr>
        <w:spacing w:before="400" w:after="160"/>
      </w:pPr>
      <w:r>
        <w:rPr>
          <w:b/>
          <w:bCs/>
          <w:color w:val="1F3864"/>
          <w:sz w:val="34"/>
          <w:szCs w:val="34"/>
        </w:rPr>
        <w:lastRenderedPageBreak/>
        <w:t>4.  My Recommendation &amp; Next Steps</w:t>
      </w:r>
    </w:p>
    <w:p w14:paraId="367B1B91" w14:textId="77777777" w:rsidR="00DD7F87" w:rsidRDefault="00DD7F87">
      <w:pPr>
        <w:spacing w:before="80"/>
      </w:pPr>
    </w:p>
    <w:p w14:paraId="2BDD4EB0" w14:textId="32C65612" w:rsidR="00DD7F87" w:rsidRDefault="00000000">
      <w:pPr>
        <w:pBdr>
          <w:left w:val="single" w:sz="16" w:space="8" w:color="1A7A4A"/>
        </w:pBdr>
        <w:shd w:val="clear" w:color="auto" w:fill="E8F5E9"/>
        <w:spacing w:before="120" w:after="120"/>
        <w:ind w:left="280"/>
      </w:pPr>
      <w:r>
        <w:rPr>
          <w:b/>
          <w:bCs/>
          <w:color w:val="1A4A2A"/>
        </w:rPr>
        <w:t xml:space="preserve">My personal recommendation: </w:t>
      </w:r>
      <w:r w:rsidR="00CF58CF">
        <w:rPr>
          <w:b/>
          <w:bCs/>
          <w:color w:val="1A4A2A"/>
        </w:rPr>
        <w:t xml:space="preserve">Let’s </w:t>
      </w:r>
      <w:r>
        <w:rPr>
          <w:b/>
          <w:bCs/>
          <w:color w:val="1A4A2A"/>
        </w:rPr>
        <w:t>Go with Version 3 — 'Is Ireland's rental market heading towards a systemic crisis?' It is the most ambitious, most academic, and most memorable framing. But only if we commit to fully delivering what it promises — the RPZ analysis, the affordability timeline, and the shock scenarios. If we deliver all of that, Version 3 will genuinely impress. If we are short on time, Version 2 is equally strong and slightly easier to justify.</w:t>
      </w:r>
    </w:p>
    <w:p w14:paraId="64207493" w14:textId="77777777" w:rsidR="00DD7F87" w:rsidRDefault="00DD7F87">
      <w:pPr>
        <w:spacing w:before="120"/>
      </w:pPr>
    </w:p>
    <w:p w14:paraId="4C2525E9" w14:textId="77777777" w:rsidR="00DD7F87" w:rsidRDefault="00000000">
      <w:pPr>
        <w:spacing w:before="280" w:after="120"/>
      </w:pPr>
      <w:r>
        <w:rPr>
          <w:b/>
          <w:bCs/>
          <w:color w:val="2E5FA3"/>
          <w:sz w:val="26"/>
          <w:szCs w:val="26"/>
        </w:rPr>
        <w:t>Immediate Next Steps (This Week)</w:t>
      </w:r>
    </w:p>
    <w:p w14:paraId="482C34CF" w14:textId="77777777" w:rsidR="00DD7F87" w:rsidRDefault="00DD7F87">
      <w:pPr>
        <w:spacing w:before="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30"/>
        <w:gridCol w:w="3411"/>
        <w:gridCol w:w="4919"/>
      </w:tblGrid>
      <w:tr w:rsidR="00DD7F87" w14:paraId="27C94A9D" w14:textId="77777777">
        <w:tblPrEx>
          <w:tblCellMar>
            <w:top w:w="0" w:type="dxa"/>
            <w:bottom w:w="0" w:type="dxa"/>
          </w:tblCellMar>
        </w:tblPrEx>
        <w:tc>
          <w:tcPr>
            <w:tcW w:w="0" w:type="auto"/>
            <w:shd w:val="clear" w:color="auto" w:fill="1F3864"/>
            <w:tcMar>
              <w:top w:w="100" w:type="dxa"/>
              <w:left w:w="140" w:type="dxa"/>
              <w:bottom w:w="100" w:type="dxa"/>
              <w:right w:w="140" w:type="dxa"/>
            </w:tcMar>
          </w:tcPr>
          <w:p w14:paraId="62F2C8E1" w14:textId="77777777" w:rsidR="00DD7F87" w:rsidRDefault="00000000">
            <w:r>
              <w:rPr>
                <w:b/>
                <w:bCs/>
                <w:color w:val="FFFFFF"/>
                <w:sz w:val="21"/>
                <w:szCs w:val="21"/>
              </w:rPr>
              <w:t>Day</w:t>
            </w:r>
          </w:p>
        </w:tc>
        <w:tc>
          <w:tcPr>
            <w:tcW w:w="0" w:type="auto"/>
            <w:shd w:val="clear" w:color="auto" w:fill="1F3864"/>
            <w:tcMar>
              <w:top w:w="100" w:type="dxa"/>
              <w:left w:w="140" w:type="dxa"/>
              <w:bottom w:w="100" w:type="dxa"/>
              <w:right w:w="140" w:type="dxa"/>
            </w:tcMar>
          </w:tcPr>
          <w:p w14:paraId="17115E38" w14:textId="77777777" w:rsidR="00DD7F87" w:rsidRDefault="00000000">
            <w:r>
              <w:rPr>
                <w:b/>
                <w:bCs/>
                <w:color w:val="FFFFFF"/>
                <w:sz w:val="21"/>
                <w:szCs w:val="21"/>
              </w:rPr>
              <w:t>Focus</w:t>
            </w:r>
          </w:p>
        </w:tc>
        <w:tc>
          <w:tcPr>
            <w:tcW w:w="0" w:type="auto"/>
            <w:shd w:val="clear" w:color="auto" w:fill="1F3864"/>
            <w:tcMar>
              <w:top w:w="100" w:type="dxa"/>
              <w:left w:w="140" w:type="dxa"/>
              <w:bottom w:w="100" w:type="dxa"/>
              <w:right w:w="140" w:type="dxa"/>
            </w:tcMar>
          </w:tcPr>
          <w:p w14:paraId="10585533" w14:textId="77777777" w:rsidR="00DD7F87" w:rsidRDefault="00000000">
            <w:r>
              <w:rPr>
                <w:b/>
                <w:bCs/>
                <w:color w:val="FFFFFF"/>
                <w:sz w:val="21"/>
                <w:szCs w:val="21"/>
              </w:rPr>
              <w:t>Output</w:t>
            </w:r>
          </w:p>
        </w:tc>
      </w:tr>
      <w:tr w:rsidR="00DD7F87" w14:paraId="5FD0F33A"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70402EA4" w14:textId="77777777" w:rsidR="00DD7F87" w:rsidRDefault="00000000">
            <w:r>
              <w:rPr>
                <w:b/>
                <w:bCs/>
                <w:sz w:val="21"/>
                <w:szCs w:val="21"/>
              </w:rPr>
              <w:t>Today</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94A3FF6" w14:textId="77777777" w:rsidR="00DD7F87" w:rsidRDefault="00000000">
            <w:r>
              <w:rPr>
                <w:sz w:val="21"/>
                <w:szCs w:val="21"/>
              </w:rPr>
              <w:t>Team votes on research question</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084C045" w14:textId="77777777" w:rsidR="00DD7F87" w:rsidRDefault="00000000">
            <w:r>
              <w:rPr>
                <w:sz w:val="21"/>
                <w:szCs w:val="21"/>
              </w:rPr>
              <w:t>Locked research question — no more changes after this</w:t>
            </w:r>
          </w:p>
        </w:tc>
      </w:tr>
      <w:tr w:rsidR="00DD7F87" w14:paraId="0950689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6E0FE1F1" w14:textId="77777777" w:rsidR="00DD7F87" w:rsidRDefault="00000000">
            <w:r>
              <w:rPr>
                <w:b/>
                <w:bCs/>
                <w:sz w:val="21"/>
                <w:szCs w:val="21"/>
              </w:rPr>
              <w:t>4–5 Apr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5BCDA3" w14:textId="77777777" w:rsidR="00DD7F87" w:rsidRDefault="00000000">
            <w:r>
              <w:rPr>
                <w:sz w:val="21"/>
                <w:szCs w:val="21"/>
              </w:rPr>
              <w:t>Literature review + gap analysis</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ECE66B" w14:textId="77777777" w:rsidR="00DD7F87" w:rsidRDefault="00000000">
            <w:r>
              <w:rPr>
                <w:sz w:val="21"/>
                <w:szCs w:val="21"/>
              </w:rPr>
              <w:t>5-6 papers cited, gap paragraph written</w:t>
            </w:r>
          </w:p>
        </w:tc>
      </w:tr>
      <w:tr w:rsidR="00DD7F87" w14:paraId="4E41914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6CCA55C1" w14:textId="77777777" w:rsidR="00DD7F87" w:rsidRDefault="00000000">
            <w:r>
              <w:rPr>
                <w:b/>
                <w:bCs/>
                <w:sz w:val="21"/>
                <w:szCs w:val="21"/>
              </w:rPr>
              <w:t>5–6 Apr</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2948BD95" w14:textId="77777777" w:rsidR="00DD7F87" w:rsidRDefault="00000000">
            <w:r>
              <w:rPr>
                <w:sz w:val="21"/>
                <w:szCs w:val="21"/>
              </w:rPr>
              <w:t>Data download + EDA + models</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669DC954" w14:textId="77777777" w:rsidR="00DD7F87" w:rsidRDefault="00000000">
            <w:r>
              <w:rPr>
                <w:sz w:val="21"/>
                <w:szCs w:val="21"/>
              </w:rPr>
              <w:t>SARIMA + SARIMAX + RF running with real outputs</w:t>
            </w:r>
          </w:p>
        </w:tc>
      </w:tr>
      <w:tr w:rsidR="00DD7F87" w14:paraId="633687A0"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4470257E" w14:textId="77777777" w:rsidR="00DD7F87" w:rsidRDefault="00000000">
            <w:r>
              <w:rPr>
                <w:b/>
                <w:bCs/>
                <w:sz w:val="21"/>
                <w:szCs w:val="21"/>
              </w:rPr>
              <w:t>7 Apr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B298B" w14:textId="77777777" w:rsidR="00DD7F87" w:rsidRDefault="00000000">
            <w:r>
              <w:rPr>
                <w:sz w:val="21"/>
                <w:szCs w:val="21"/>
              </w:rPr>
              <w:t>RPZ analysis + affordability threshold</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557A02" w14:textId="77777777" w:rsidR="00DD7F87" w:rsidRDefault="00000000">
            <w:r>
              <w:rPr>
                <w:sz w:val="21"/>
                <w:szCs w:val="21"/>
              </w:rPr>
              <w:t>The WOW factor outputs — county timelines</w:t>
            </w:r>
          </w:p>
        </w:tc>
      </w:tr>
      <w:tr w:rsidR="00DD7F87" w14:paraId="31382D3F"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3DFDEA5B" w14:textId="77777777" w:rsidR="00DD7F87" w:rsidRDefault="00000000">
            <w:r>
              <w:rPr>
                <w:b/>
                <w:bCs/>
                <w:sz w:val="21"/>
                <w:szCs w:val="21"/>
              </w:rPr>
              <w:t>8 Apr</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511467BE" w14:textId="77777777" w:rsidR="00DD7F87" w:rsidRDefault="00000000">
            <w:r>
              <w:rPr>
                <w:sz w:val="21"/>
                <w:szCs w:val="21"/>
              </w:rPr>
              <w:t>Power BI dashboard</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16DCD731" w14:textId="77777777" w:rsidR="00DD7F87" w:rsidRDefault="00000000">
            <w:r>
              <w:rPr>
                <w:sz w:val="21"/>
                <w:szCs w:val="21"/>
              </w:rPr>
              <w:t>County risk map + early warning system</w:t>
            </w:r>
          </w:p>
        </w:tc>
      </w:tr>
      <w:tr w:rsidR="00DD7F87" w14:paraId="63605D0D"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532C9770" w14:textId="77777777" w:rsidR="00DD7F87" w:rsidRDefault="00000000">
            <w:r>
              <w:rPr>
                <w:b/>
                <w:bCs/>
                <w:sz w:val="21"/>
                <w:szCs w:val="21"/>
              </w:rPr>
              <w:t>9 Apr</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BA7D73" w14:textId="77777777" w:rsidR="00DD7F87" w:rsidRDefault="00000000">
            <w:r>
              <w:rPr>
                <w:sz w:val="21"/>
                <w:szCs w:val="21"/>
              </w:rPr>
              <w:t>Full report writing + review</w:t>
            </w:r>
          </w:p>
        </w:tc>
        <w:tc>
          <w:tcPr>
            <w:tcW w:w="0" w:type="auto"/>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6B95D8" w14:textId="77777777" w:rsidR="00DD7F87" w:rsidRDefault="00000000">
            <w:r>
              <w:rPr>
                <w:sz w:val="21"/>
                <w:szCs w:val="21"/>
              </w:rPr>
              <w:t>Submission-ready document</w:t>
            </w:r>
          </w:p>
        </w:tc>
      </w:tr>
      <w:tr w:rsidR="00DD7F87" w14:paraId="0AB628A6" w14:textId="77777777">
        <w:tblPrEx>
          <w:tblCellMar>
            <w:top w:w="0" w:type="dxa"/>
            <w:bottom w:w="0" w:type="dxa"/>
          </w:tblCellMar>
        </w:tblPrEx>
        <w:tc>
          <w:tcPr>
            <w:tcW w:w="0" w:type="auto"/>
            <w:tcBorders>
              <w:top w:val="single" w:sz="1" w:space="0" w:color="CCCCCC"/>
              <w:left w:val="single" w:sz="1" w:space="0" w:color="CCCCCC"/>
              <w:bottom w:val="single" w:sz="1" w:space="0" w:color="CCCCCC"/>
              <w:right w:val="single" w:sz="1" w:space="0" w:color="CCCCCC"/>
            </w:tcBorders>
            <w:shd w:val="clear" w:color="auto" w:fill="D6EAF8"/>
            <w:tcMar>
              <w:top w:w="80" w:type="dxa"/>
              <w:left w:w="140" w:type="dxa"/>
              <w:bottom w:w="80" w:type="dxa"/>
              <w:right w:w="140" w:type="dxa"/>
            </w:tcMar>
          </w:tcPr>
          <w:p w14:paraId="02DEB6E9" w14:textId="77777777" w:rsidR="00DD7F87" w:rsidRDefault="00000000">
            <w:r>
              <w:rPr>
                <w:b/>
                <w:bCs/>
                <w:sz w:val="21"/>
                <w:szCs w:val="21"/>
              </w:rPr>
              <w:t>10 Apr</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351BAD6F" w14:textId="77777777" w:rsidR="00DD7F87" w:rsidRDefault="00000000">
            <w:r>
              <w:rPr>
                <w:sz w:val="21"/>
                <w:szCs w:val="21"/>
              </w:rPr>
              <w:t>Submit</w:t>
            </w:r>
          </w:p>
        </w:tc>
        <w:tc>
          <w:tcPr>
            <w:tcW w:w="0" w:type="auto"/>
            <w:tcBorders>
              <w:top w:val="single" w:sz="1" w:space="0" w:color="CCCCCC"/>
              <w:left w:val="single" w:sz="1" w:space="0" w:color="CCCCCC"/>
              <w:bottom w:val="single" w:sz="1" w:space="0" w:color="CCCCCC"/>
              <w:right w:val="single" w:sz="1" w:space="0" w:color="CCCCCC"/>
            </w:tcBorders>
            <w:shd w:val="clear" w:color="auto" w:fill="F8F9FA"/>
            <w:tcMar>
              <w:top w:w="80" w:type="dxa"/>
              <w:left w:w="140" w:type="dxa"/>
              <w:bottom w:w="80" w:type="dxa"/>
              <w:right w:w="140" w:type="dxa"/>
            </w:tcMar>
          </w:tcPr>
          <w:p w14:paraId="01D95C4A" w14:textId="77777777" w:rsidR="00DD7F87" w:rsidRDefault="00000000">
            <w:r>
              <w:rPr>
                <w:sz w:val="21"/>
                <w:szCs w:val="21"/>
              </w:rPr>
              <w:t>Done</w:t>
            </w:r>
          </w:p>
        </w:tc>
      </w:tr>
    </w:tbl>
    <w:p w14:paraId="094230C4" w14:textId="77777777" w:rsidR="00DD7F87" w:rsidRDefault="00DD7F87">
      <w:pPr>
        <w:spacing w:before="160"/>
      </w:pPr>
    </w:p>
    <w:p w14:paraId="49810481" w14:textId="7DE0BB3D" w:rsidR="00DD7F87" w:rsidRDefault="00DD7F87" w:rsidP="00CF58CF">
      <w:pPr>
        <w:spacing w:before="60" w:after="60"/>
      </w:pPr>
    </w:p>
    <w:sectPr w:rsidR="00DD7F87">
      <w:pgSz w:w="12240" w:h="15840"/>
      <w:pgMar w:top="1440" w:right="1260" w:bottom="144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940E4F"/>
    <w:multiLevelType w:val="hybridMultilevel"/>
    <w:tmpl w:val="5C4099F4"/>
    <w:lvl w:ilvl="0" w:tplc="8C96DF98">
      <w:start w:val="1"/>
      <w:numFmt w:val="bullet"/>
      <w:lvlText w:val="●"/>
      <w:lvlJc w:val="left"/>
      <w:pPr>
        <w:ind w:left="720" w:hanging="360"/>
      </w:pPr>
    </w:lvl>
    <w:lvl w:ilvl="1" w:tplc="490A9AD6">
      <w:start w:val="1"/>
      <w:numFmt w:val="bullet"/>
      <w:lvlText w:val="○"/>
      <w:lvlJc w:val="left"/>
      <w:pPr>
        <w:ind w:left="1440" w:hanging="360"/>
      </w:pPr>
    </w:lvl>
    <w:lvl w:ilvl="2" w:tplc="7444CA7E">
      <w:start w:val="1"/>
      <w:numFmt w:val="bullet"/>
      <w:lvlText w:val="■"/>
      <w:lvlJc w:val="left"/>
      <w:pPr>
        <w:ind w:left="2160" w:hanging="360"/>
      </w:pPr>
    </w:lvl>
    <w:lvl w:ilvl="3" w:tplc="B82C247A">
      <w:start w:val="1"/>
      <w:numFmt w:val="bullet"/>
      <w:lvlText w:val="●"/>
      <w:lvlJc w:val="left"/>
      <w:pPr>
        <w:ind w:left="2880" w:hanging="360"/>
      </w:pPr>
    </w:lvl>
    <w:lvl w:ilvl="4" w:tplc="E39431EE">
      <w:start w:val="1"/>
      <w:numFmt w:val="bullet"/>
      <w:lvlText w:val="○"/>
      <w:lvlJc w:val="left"/>
      <w:pPr>
        <w:ind w:left="3600" w:hanging="360"/>
      </w:pPr>
    </w:lvl>
    <w:lvl w:ilvl="5" w:tplc="0504BF8C">
      <w:start w:val="1"/>
      <w:numFmt w:val="bullet"/>
      <w:lvlText w:val="■"/>
      <w:lvlJc w:val="left"/>
      <w:pPr>
        <w:ind w:left="4320" w:hanging="360"/>
      </w:pPr>
    </w:lvl>
    <w:lvl w:ilvl="6" w:tplc="D7020D8A">
      <w:start w:val="1"/>
      <w:numFmt w:val="bullet"/>
      <w:lvlText w:val="●"/>
      <w:lvlJc w:val="left"/>
      <w:pPr>
        <w:ind w:left="5040" w:hanging="360"/>
      </w:pPr>
    </w:lvl>
    <w:lvl w:ilvl="7" w:tplc="AC6AE270">
      <w:start w:val="1"/>
      <w:numFmt w:val="bullet"/>
      <w:lvlText w:val="●"/>
      <w:lvlJc w:val="left"/>
      <w:pPr>
        <w:ind w:left="5760" w:hanging="360"/>
      </w:pPr>
    </w:lvl>
    <w:lvl w:ilvl="8" w:tplc="8C182016">
      <w:start w:val="1"/>
      <w:numFmt w:val="bullet"/>
      <w:lvlText w:val="●"/>
      <w:lvlJc w:val="left"/>
      <w:pPr>
        <w:ind w:left="6480" w:hanging="360"/>
      </w:pPr>
    </w:lvl>
  </w:abstractNum>
  <w:abstractNum w:abstractNumId="1" w15:restartNumberingAfterBreak="0">
    <w:nsid w:val="57F819D1"/>
    <w:multiLevelType w:val="hybridMultilevel"/>
    <w:tmpl w:val="359AD02C"/>
    <w:lvl w:ilvl="0" w:tplc="A9769B56">
      <w:start w:val="1"/>
      <w:numFmt w:val="bullet"/>
      <w:lvlText w:val="•"/>
      <w:lvlJc w:val="left"/>
      <w:pPr>
        <w:ind w:left="720" w:hanging="360"/>
      </w:pPr>
    </w:lvl>
    <w:lvl w:ilvl="1" w:tplc="A23A3992">
      <w:numFmt w:val="decimal"/>
      <w:lvlText w:val=""/>
      <w:lvlJc w:val="left"/>
    </w:lvl>
    <w:lvl w:ilvl="2" w:tplc="22D6CFC6">
      <w:numFmt w:val="decimal"/>
      <w:lvlText w:val=""/>
      <w:lvlJc w:val="left"/>
    </w:lvl>
    <w:lvl w:ilvl="3" w:tplc="683C2B0E">
      <w:numFmt w:val="decimal"/>
      <w:lvlText w:val=""/>
      <w:lvlJc w:val="left"/>
    </w:lvl>
    <w:lvl w:ilvl="4" w:tplc="074426D0">
      <w:numFmt w:val="decimal"/>
      <w:lvlText w:val=""/>
      <w:lvlJc w:val="left"/>
    </w:lvl>
    <w:lvl w:ilvl="5" w:tplc="4A8C4348">
      <w:numFmt w:val="decimal"/>
      <w:lvlText w:val=""/>
      <w:lvlJc w:val="left"/>
    </w:lvl>
    <w:lvl w:ilvl="6" w:tplc="7DB03610">
      <w:numFmt w:val="decimal"/>
      <w:lvlText w:val=""/>
      <w:lvlJc w:val="left"/>
    </w:lvl>
    <w:lvl w:ilvl="7" w:tplc="8CB2EA26">
      <w:numFmt w:val="decimal"/>
      <w:lvlText w:val=""/>
      <w:lvlJc w:val="left"/>
    </w:lvl>
    <w:lvl w:ilvl="8" w:tplc="65D64EFE">
      <w:numFmt w:val="decimal"/>
      <w:lvlText w:val=""/>
      <w:lvlJc w:val="left"/>
    </w:lvl>
  </w:abstractNum>
  <w:num w:numId="1" w16cid:durableId="462424549">
    <w:abstractNumId w:val="0"/>
    <w:lvlOverride w:ilvl="0">
      <w:startOverride w:val="1"/>
    </w:lvlOverride>
  </w:num>
  <w:num w:numId="2" w16cid:durableId="186123530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F87"/>
    <w:rsid w:val="00CF58CF"/>
    <w:rsid w:val="00DD7F87"/>
    <w:rsid w:val="00E700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41AC669C"/>
  <w15:docId w15:val="{7EDD6671-07D4-8E47-959F-1B0387683F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160"/>
      <w:outlineLvl w:val="0"/>
    </w:pPr>
    <w:rPr>
      <w:b/>
      <w:bCs/>
      <w:sz w:val="34"/>
      <w:szCs w:val="34"/>
    </w:rPr>
  </w:style>
  <w:style w:type="paragraph" w:styleId="Heading2">
    <w:name w:val="heading 2"/>
    <w:uiPriority w:val="9"/>
    <w:semiHidden/>
    <w:unhideWhenUsed/>
    <w:qFormat/>
    <w:pPr>
      <w:spacing w:before="28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7</Pages>
  <Words>1510</Words>
  <Characters>8613</Characters>
  <Application>Microsoft Office Word</Application>
  <DocSecurity>0</DocSecurity>
  <Lines>71</Lines>
  <Paragraphs>20</Paragraphs>
  <ScaleCrop>false</ScaleCrop>
  <Company/>
  <LinksUpToDate>false</LinksUpToDate>
  <CharactersWithSpaces>10103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Ajinkya Barve</cp:lastModifiedBy>
  <cp:revision>2</cp:revision>
  <dcterms:created xsi:type="dcterms:W3CDTF">2026-04-04T00:34:00Z</dcterms:created>
  <dcterms:modified xsi:type="dcterms:W3CDTF">2026-04-04T00:43:00Z</dcterms:modified>
</cp:coreProperties>
</file>