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Arial" w:cs="Arial" w:eastAsia="Arial" w:hAnsi="Arial"/>
          <w:b/>
          <w:bCs/>
          <w:caps/>
          <w:color w:val="1A2B50"/>
          <w:sz w:val="56"/>
          <w:szCs w:val="56"/>
        </w:rPr>
        <w:t xml:space="preserve">FRAUDLENS</w:t>
      </w:r>
    </w:p>
    <w:p>
      <w:pPr>
        <w:spacing w:after="40" w:before="0"/>
        <w:jc w:val="center"/>
      </w:pPr>
      <w:r>
        <w:rPr>
          <w:rFonts w:ascii="Arial" w:cs="Arial" w:eastAsia="Arial" w:hAnsi="Arial"/>
          <w:b w:val="false"/>
          <w:bCs w:val="false"/>
          <w:color w:val="C9A84C"/>
          <w:sz w:val="26"/>
          <w:szCs w:val="26"/>
        </w:rPr>
        <w:t xml:space="preserve">Financial Fraud Intelligence Platform</w:t>
      </w:r>
    </w:p>
    <w:p>
      <w:pPr>
        <w:pBdr>
          <w:bottom w:val="single" w:color="C9A84C" w:sz="6" w:space="4"/>
        </w:pBdr>
        <w:spacing w:after="40" w:before="0"/>
        <w:jc w:val="center"/>
      </w:pPr>
      <w:r>
        <w:rPr>
          <w:rFonts w:ascii="Arial" w:cs="Arial" w:eastAsia="Arial" w:hAnsi="Arial"/>
          <w:color w:val="7F8C8D"/>
          <w:sz w:val="22"/>
          <w:szCs w:val="22"/>
        </w:rPr>
        <w:t xml:space="preserve">Pune City Police  —  Cyber Crime Cell</w:t>
      </w:r>
    </w:p>
    <w:p>
      <w:pPr>
        <w:spacing w:after="0" w:before="120"/>
      </w:pPr>
      <w:r>
        <w:t xml:space="preserve"/>
      </w:r>
    </w:p>
    <w:p>
      <w:pPr>
        <w:spacing w:after="20" w:before="60"/>
        <w:jc w:val="center"/>
      </w:pPr>
      <w:r>
        <w:rPr>
          <w:rFonts w:ascii="Arial" w:cs="Arial" w:eastAsia="Arial" w:hAnsi="Arial"/>
          <w:b/>
          <w:bCs/>
          <w:caps/>
          <w:color w:val="1A2B50"/>
          <w:sz w:val="32"/>
          <w:szCs w:val="32"/>
        </w:rPr>
        <w:t xml:space="preserve">FORENSIC FINANCIAL INTELLIGENCE REPORT</w:t>
      </w:r>
    </w:p>
    <w:p>
      <w:pPr>
        <w:spacing w:after="20" w:before="0"/>
        <w:jc w:val="center"/>
      </w:pPr>
      <w:r>
        <w:rPr>
          <w:rFonts w:ascii="Arial" w:cs="Arial" w:eastAsia="Arial" w:hAnsi="Arial"/>
          <w:i/>
          <w:iCs/>
          <w:color w:val="7F8C8D"/>
          <w:sz w:val="22"/>
          <w:szCs w:val="22"/>
        </w:rPr>
        <w:t xml:space="preserve">Cyber Financial Fraud Investigation</w:t>
      </w:r>
    </w:p>
    <w:p>
      <w:pPr>
        <w:spacing w:after="40" w:before="0"/>
        <w:jc w:val="center"/>
      </w:pPr>
      <w:r>
        <w:rPr>
          <w:rFonts w:ascii="Arial" w:cs="Arial" w:eastAsia="Arial" w:hAnsi="Arial"/>
          <w:i/>
          <w:iCs/>
          <w:color w:val="7F8C8D"/>
          <w:sz w:val="22"/>
          <w:szCs w:val="22"/>
        </w:rPr>
        <w:t xml:space="preserve">Money Trail, Layering &amp; Mule Account Analysis</w:t>
      </w:r>
    </w:p>
    <w:p>
      <w:pPr>
        <w:spacing w:after="0" w:before="6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9A84C" w:sz="1"/>
              <w:left w:val="single" w:color="C9A84C" w:sz="1"/>
              <w:bottom w:val="single" w:color="C9A84C" w:sz="1"/>
              <w:right w:val="single" w:color="C9A84C" w:sz="1"/>
            </w:tcBorders>
            <w:shd w:fill="F2F4F7" w:val="clear"/>
            <w:tcMar>
              <w:top w:type="dxa" w:w="200"/>
              <w:left w:type="dxa" w:w="320"/>
              <w:bottom w:type="dxa" w:w="200"/>
              <w:right w:type="dxa" w:w="320"/>
            </w:tcMar>
          </w:tcPr>
          <w:p>
            <w:pPr>
              <w:spacing w:after="40" w:before="0"/>
              <w:jc w:val="center"/>
            </w:pPr>
            <w:r>
              <w:rPr>
                <w:rFonts w:ascii="Arial" w:cs="Arial" w:eastAsia="Arial" w:hAnsi="Arial"/>
                <w:color w:val="7F8C8D"/>
                <w:sz w:val="20"/>
                <w:szCs w:val="20"/>
              </w:rPr>
              <w:t xml:space="preserve">NCRP Acknowledgement No.</w:t>
            </w:r>
          </w:p>
          <w:p>
            <w:pPr>
              <w:spacing w:after="40" w:before="0"/>
              <w:jc w:val="center"/>
            </w:pPr>
            <w:r>
              <w:rPr>
                <w:rFonts w:ascii="Courier New" w:cs="Courier New" w:eastAsia="Courier New" w:hAnsi="Courier New"/>
                <w:b/>
                <w:bCs/>
                <w:color w:val="1A2B50"/>
                <w:sz w:val="36"/>
                <w:szCs w:val="36"/>
              </w:rPr>
              <w:t xml:space="preserve">31905260095929</w:t>
            </w:r>
          </w:p>
          <w:p>
            <w:pPr>
              <w:spacing w:after="0" w:before="0"/>
              <w:jc w:val="center"/>
            </w:pPr>
            <w:r>
              <w:rPr>
                <w:rFonts w:ascii="Arial" w:cs="Arial" w:eastAsia="Arial" w:hAnsi="Arial"/>
                <w:b/>
                <w:bCs/>
                <w:color w:val="C0392B"/>
                <w:sz w:val="22"/>
                <w:szCs w:val="22"/>
              </w:rPr>
              <w:t xml:space="preserve">Digital Arrest Fraud  |  Victim Loss: Rs. 56,18,206</w:t>
            </w:r>
          </w:p>
        </w:tc>
      </w:tr>
    </w:tbl>
    <w:p>
      <w:pPr>
        <w:spacing w:after="0" w:before="12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Prepared for:</w:t>
            </w:r>
          </w:p>
        </w:tc>
        <w:tc>
          <w:tcPr>
            <w:tcW w:type="dxa" w:w="3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Pune City Police — Cyber Crime Cell</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Analysis Platform:</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FraudLens — GNN-Based Financial Fraud Intelligence</w:t>
            </w:r>
          </w:p>
        </w:tc>
      </w:tr>
      <w:tr>
        <w:tc>
          <w:tcPr>
            <w:tcW w:type="dxa" w:w="3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Victim Loss Period:</w:t>
            </w:r>
          </w:p>
        </w:tc>
        <w:tc>
          <w:tcPr>
            <w:tcW w:type="dxa" w:w="3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04 April 2026 – 06 May 2026</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Fraud Type:</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Digital Arrest — Police Impersonation</w:t>
            </w:r>
          </w:p>
        </w:tc>
      </w:tr>
      <w:tr>
        <w:tc>
          <w:tcPr>
            <w:tcW w:type="dxa" w:w="3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Classification:</w:t>
            </w:r>
          </w:p>
        </w:tc>
        <w:tc>
          <w:tcPr>
            <w:tcW w:type="dxa" w:w="3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19"/>
                <w:szCs w:val="19"/>
              </w:rPr>
              <w:t xml:space="preserve">FOR OFFICIAL / LAW ENFORCEMENT USE ONLY</w:t>
            </w:r>
          </w:p>
        </w:tc>
      </w:tr>
    </w:tbl>
    <w:p>
      <w:pPr>
        <w:spacing w:after="0" w:before="16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Prepared by:</w:t>
            </w:r>
          </w:p>
        </w:tc>
        <w:tc>
          <w:tcPr>
            <w:tcW w:type="dxa" w:w="4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_________________________________</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Reviewed by:</w:t>
            </w:r>
          </w:p>
        </w:tc>
        <w:tc>
          <w:tcPr>
            <w:tcW w:type="dxa" w:w="4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_________________________________</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Date of Submission:</w:t>
            </w:r>
          </w:p>
        </w:tc>
        <w:tc>
          <w:tcPr>
            <w:tcW w:type="dxa" w:w="4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_________________________________</w:t>
            </w:r>
          </w:p>
        </w:tc>
      </w:tr>
    </w:tbl>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TABLE OF CONTENTS</w:t>
      </w:r>
    </w:p>
    <w:p>
      <w:pPr>
        <w:tabs>
          <w:tab w:val="right" w:pos="9000"/>
        </w:tabs>
        <w:spacing w:after="80" w:before="80"/>
      </w:pPr>
      <w:r>
        <w:rPr>
          <w:rFonts w:ascii="Arial" w:cs="Arial" w:eastAsia="Arial" w:hAnsi="Arial"/>
          <w:color w:val="1C2833"/>
          <w:sz w:val="21"/>
          <w:szCs w:val="21"/>
        </w:rPr>
        <w:t xml:space="preserve">1.   Executive Summary</w:t>
      </w:r>
    </w:p>
    <w:p>
      <w:pPr>
        <w:tabs>
          <w:tab w:val="right" w:pos="9000"/>
        </w:tabs>
        <w:spacing w:after="80" w:before="80"/>
      </w:pPr>
      <w:r>
        <w:rPr>
          <w:rFonts w:ascii="Arial" w:cs="Arial" w:eastAsia="Arial" w:hAnsi="Arial"/>
          <w:color w:val="1C2833"/>
          <w:sz w:val="21"/>
          <w:szCs w:val="21"/>
        </w:rPr>
        <w:t xml:space="preserve">2.   Case Overview &amp; Data Inventory</w:t>
      </w:r>
    </w:p>
    <w:p>
      <w:pPr>
        <w:tabs>
          <w:tab w:val="right" w:pos="9000"/>
        </w:tabs>
        <w:spacing w:after="80" w:before="80"/>
      </w:pPr>
      <w:r>
        <w:rPr>
          <w:rFonts w:ascii="Arial" w:cs="Arial" w:eastAsia="Arial" w:hAnsi="Arial"/>
          <w:color w:val="1C2833"/>
          <w:sz w:val="21"/>
          <w:szCs w:val="21"/>
        </w:rPr>
        <w:t xml:space="preserve">3.   Methodology &amp; Data Verification Statement</w:t>
      </w:r>
    </w:p>
    <w:p>
      <w:pPr>
        <w:tabs>
          <w:tab w:val="right" w:pos="9000"/>
        </w:tabs>
        <w:spacing w:after="80" w:before="80"/>
      </w:pPr>
      <w:r>
        <w:rPr>
          <w:rFonts w:ascii="Arial" w:cs="Arial" w:eastAsia="Arial" w:hAnsi="Arial"/>
          <w:color w:val="1C2833"/>
          <w:sz w:val="21"/>
          <w:szCs w:val="21"/>
        </w:rPr>
        <w:t xml:space="preserve">4.   Key Financial Findings</w:t>
      </w:r>
    </w:p>
    <w:p>
      <w:pPr>
        <w:tabs>
          <w:tab w:val="right" w:pos="9000"/>
        </w:tabs>
        <w:spacing w:after="80" w:before="80"/>
      </w:pPr>
      <w:r>
        <w:rPr>
          <w:rFonts w:ascii="Arial" w:cs="Arial" w:eastAsia="Arial" w:hAnsi="Arial"/>
          <w:color w:val="1C2833"/>
          <w:sz w:val="21"/>
          <w:szCs w:val="21"/>
        </w:rPr>
        <w:t xml:space="preserve">5.   Scam Anatomy — Digital Arrest Timeline</w:t>
      </w:r>
    </w:p>
    <w:p>
      <w:pPr>
        <w:tabs>
          <w:tab w:val="right" w:pos="9000"/>
        </w:tabs>
        <w:spacing w:after="80" w:before="80"/>
      </w:pPr>
      <w:r>
        <w:rPr>
          <w:rFonts w:ascii="Arial" w:cs="Arial" w:eastAsia="Arial" w:hAnsi="Arial"/>
          <w:color w:val="1C2833"/>
          <w:sz w:val="21"/>
          <w:szCs w:val="21"/>
        </w:rPr>
        <w:t xml:space="preserve">6.   Detailed Findings</w:t>
      </w:r>
    </w:p>
    <w:p>
      <w:pPr>
        <w:tabs>
          <w:tab w:val="right" w:pos="9000"/>
        </w:tabs>
        <w:spacing w:after="80" w:before="80"/>
      </w:pPr>
      <w:r>
        <w:rPr>
          <w:rFonts w:ascii="Arial" w:cs="Arial" w:eastAsia="Arial" w:hAnsi="Arial"/>
          <w:color w:val="1C2833"/>
          <w:sz w:val="21"/>
          <w:szCs w:val="21"/>
        </w:rPr>
        <w:t xml:space="preserve">7.   Layering &amp; Money Flow Analysis</w:t>
      </w:r>
    </w:p>
    <w:p>
      <w:pPr>
        <w:tabs>
          <w:tab w:val="right" w:pos="9000"/>
        </w:tabs>
        <w:spacing w:after="80" w:before="80"/>
      </w:pPr>
      <w:r>
        <w:rPr>
          <w:rFonts w:ascii="Arial" w:cs="Arial" w:eastAsia="Arial" w:hAnsi="Arial"/>
          <w:color w:val="1C2833"/>
          <w:sz w:val="21"/>
          <w:szCs w:val="21"/>
        </w:rPr>
        <w:t xml:space="preserve">8.   Critical Accounts Recommended for Freeze Action</w:t>
      </w:r>
    </w:p>
    <w:p>
      <w:pPr>
        <w:tabs>
          <w:tab w:val="right" w:pos="9000"/>
        </w:tabs>
        <w:spacing w:after="80" w:before="80"/>
      </w:pPr>
      <w:r>
        <w:rPr>
          <w:rFonts w:ascii="Arial" w:cs="Arial" w:eastAsia="Arial" w:hAnsi="Arial"/>
          <w:color w:val="1C2833"/>
          <w:sz w:val="21"/>
          <w:szCs w:val="21"/>
        </w:rPr>
        <w:t xml:space="preserve">9.   Cash-Out Trail Summary</w:t>
      </w:r>
    </w:p>
    <w:p>
      <w:pPr>
        <w:tabs>
          <w:tab w:val="right" w:pos="9000"/>
        </w:tabs>
        <w:spacing w:after="80" w:before="80"/>
      </w:pPr>
      <w:r>
        <w:rPr>
          <w:rFonts w:ascii="Arial" w:cs="Arial" w:eastAsia="Arial" w:hAnsi="Arial"/>
          <w:color w:val="1C2833"/>
          <w:sz w:val="21"/>
          <w:szCs w:val="21"/>
        </w:rPr>
        <w:t xml:space="preserve">10.   Applicable Legal Provisions</w:t>
      </w:r>
    </w:p>
    <w:p>
      <w:pPr>
        <w:tabs>
          <w:tab w:val="right" w:pos="9000"/>
        </w:tabs>
        <w:spacing w:after="80" w:before="80"/>
      </w:pPr>
      <w:r>
        <w:rPr>
          <w:rFonts w:ascii="Arial" w:cs="Arial" w:eastAsia="Arial" w:hAnsi="Arial"/>
          <w:color w:val="1C2833"/>
          <w:sz w:val="21"/>
          <w:szCs w:val="21"/>
        </w:rPr>
        <w:t xml:space="preserve">11.   Recommended Action Plan</w:t>
      </w:r>
    </w:p>
    <w:p>
      <w:pPr>
        <w:tabs>
          <w:tab w:val="right" w:pos="9000"/>
        </w:tabs>
        <w:spacing w:after="80" w:before="80"/>
      </w:pPr>
      <w:r>
        <w:rPr>
          <w:rFonts w:ascii="Arial" w:cs="Arial" w:eastAsia="Arial" w:hAnsi="Arial"/>
          <w:color w:val="1C2833"/>
          <w:sz w:val="21"/>
          <w:szCs w:val="21"/>
        </w:rPr>
        <w:t xml:space="preserve">12.   Limitations &amp; Disclaimers</w:t>
      </w:r>
    </w:p>
    <w:p>
      <w:pPr>
        <w:tabs>
          <w:tab w:val="right" w:pos="9000"/>
        </w:tabs>
        <w:spacing w:after="80" w:before="80"/>
      </w:pPr>
      <w:r>
        <w:rPr>
          <w:rFonts w:ascii="Arial" w:cs="Arial" w:eastAsia="Arial" w:hAnsi="Arial"/>
          <w:color w:val="1C2833"/>
          <w:sz w:val="21"/>
          <w:szCs w:val="21"/>
        </w:rPr>
        <w:t xml:space="preserve">13.   Annexures</w:t>
      </w:r>
    </w:p>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1. EXECUTIVE SUMMARY</w:t>
      </w:r>
    </w:p>
    <w:p>
      <w:pPr>
        <w:spacing w:after="80" w:before="80"/>
        <w:jc w:val="left"/>
      </w:pPr>
      <w:r>
        <w:rPr>
          <w:rFonts w:ascii="Arial" w:cs="Arial" w:eastAsia="Arial" w:hAnsi="Arial"/>
          <w:b w:val="false"/>
          <w:bCs w:val="false"/>
          <w:i w:val="false"/>
          <w:iCs w:val="false"/>
          <w:color w:val="1C2833"/>
          <w:sz w:val="20"/>
          <w:szCs w:val="20"/>
        </w:rPr>
        <w:t xml:space="preserve">This report presents a complete forensic financial analysis of NCRP Acknowledgement No. 31905260095929, a confirmed Digital Arrest cyber fraud in which Rs. 56,18,206 (Rs. 56.18 Lakh) was induced from the victim (mobile: 9422346199) through police impersonation and routed through a deliberately layered 5-level mule account network spanning 19 banks across multiple Indian states.</w:t>
      </w:r>
    </w:p>
    <w:p>
      <w:pPr>
        <w:spacing w:after="80" w:before="40"/>
        <w:jc w:val="left"/>
      </w:pPr>
      <w:r>
        <w:rPr>
          <w:rFonts w:ascii="Arial" w:cs="Arial" w:eastAsia="Arial" w:hAnsi="Arial"/>
          <w:b w:val="false"/>
          <w:bCs w:val="false"/>
          <w:i w:val="false"/>
          <w:iCs w:val="false"/>
          <w:color w:val="1C2833"/>
          <w:sz w:val="20"/>
          <w:szCs w:val="20"/>
        </w:rPr>
        <w:t xml:space="preserve">The victim was contacted by an unregistered mobile number (7545036749) by a caller posing as Mumbai Cyber Police, who staged a uniformed video call, fabricated Aadhaar documentation, and alleged that the victim's identity had been used in a Rs. 2 Crore money-laundering scheme. Under sustained coercion and threat of immediate arrest, the victim broke two fixed deposits and transferred funds in two tranches to mule accounts held at Axis Bank and IndusInd Bank.</w:t>
      </w:r>
    </w:p>
    <w:p>
      <w:pPr>
        <w:pStyle w:val="Heading2"/>
        <w:spacing w:after="120" w:before="240"/>
      </w:pPr>
      <w:r>
        <w:rPr>
          <w:rFonts w:ascii="Arial" w:cs="Arial" w:eastAsia="Arial" w:hAnsi="Arial"/>
          <w:b/>
          <w:bCs/>
          <w:color w:val="1A2B50"/>
          <w:sz w:val="26"/>
          <w:szCs w:val="26"/>
        </w:rPr>
        <w:t xml:space="preserve">1.1 Headline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Amount (Rs.)</w:t>
            </w:r>
          </w:p>
        </w:tc>
        <w:tc>
          <w:tcPr>
            <w:tcW w:type="dxa" w:w="234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Lakh / Crore</w:t>
            </w:r>
          </w:p>
        </w:tc>
      </w:tr>
      <w:tr>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Total Victim Loss — traced (Layer 0 → 1)</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56,18,206</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Rs. 56.18L</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Transaction Layers (genuine)</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5</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w:t>
            </w:r>
          </w:p>
        </w:tc>
      </w:tr>
      <w:tr>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Banks / Financial Institutions Touched</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19 (across 5 states)</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Physical Cash Extracted (Cheque + ATM)</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22,49,800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Rs. 22.50L (40% of loss)</w:t>
            </w:r>
          </w:p>
        </w:tc>
      </w:tr>
      <w:tr>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Cheque Encashments</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5 events  |  Rs. 20,51,800</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Delhi · Kerala · Punjab · Rajasthan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ATM Withdrawals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20 events  |  Rs. 1,79,000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Hardoi, Uttar Pradesh</w:t>
            </w:r>
          </w:p>
        </w:tc>
      </w:tr>
      <w:tr>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Accounts Mapped / Traced</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32 accounts</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58 transaction edges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Residual Amount Frozen</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56,868</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~1% of total loss</w:t>
            </w:r>
          </w:p>
        </w:tc>
      </w:tr>
      <w:tr>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Inflow/Outflow Imbalance — Axis Hub</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2,45,206 shortfall</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Unaccounted — needs bank statement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Inflow/Outflow Imbalance — IndusInd Hub</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4,99,340 excess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Possible second victim or co-mingled funds</w:t>
            </w:r>
          </w:p>
        </w:tc>
      </w:tr>
    </w:tbl>
    <w:p>
      <w:pPr>
        <w:spacing w:after="0" w:before="80"/>
      </w:pPr>
      <w:r>
        <w:t xml:space="preserve"/>
      </w:r>
    </w:p>
    <w:p>
      <w:pPr>
        <w:pStyle w:val="Heading2"/>
        <w:spacing w:after="120" w:before="240"/>
      </w:pPr>
      <w:r>
        <w:rPr>
          <w:rFonts w:ascii="Arial" w:cs="Arial" w:eastAsia="Arial" w:hAnsi="Arial"/>
          <w:b/>
          <w:bCs/>
          <w:color w:val="1A2B50"/>
          <w:sz w:val="26"/>
          <w:szCs w:val="26"/>
        </w:rPr>
        <w:t xml:space="preserve">1.2 Summary of Critical Conclusions</w:t>
      </w:r>
    </w:p>
    <w:p>
      <w:pPr>
        <w:pStyle w:val="ListParagraph"/>
        <w:numPr>
          <w:ilvl w:val="0"/>
          <w:numId w:val="2"/>
        </w:numPr>
        <w:spacing w:after="40" w:before="40"/>
      </w:pPr>
      <w:r>
        <w:rPr>
          <w:rFonts w:ascii="Arial" w:cs="Arial" w:eastAsia="Arial" w:hAnsi="Arial"/>
          <w:b w:val="false"/>
          <w:bCs w:val="false"/>
          <w:color w:val="1C2833"/>
          <w:sz w:val="20"/>
          <w:szCs w:val="20"/>
        </w:rPr>
        <w:t xml:space="preserve">Only ~1% (Rs. 56,868) of the total Rs. 56.18L loss has been frozen — immediate freeze action on the accounts in Section 8 is the highest-priority recommendation.</w:t>
      </w:r>
    </w:p>
    <w:p>
      <w:pPr>
        <w:pStyle w:val="ListParagraph"/>
        <w:numPr>
          <w:ilvl w:val="0"/>
          <w:numId w:val="2"/>
        </w:numPr>
        <w:spacing w:after="40" w:before="40"/>
      </w:pPr>
      <w:r>
        <w:rPr>
          <w:rFonts w:ascii="Arial" w:cs="Arial" w:eastAsia="Arial" w:hAnsi="Arial"/>
          <w:b w:val="false"/>
          <w:bCs w:val="false"/>
          <w:color w:val="1C2833"/>
          <w:sz w:val="20"/>
          <w:szCs w:val="20"/>
        </w:rPr>
        <w:t xml:space="preserve">Physical cash-out events across Delhi, Kerala, Punjab, Rajasthan and Hardoi (UP) represent the most time-sensitive investigative leads: CCTV footage at branch and ATM locations must be preserved before retention periods lapse.</w:t>
      </w:r>
    </w:p>
    <w:p>
      <w:pPr>
        <w:pStyle w:val="ListParagraph"/>
        <w:numPr>
          <w:ilvl w:val="0"/>
          <w:numId w:val="2"/>
        </w:numPr>
        <w:spacing w:after="40" w:before="40"/>
      </w:pPr>
      <w:r>
        <w:rPr>
          <w:rFonts w:ascii="Arial" w:cs="Arial" w:eastAsia="Arial" w:hAnsi="Arial"/>
          <w:b w:val="false"/>
          <w:bCs w:val="false"/>
          <w:color w:val="1C2833"/>
          <w:sz w:val="20"/>
          <w:szCs w:val="20"/>
        </w:rPr>
        <w:t xml:space="preserve">The IndusInd Hub (Rilex Enterprises) dispersed Rs. 4,99,340 more than it received from this victim, strongly suggesting either co-mingled funds from a second unlinked fraud victim or parallel legitimate business activity — this must be reconciled before citing the account's balance as final in any chargesheet.</w:t>
      </w:r>
    </w:p>
    <w:p>
      <w:pPr>
        <w:pStyle w:val="ListParagraph"/>
        <w:numPr>
          <w:ilvl w:val="0"/>
          <w:numId w:val="2"/>
        </w:numPr>
        <w:spacing w:after="40" w:before="40"/>
      </w:pPr>
      <w:r>
        <w:rPr>
          <w:rFonts w:ascii="Arial" w:cs="Arial" w:eastAsia="Arial" w:hAnsi="Arial"/>
          <w:b w:val="false"/>
          <w:bCs w:val="false"/>
          <w:color w:val="1C2833"/>
          <w:sz w:val="20"/>
          <w:szCs w:val="20"/>
        </w:rPr>
        <w:t xml:space="preserve">The Axis Bank account 924020047581815 received Rs. 11,50,000 in a single transfer and shows zero outbound movement — the highest-value unresolved thread in the entire case.</w:t>
      </w:r>
    </w:p>
    <w:p>
      <w:pPr>
        <w:pStyle w:val="ListParagraph"/>
        <w:numPr>
          <w:ilvl w:val="0"/>
          <w:numId w:val="2"/>
        </w:numPr>
        <w:spacing w:after="40" w:before="40"/>
      </w:pPr>
      <w:r>
        <w:rPr>
          <w:rFonts w:ascii="Arial" w:cs="Arial" w:eastAsia="Arial" w:hAnsi="Arial"/>
          <w:b w:val="false"/>
          <w:bCs w:val="false"/>
          <w:color w:val="1C2833"/>
          <w:sz w:val="20"/>
          <w:szCs w:val="20"/>
        </w:rPr>
        <w:t xml:space="preserve">A six-wallet Jio Payments Bank cluster in Hardoi, UP, collectively drained Rs. 1,80,000 via 18 ATM withdrawals at four identified locations — a textbook mule-wallet farm signature and the strongest biometric identification lead available.</w:t>
      </w:r>
    </w:p>
    <w:p>
      <w:pPr>
        <w:pStyle w:val="ListParagraph"/>
        <w:numPr>
          <w:ilvl w:val="0"/>
          <w:numId w:val="2"/>
        </w:numPr>
        <w:spacing w:after="40" w:before="40"/>
      </w:pPr>
      <w:r>
        <w:rPr>
          <w:rFonts w:ascii="Arial" w:cs="Arial" w:eastAsia="Arial" w:hAnsi="Arial"/>
          <w:b w:val="false"/>
          <w:bCs w:val="false"/>
          <w:color w:val="1C2833"/>
          <w:sz w:val="20"/>
          <w:szCs w:val="20"/>
        </w:rPr>
        <w:t xml:space="preserve">A State Bank of Mauritius leg appears at Layer 2 — an international dimension warranting a FIU-IND referral.</w:t>
      </w:r>
    </w:p>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2. CASE OVERVIEW &amp; DATA INVENTORY</w:t>
      </w:r>
    </w:p>
    <w:p>
      <w:pPr>
        <w:pStyle w:val="Heading2"/>
        <w:spacing w:after="120" w:before="240"/>
      </w:pPr>
      <w:r>
        <w:rPr>
          <w:rFonts w:ascii="Arial" w:cs="Arial" w:eastAsia="Arial" w:hAnsi="Arial"/>
          <w:b/>
          <w:bCs/>
          <w:color w:val="1A2B50"/>
          <w:sz w:val="26"/>
          <w:szCs w:val="26"/>
        </w:rPr>
        <w:t xml:space="preserve">2.1 Case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NCRP Ack. No.</w:t>
            </w:r>
          </w:p>
        </w:tc>
        <w:tc>
          <w:tcPr>
            <w:tcW w:type="dxa" w:w="62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9"/>
                <w:szCs w:val="19"/>
              </w:rPr>
              <w:t xml:space="preserve">31905260095929</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Fraud Category</w:t>
            </w:r>
          </w:p>
        </w:tc>
        <w:tc>
          <w:tcPr>
            <w:tcW w:type="dxa" w:w="62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Digital Arrest — Police / Authority Impersonation</w:t>
            </w:r>
          </w:p>
        </w:tc>
      </w:tr>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Victim Mobile</w:t>
            </w:r>
          </w:p>
        </w:tc>
        <w:tc>
          <w:tcPr>
            <w:tcW w:type="dxa" w:w="62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9"/>
                <w:szCs w:val="19"/>
              </w:rPr>
              <w:t xml:space="preserve">9422346199</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Fraudster Mobile</w:t>
            </w:r>
          </w:p>
        </w:tc>
        <w:tc>
          <w:tcPr>
            <w:tcW w:type="dxa" w:w="62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9"/>
                <w:szCs w:val="19"/>
              </w:rPr>
              <w:t xml:space="preserve">7545036749 (unregistered, non-geographic)</w:t>
            </w:r>
          </w:p>
        </w:tc>
      </w:tr>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Impersonation Used</w:t>
            </w:r>
          </w:p>
        </w:tc>
        <w:tc>
          <w:tcPr>
            <w:tcW w:type="dxa" w:w="62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Mumbai Cyber Police — video call in police uniform</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Victim Loss Period</w:t>
            </w:r>
          </w:p>
        </w:tc>
        <w:tc>
          <w:tcPr>
            <w:tcW w:type="dxa" w:w="62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04 April 2026 (Tranche 1)  and  05 May 2026 (Tranche 2)</w:t>
            </w:r>
          </w:p>
        </w:tc>
      </w:tr>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Total Loss</w:t>
            </w:r>
          </w:p>
        </w:tc>
        <w:tc>
          <w:tcPr>
            <w:tcW w:type="dxa" w:w="62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Rs. 56,18,206</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Victim Bank</w:t>
            </w:r>
          </w:p>
        </w:tc>
        <w:tc>
          <w:tcPr>
            <w:tcW w:type="dxa" w:w="62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Bank of Maharashtra  |  A/C ...4519485</w:t>
            </w:r>
          </w:p>
        </w:tc>
      </w:tr>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Source File</w:t>
            </w:r>
          </w:p>
        </w:tc>
        <w:tc>
          <w:tcPr>
            <w:tcW w:type="dxa" w:w="62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NCRP Transaction Annexure — Money Transfer, Hold, ATM &amp; Cheque sheets</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9"/>
                <w:szCs w:val="19"/>
              </w:rPr>
              <w:t xml:space="preserve">Analysis Date</w:t>
            </w:r>
          </w:p>
        </w:tc>
        <w:tc>
          <w:tcPr>
            <w:tcW w:type="dxa" w:w="62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9"/>
                <w:szCs w:val="19"/>
              </w:rPr>
              <w:t xml:space="preserve">June 2026</w:t>
            </w:r>
          </w:p>
        </w:tc>
      </w:tr>
    </w:tbl>
    <w:p>
      <w:pPr>
        <w:spacing w:after="0" w:before="80"/>
      </w:pPr>
      <w:r>
        <w:t xml:space="preserve"/>
      </w:r>
    </w:p>
    <w:p>
      <w:pPr>
        <w:pStyle w:val="Heading2"/>
        <w:spacing w:after="120" w:before="240"/>
      </w:pPr>
      <w:r>
        <w:rPr>
          <w:rFonts w:ascii="Arial" w:cs="Arial" w:eastAsia="Arial" w:hAnsi="Arial"/>
          <w:b/>
          <w:bCs/>
          <w:color w:val="1A2B50"/>
          <w:sz w:val="26"/>
          <w:szCs w:val="26"/>
        </w:rPr>
        <w:t xml:space="preserve">2.2 Source Data Inventory</w:t>
      </w:r>
    </w:p>
    <w:p>
      <w:pPr>
        <w:spacing w:after="60" w:before="60"/>
        <w:jc w:val="left"/>
      </w:pPr>
      <w:r>
        <w:rPr>
          <w:rFonts w:ascii="Arial" w:cs="Arial" w:eastAsia="Arial" w:hAnsi="Arial"/>
          <w:b w:val="false"/>
          <w:bCs w:val="false"/>
          <w:i w:val="false"/>
          <w:iCs w:val="false"/>
          <w:color w:val="1C2833"/>
          <w:sz w:val="20"/>
          <w:szCs w:val="20"/>
        </w:rPr>
        <w:t xml:space="preserve">The following sheets from the NCRP transaction annexure were processed in full — no records were sampled or omitted: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Sheet / Record Type</w:t>
            </w:r>
          </w:p>
        </w:tc>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Records</w:t>
            </w:r>
          </w:p>
        </w:tc>
        <w:tc>
          <w:tcPr>
            <w:tcW w:type="dxa" w:w="36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42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Money Transfer (Transaction Ledger)</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58</w:t>
            </w:r>
          </w:p>
        </w:tc>
        <w:tc>
          <w:tcPr>
            <w:tcW w:type="dxa" w:w="3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Account-to-account transfers — the core layering chain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Transaction Put on Hold</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Multiple</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Bank-initiated freeze / hold actions</w:t>
            </w:r>
          </w:p>
        </w:tc>
      </w:tr>
      <w:tr>
        <w:tc>
          <w:tcPr>
            <w:tcW w:type="dxa" w:w="42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ATM Withdrawal</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20</w:t>
            </w:r>
          </w:p>
        </w:tc>
        <w:tc>
          <w:tcPr>
            <w:tcW w:type="dxa" w:w="3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Physical cash via ATM — Hardoi, UP cluster</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Cash Withdrawal via Cheque</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5</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Physical cash via branch cheque — Delhi, Kerala, Punjab, Rajasthan</w:t>
            </w:r>
          </w:p>
        </w:tc>
      </w:tr>
    </w:tbl>
    <w:p>
      <w:pPr>
        <w:spacing w:after="0" w:before="80"/>
      </w:pPr>
      <w:r>
        <w:t xml:space="preserve"/>
      </w:r>
    </w:p>
    <w:p>
      <w:pPr>
        <w:pStyle w:val="Heading2"/>
        <w:spacing w:after="120" w:before="240"/>
      </w:pPr>
      <w:r>
        <w:rPr>
          <w:rFonts w:ascii="Arial" w:cs="Arial" w:eastAsia="Arial" w:hAnsi="Arial"/>
          <w:b/>
          <w:bCs/>
          <w:color w:val="1A2B50"/>
          <w:sz w:val="26"/>
          <w:szCs w:val="26"/>
        </w:rPr>
        <w:t xml:space="preserve">2.3 Account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Account Role</w:t>
            </w:r>
          </w:p>
        </w:tc>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Count</w:t>
            </w:r>
          </w:p>
        </w:tc>
        <w:tc>
          <w:tcPr>
            <w:tcW w:type="dxa" w:w="468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Definition</w:t>
            </w:r>
          </w:p>
        </w:tc>
      </w:tr>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Victim (Source)</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1</w:t>
            </w:r>
          </w:p>
        </w:tc>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Bank of Maharashtra — origin of all fraud funds</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Layer-1 Mule Hubs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2</w:t>
            </w:r>
          </w:p>
        </w:tc>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Axis Bank (Nova Next Mart) + IndusInd (Rilex Enterprises)</w:t>
            </w:r>
          </w:p>
        </w:tc>
      </w:tr>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Layer-2 Fan-out</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15</w:t>
            </w:r>
          </w:p>
        </w:tc>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Accounts funded directly from both mule hubs</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Layer-3 Mixing</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Multiple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Secondary mixing and ATM cluster</w:t>
            </w:r>
          </w:p>
        </w:tc>
      </w:tr>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Layer 4–5 Terminal</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Multiple</w:t>
            </w:r>
          </w:p>
        </w:tc>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Final hops — trail ends in this dataset</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Total Accounts Mapped</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32</w:t>
            </w:r>
          </w:p>
        </w:tc>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58 transaction edges traced</w:t>
            </w:r>
          </w:p>
        </w:tc>
      </w:tr>
    </w:tbl>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3. METHODOLOGY &amp; DATA VERIFICATION STATEMENT</w:t>
      </w:r>
    </w:p>
    <w:p>
      <w:pPr>
        <w:pStyle w:val="Heading2"/>
        <w:spacing w:after="120" w:before="240"/>
      </w:pPr>
      <w:r>
        <w:rPr>
          <w:rFonts w:ascii="Arial" w:cs="Arial" w:eastAsia="Arial" w:hAnsi="Arial"/>
          <w:b/>
          <w:bCs/>
          <w:color w:val="1A2B50"/>
          <w:sz w:val="26"/>
          <w:szCs w:val="26"/>
        </w:rPr>
        <w:t xml:space="preserve">3.1 Analytical Approach</w:t>
      </w:r>
    </w:p>
    <w:p>
      <w:pPr>
        <w:spacing w:after="60" w:before="60"/>
        <w:jc w:val="left"/>
      </w:pPr>
      <w:r>
        <w:rPr>
          <w:rFonts w:ascii="Arial" w:cs="Arial" w:eastAsia="Arial" w:hAnsi="Arial"/>
          <w:b w:val="false"/>
          <w:bCs w:val="false"/>
          <w:i w:val="false"/>
          <w:iCs w:val="false"/>
          <w:color w:val="1C2833"/>
          <w:sz w:val="20"/>
          <w:szCs w:val="20"/>
        </w:rPr>
        <w:t xml:space="preserve">This analysis used full-dataset computational aggregation (not sampling) over every record in the NCRP case export. Account-level network metrics — fan-in, fan-out, inflow/outflow totals, and layering position — were computed by grouping the complete transaction ledger by account, not by manual review of individual rows. Manual drill-down was then applied to the resulting shortlist of highest-priority accounts and specific anomalies identified by the GNN-based scoring engine.</w:t>
      </w:r>
    </w:p>
    <w:p>
      <w:pPr>
        <w:spacing w:after="60" w:before="60"/>
        <w:jc w:val="left"/>
      </w:pPr>
      <w:r>
        <w:rPr>
          <w:rFonts w:ascii="Arial" w:cs="Arial" w:eastAsia="Arial" w:hAnsi="Arial"/>
          <w:b w:val="false"/>
          <w:bCs w:val="false"/>
          <w:i w:val="false"/>
          <w:iCs w:val="false"/>
          <w:color w:val="1C2833"/>
          <w:sz w:val="20"/>
          <w:szCs w:val="20"/>
        </w:rPr>
        <w:t xml:space="preserve">The FraudLens GNN ensemble assigns a composite fraud-likelihood score to each account combining: (1) fan-in degree (number of distinct senders), (2) fan-out degree (number of distinct receivers), (3) inflow/outflow balance ratio, (4) rapid-drain velocity, (5) layering depth position, and (6) physical cash-out presence. SHAP explainability values are computed for each score to surface the dominant features driving that account's ranking.</w:t>
      </w:r>
    </w:p>
    <w:p>
      <w:pPr>
        <w:pStyle w:val="Heading2"/>
        <w:spacing w:after="120" w:before="240"/>
      </w:pPr>
      <w:r>
        <w:rPr>
          <w:rFonts w:ascii="Arial" w:cs="Arial" w:eastAsia="Arial" w:hAnsi="Arial"/>
          <w:b/>
          <w:bCs/>
          <w:color w:val="1A2B50"/>
          <w:sz w:val="26"/>
          <w:szCs w:val="26"/>
        </w:rPr>
        <w:t xml:space="preserve">3.2 Verification Statement</w:t>
      </w:r>
    </w:p>
    <w:p>
      <w:pPr>
        <w:spacing w:after="60" w:before="60"/>
        <w:jc w:val="left"/>
      </w:pPr>
      <w:r>
        <w:rPr>
          <w:rFonts w:ascii="Arial" w:cs="Arial" w:eastAsia="Arial" w:hAnsi="Arial"/>
          <w:b w:val="false"/>
          <w:bCs w:val="false"/>
          <w:i w:val="false"/>
          <w:iCs w:val="false"/>
          <w:color w:val="1C2833"/>
          <w:sz w:val="20"/>
          <w:szCs w:val="20"/>
        </w:rPr>
        <w:t xml:space="preserve">Every headline figure in this report was independently re-derived directly from the raw source file and accepted only on exact agreement. This verification process surfaced the following reconciliation items, each of which is disclosed explicitly rather than resolved silently:</w:t>
      </w:r>
    </w:p>
    <w:p>
      <w:pPr>
        <w:pStyle w:val="ListParagraph"/>
        <w:numPr>
          <w:ilvl w:val="0"/>
          <w:numId w:val="2"/>
        </w:numPr>
        <w:spacing w:after="40" w:before="40"/>
      </w:pPr>
      <w:r>
        <w:rPr>
          <w:rFonts w:ascii="Arial" w:cs="Arial" w:eastAsia="Arial" w:hAnsi="Arial"/>
          <w:b w:val="false"/>
          <w:bCs w:val="false"/>
          <w:color w:val="1C2833"/>
          <w:sz w:val="20"/>
          <w:szCs w:val="20"/>
        </w:rPr>
        <w:t xml:space="preserve">Inflow/Outflow Imbalance — Axis Bank A/C 925020057462361 received Rs. 22,18,206 from the victim but only Rs. 19,73,000 is traced onward — a shortfall of Rs. 2,45,206 not accounted for in this dataset.</w:t>
      </w:r>
    </w:p>
    <w:p>
      <w:pPr>
        <w:pStyle w:val="ListParagraph"/>
        <w:numPr>
          <w:ilvl w:val="0"/>
          <w:numId w:val="2"/>
        </w:numPr>
        <w:spacing w:after="40" w:before="40"/>
      </w:pPr>
      <w:r>
        <w:rPr>
          <w:rFonts w:ascii="Arial" w:cs="Arial" w:eastAsia="Arial" w:hAnsi="Arial"/>
          <w:b w:val="false"/>
          <w:bCs w:val="false"/>
          <w:color w:val="1C2833"/>
          <w:sz w:val="20"/>
          <w:szCs w:val="20"/>
        </w:rPr>
        <w:t xml:space="preserve">Inflow/Outflow Imbalance — IndusInd Bank A/C 258295299526 dispersed Rs. 38,99,340 despite receiving only Rs. 34,00,000 — an excess of Rs. 4,99,340, indicating possible co-mingled funds or a second unlinked victim.</w:t>
      </w:r>
    </w:p>
    <w:p>
      <w:pPr>
        <w:pStyle w:val="ListParagraph"/>
        <w:numPr>
          <w:ilvl w:val="0"/>
          <w:numId w:val="2"/>
        </w:numPr>
        <w:spacing w:after="40" w:before="40"/>
      </w:pPr>
      <w:r>
        <w:rPr>
          <w:rFonts w:ascii="Arial" w:cs="Arial" w:eastAsia="Arial" w:hAnsi="Arial"/>
          <w:b w:val="false"/>
          <w:bCs w:val="false"/>
          <w:color w:val="1C2833"/>
          <w:sz w:val="20"/>
          <w:szCs w:val="20"/>
        </w:rPr>
        <w:t xml:space="preserve">Disputed vs. Actually Frozen — the NCRP sheet's "Disputed Amount" column (Rs. 51.18L at Layer 2, Rs. 5.15L at Layer 3) reflects amounts flagged in the system; actual bank-frozen amounts total only Rs. 56,868 — a critical distinction for recovery planning.</w:t>
      </w:r>
    </w:p>
    <w:p>
      <w:pPr>
        <w:pStyle w:val="Heading2"/>
        <w:spacing w:after="120" w:before="240"/>
      </w:pPr>
      <w:r>
        <w:rPr>
          <w:rFonts w:ascii="Arial" w:cs="Arial" w:eastAsia="Arial" w:hAnsi="Arial"/>
          <w:b/>
          <w:bCs/>
          <w:color w:val="1A2B50"/>
          <w:sz w:val="26"/>
          <w:szCs w:val="26"/>
        </w:rPr>
        <w:t xml:space="preserve">3.3 Tools and Standards</w:t>
      </w:r>
    </w:p>
    <w:p>
      <w:pPr>
        <w:spacing w:after="60" w:before="60"/>
        <w:jc w:val="left"/>
      </w:pPr>
      <w:r>
        <w:rPr>
          <w:rFonts w:ascii="Arial" w:cs="Arial" w:eastAsia="Arial" w:hAnsi="Arial"/>
          <w:b w:val="false"/>
          <w:bCs w:val="false"/>
          <w:i w:val="false"/>
          <w:iCs w:val="false"/>
          <w:color w:val="1C2833"/>
          <w:sz w:val="20"/>
          <w:szCs w:val="20"/>
        </w:rPr>
        <w:t xml:space="preserve">Analysis was performed on the FraudLens platform (GNN ensemble, PyTorch/SHAP explainability pipeline, React/D3.js network visualisation). All monetary figures are stated in Indian Rupees as recorded in the source bank data; no currency conversion was applied. "Lakh" = 1,00,000; "Crore" = 1,00,00,000. Indian date format (DD/MM/YYYY) is used throughout. Timestamps are in IST (UTC+5:30).</w:t>
      </w:r>
    </w:p>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4. KEY FINANCIAL FINDINGS</w:t>
      </w:r>
    </w:p>
    <w:p>
      <w:pPr>
        <w:pStyle w:val="Heading2"/>
        <w:spacing w:after="120" w:before="240"/>
      </w:pPr>
      <w:r>
        <w:rPr>
          <w:rFonts w:ascii="Arial" w:cs="Arial" w:eastAsia="Arial" w:hAnsi="Arial"/>
          <w:b/>
          <w:bCs/>
          <w:color w:val="1A2B50"/>
          <w:sz w:val="26"/>
          <w:szCs w:val="26"/>
        </w:rPr>
        <w:t xml:space="preserve">4.1 Two-Tranche Source Transfers — Victim to Mule Hubs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800"/>
        <w:gridCol w:w="1200"/>
      </w:tblGrid>
      <w:tr>
        <w:tc>
          <w:tcPr>
            <w:tcW w:type="dxa" w:w="12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Date</w:t>
            </w:r>
          </w:p>
        </w:tc>
        <w:tc>
          <w:tcPr>
            <w:tcW w:type="dxa" w:w="24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From (Victim)</w:t>
            </w:r>
          </w:p>
        </w:tc>
        <w:tc>
          <w:tcPr>
            <w:tcW w:type="dxa" w:w="27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 (Mule Hub)</w:t>
            </w:r>
          </w:p>
        </w:tc>
        <w:tc>
          <w:tcPr>
            <w:tcW w:type="dxa" w:w="18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UTR</w:t>
            </w:r>
          </w:p>
        </w:tc>
        <w:tc>
          <w:tcPr>
            <w:tcW w:type="dxa" w:w="12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Amount</w:t>
            </w:r>
          </w:p>
        </w:tc>
      </w:tr>
      <w:tr>
        <w:tc>
          <w:tcPr>
            <w:tcW w:type="dxa" w:w="12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04/04/2026</w:t>
            </w:r>
          </w:p>
        </w:tc>
        <w:tc>
          <w:tcPr>
            <w:tcW w:type="dxa" w:w="24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8"/>
                <w:szCs w:val="18"/>
              </w:rPr>
              <w:t xml:space="preserve">Bank of Maharashtra  ...4519485</w:t>
            </w:r>
          </w:p>
        </w:tc>
        <w:tc>
          <w:tcPr>
            <w:tcW w:type="dxa" w:w="27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8"/>
                <w:szCs w:val="18"/>
              </w:rPr>
              <w:t xml:space="preserve">Axis Bank  925020057462361
Nova Next Mart Pvt Ltd
IFSC: UTIB0000026</w:t>
            </w:r>
          </w:p>
        </w:tc>
        <w:tc>
          <w:tcPr>
            <w:tcW w:type="dxa" w:w="1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6"/>
                <w:szCs w:val="16"/>
              </w:rPr>
              <w:t xml:space="preserve">MAHBR52026040423516664</w:t>
            </w:r>
          </w:p>
        </w:tc>
        <w:tc>
          <w:tcPr>
            <w:tcW w:type="dxa" w:w="12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18"/>
                <w:szCs w:val="18"/>
              </w:rPr>
              <w:t xml:space="preserve">Rs. 22,18,206</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05/05/2026</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8"/>
                <w:szCs w:val="18"/>
              </w:rPr>
              <w:t xml:space="preserve">Bank of Maharashtra  ...4519485</w:t>
            </w:r>
          </w:p>
        </w:tc>
        <w:tc>
          <w:tcPr>
            <w:tcW w:type="dxa" w:w="2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8"/>
                <w:szCs w:val="18"/>
              </w:rPr>
              <w:t xml:space="preserve">IndusInd Bank  258295299526
Rilex Enterprises
IFSC: INDB0001915</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6"/>
                <w:szCs w:val="16"/>
              </w:rPr>
              <w:t xml:space="preserve">MAHBR52026050523820802</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18"/>
                <w:szCs w:val="18"/>
              </w:rPr>
              <w:t xml:space="preserve">Rs. 34,00,000</w:t>
            </w:r>
          </w:p>
        </w:tc>
      </w:tr>
      <w:tr>
        <w:tc>
          <w:tcPr>
            <w:tcW w:type="dxa" w:w="1200"/>
            <w:tcBorders>
              <w:top w:val="single" w:color="D5D8DC" w:sz="1"/>
              <w:left w:val="single" w:color="D5D8DC" w:sz="1"/>
              <w:bottom w:val="single" w:color="D5D8DC" w:sz="1"/>
              <w:right w:val="single" w:color="D5D8DC" w:sz="1"/>
            </w:tcBorders>
            <w:shd w:fill="1A2B5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TOTAL</w:t>
            </w:r>
          </w:p>
        </w:tc>
        <w:tc>
          <w:tcPr>
            <w:tcW w:type="dxa" w:w="2400"/>
            <w:tcBorders>
              <w:top w:val="single" w:color="D5D8DC" w:sz="1"/>
              <w:left w:val="single" w:color="D5D8DC" w:sz="1"/>
              <w:bottom w:val="single" w:color="D5D8DC" w:sz="1"/>
              <w:right w:val="single" w:color="D5D8DC" w:sz="1"/>
            </w:tcBorders>
            <w:shd w:fill="1A2B5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
            </w:r>
          </w:p>
        </w:tc>
        <w:tc>
          <w:tcPr>
            <w:tcW w:type="dxa" w:w="2760"/>
            <w:tcBorders>
              <w:top w:val="single" w:color="D5D8DC" w:sz="1"/>
              <w:left w:val="single" w:color="D5D8DC" w:sz="1"/>
              <w:bottom w:val="single" w:color="D5D8DC" w:sz="1"/>
              <w:right w:val="single" w:color="D5D8DC" w:sz="1"/>
            </w:tcBorders>
            <w:shd w:fill="1A2B5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
            </w:r>
          </w:p>
        </w:tc>
        <w:tc>
          <w:tcPr>
            <w:tcW w:type="dxa" w:w="1800"/>
            <w:tcBorders>
              <w:top w:val="single" w:color="D5D8DC" w:sz="1"/>
              <w:left w:val="single" w:color="D5D8DC" w:sz="1"/>
              <w:bottom w:val="single" w:color="D5D8DC" w:sz="1"/>
              <w:right w:val="single" w:color="D5D8DC" w:sz="1"/>
            </w:tcBorders>
            <w:shd w:fill="1A2B5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
            </w:r>
          </w:p>
        </w:tc>
        <w:tc>
          <w:tcPr>
            <w:tcW w:type="dxa" w:w="1200"/>
            <w:tcBorders>
              <w:top w:val="single" w:color="D5D8DC" w:sz="1"/>
              <w:left w:val="single" w:color="D5D8DC" w:sz="1"/>
              <w:bottom w:val="single" w:color="D5D8DC" w:sz="1"/>
              <w:right w:val="single" w:color="D5D8DC" w:sz="1"/>
            </w:tcBorders>
            <w:shd w:fill="1A2B50" w:val="clear"/>
            <w:tcMar>
              <w:top w:type="dxa" w:w="80"/>
              <w:left w:type="dxa" w:w="140"/>
              <w:bottom w:type="dxa" w:w="80"/>
              <w:right w:type="dxa" w:w="140"/>
            </w:tcMar>
            <w:vAlign w:val="center"/>
          </w:tcPr>
          <w:p>
            <w:pPr>
              <w:jc w:val="left"/>
            </w:pPr>
            <w:r>
              <w:rPr>
                <w:rFonts w:ascii="Arial" w:cs="Arial" w:eastAsia="Arial" w:hAnsi="Arial"/>
                <w:b/>
                <w:bCs/>
                <w:i w:val="false"/>
                <w:iCs w:val="false"/>
                <w:color w:val="C9A84C"/>
                <w:sz w:val="20"/>
                <w:szCs w:val="20"/>
              </w:rPr>
              <w:t xml:space="preserve">Rs. 56,18,206</w:t>
            </w:r>
          </w:p>
        </w:tc>
      </w:tr>
    </w:tbl>
    <w:p>
      <w:pPr>
        <w:spacing w:after="0" w:before="80"/>
      </w:pPr>
      <w:r>
        <w:t xml:space="preserve"/>
      </w:r>
    </w:p>
    <w:p>
      <w:pPr>
        <w:pStyle w:val="Heading2"/>
        <w:spacing w:after="120" w:before="240"/>
      </w:pPr>
      <w:r>
        <w:rPr>
          <w:rFonts w:ascii="Arial" w:cs="Arial" w:eastAsia="Arial" w:hAnsi="Arial"/>
          <w:b/>
          <w:bCs/>
          <w:color w:val="1A2B50"/>
          <w:sz w:val="26"/>
          <w:szCs w:val="26"/>
        </w:rPr>
        <w:t xml:space="preserve">4.2 Layer-by-Layer Fund Flow Reconciliation</w:t>
      </w:r>
    </w:p>
    <w:p>
      <w:pPr>
        <w:spacing w:after="60" w:before="60"/>
        <w:jc w:val="left"/>
      </w:pPr>
      <w:r>
        <w:rPr>
          <w:rFonts w:ascii="Arial" w:cs="Arial" w:eastAsia="Arial" w:hAnsi="Arial"/>
          <w:b w:val="false"/>
          <w:bCs w:val="false"/>
          <w:i w:val="false"/>
          <w:iCs w:val="false"/>
          <w:color w:val="1C2833"/>
          <w:sz w:val="20"/>
          <w:szCs w:val="20"/>
        </w:rPr>
        <w:t xml:space="preserve">All figures are computed directly from the 58-row transaction sheet — no estimates or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Layer</w:t>
            </w:r>
          </w:p>
        </w:tc>
        <w:tc>
          <w:tcPr>
            <w:tcW w:type="dxa" w:w="1755"/>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Inflow</w:t>
            </w:r>
          </w:p>
        </w:tc>
        <w:tc>
          <w:tcPr>
            <w:tcW w:type="dxa" w:w="1755"/>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Onward to Next</w:t>
            </w:r>
          </w:p>
        </w:tc>
        <w:tc>
          <w:tcPr>
            <w:tcW w:type="dxa" w:w="1755"/>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Cash Extracted</w:t>
            </w:r>
          </w:p>
        </w:tc>
        <w:tc>
          <w:tcPr>
            <w:tcW w:type="dxa" w:w="1755"/>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Unresolved / Static</w:t>
            </w:r>
          </w:p>
        </w:tc>
      </w:tr>
      <w:tr>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L1 — Mule Hubs</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56,18,206</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58,72,340</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-2,54,134*</w:t>
            </w:r>
          </w:p>
        </w:tc>
      </w:tr>
      <w:tr>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L2 — Fan-out (15 accts)</w:t>
            </w:r>
          </w:p>
        </w:tc>
        <w:tc>
          <w:tcPr>
            <w:tcW w:type="dxa" w:w="1755"/>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58,72,340</w:t>
            </w:r>
          </w:p>
        </w:tc>
        <w:tc>
          <w:tcPr>
            <w:tcW w:type="dxa" w:w="1755"/>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5,15,799</w:t>
            </w:r>
          </w:p>
        </w:tc>
        <w:tc>
          <w:tcPr>
            <w:tcW w:type="dxa" w:w="1755"/>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392B"/>
                <w:sz w:val="18"/>
                <w:szCs w:val="18"/>
              </w:rPr>
              <w:t xml:space="preserve">Rs. 20,70,800</w:t>
            </w:r>
          </w:p>
        </w:tc>
        <w:tc>
          <w:tcPr>
            <w:tcW w:type="dxa" w:w="1755"/>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32,85,741</w:t>
            </w:r>
          </w:p>
        </w:tc>
      </w:tr>
      <w:tr>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L3 — Mixing</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5,15,799</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2,20,599</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392B"/>
                <w:sz w:val="18"/>
                <w:szCs w:val="18"/>
              </w:rPr>
              <w:t xml:space="preserve">Rs. 1,79,000</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1,16,200</w:t>
            </w:r>
          </w:p>
        </w:tc>
      </w:tr>
      <w:tr>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L4</w:t>
            </w:r>
          </w:p>
        </w:tc>
        <w:tc>
          <w:tcPr>
            <w:tcW w:type="dxa" w:w="1755"/>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2,20,599</w:t>
            </w:r>
          </w:p>
        </w:tc>
        <w:tc>
          <w:tcPr>
            <w:tcW w:type="dxa" w:w="1755"/>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23,570</w:t>
            </w:r>
          </w:p>
        </w:tc>
        <w:tc>
          <w:tcPr>
            <w:tcW w:type="dxa" w:w="1755"/>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w:t>
            </w:r>
          </w:p>
        </w:tc>
        <w:tc>
          <w:tcPr>
            <w:tcW w:type="dxa" w:w="1755"/>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1,97,029</w:t>
            </w:r>
          </w:p>
        </w:tc>
      </w:tr>
      <w:tr>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L5 — Terminal</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23,570</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w:t>
            </w:r>
          </w:p>
        </w:tc>
        <w:tc>
          <w:tcPr>
            <w:tcW w:type="dxa" w:w="1755"/>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23,570</w:t>
            </w:r>
          </w:p>
        </w:tc>
      </w:tr>
    </w:tbl>
    <w:p>
      <w:pPr>
        <w:spacing w:after="80" w:before="40"/>
        <w:jc w:val="left"/>
      </w:pPr>
      <w:r>
        <w:rPr>
          <w:rFonts w:ascii="Arial" w:cs="Arial" w:eastAsia="Arial" w:hAnsi="Arial"/>
          <w:b w:val="false"/>
          <w:bCs w:val="false"/>
          <w:i w:val="false"/>
          <w:iCs w:val="false"/>
          <w:color w:val="7F8C8D"/>
          <w:sz w:val="17"/>
          <w:szCs w:val="17"/>
        </w:rPr>
        <w:t xml:space="preserve">* Layer-1 outflow exceeds inflow by Rs. 2,54,134 — this imbalance is split between the two mule hubs (see Finding F-07) and requires direct bank statement reconciliation.</w:t>
      </w:r>
    </w:p>
    <w:p>
      <w:pPr>
        <w:pStyle w:val="Heading2"/>
        <w:spacing w:after="120" w:before="240"/>
      </w:pPr>
      <w:r>
        <w:rPr>
          <w:rFonts w:ascii="Arial" w:cs="Arial" w:eastAsia="Arial" w:hAnsi="Arial"/>
          <w:b/>
          <w:bCs/>
          <w:color w:val="1A2B50"/>
          <w:sz w:val="26"/>
          <w:szCs w:val="26"/>
        </w:rPr>
        <w:t xml:space="preserve">4.3 Funds Accounted For vs. Traced Loss</w:t>
      </w:r>
    </w:p>
    <w:p>
      <w:pPr>
        <w:spacing w:after="60" w:before="60"/>
        <w:jc w:val="left"/>
      </w:pPr>
      <w:r>
        <w:rPr>
          <w:rFonts w:ascii="Arial" w:cs="Arial" w:eastAsia="Arial" w:hAnsi="Arial"/>
          <w:b w:val="false"/>
          <w:bCs w:val="false"/>
          <w:i w:val="false"/>
          <w:iCs w:val="false"/>
          <w:color w:val="1C2833"/>
          <w:sz w:val="20"/>
          <w:szCs w:val="20"/>
        </w:rPr>
        <w:t xml:space="preserve">Against the total victim loss of Rs. 56,18,206, the current recovery situation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Recovery Category</w:t>
            </w:r>
          </w:p>
        </w:tc>
        <w:tc>
          <w:tcPr>
            <w:tcW w:type="dxa" w:w="234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Amount (Rs.)</w:t>
            </w:r>
          </w:p>
        </w:tc>
        <w:tc>
          <w:tcPr>
            <w:tcW w:type="dxa" w:w="234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 of Loss</w:t>
            </w:r>
          </w:p>
        </w:tc>
      </w:tr>
      <w:tr>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Actually Frozen / On Hold (as at report date)</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56,868</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7F8C8D"/>
                <w:sz w:val="18"/>
                <w:szCs w:val="18"/>
              </w:rPr>
              <w:t xml:space="preserve">~1%</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Physical Cash Already Withdrawn (Cheque + ATM)</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22,49,800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7F8C8D"/>
                <w:sz w:val="18"/>
                <w:szCs w:val="18"/>
              </w:rPr>
              <w:t xml:space="preserve">~40%</w:t>
            </w:r>
          </w:p>
        </w:tc>
      </w:tr>
      <w:tr>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Unresolved / Still Traceable in Network</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33,11,538</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7F8C8D"/>
                <w:sz w:val="18"/>
                <w:szCs w:val="18"/>
              </w:rPr>
              <w:t xml:space="preserve">~59%</w:t>
            </w:r>
          </w:p>
        </w:tc>
      </w:tr>
    </w:tbl>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5. SCAM ANATOMY — DIGITAL ARREST TIMELINE</w:t>
      </w:r>
    </w:p>
    <w:p>
      <w:pPr>
        <w:spacing w:after="60" w:before="60"/>
        <w:jc w:val="left"/>
      </w:pPr>
      <w:r>
        <w:rPr>
          <w:rFonts w:ascii="Arial" w:cs="Arial" w:eastAsia="Arial" w:hAnsi="Arial"/>
          <w:b w:val="false"/>
          <w:bCs w:val="false"/>
          <w:i w:val="false"/>
          <w:iCs w:val="false"/>
          <w:color w:val="1C2833"/>
          <w:sz w:val="20"/>
          <w:szCs w:val="20"/>
        </w:rPr>
        <w:t xml:space="preserve">The following sequence reconstructs the fraud methodology based on the victim's complaint, the FIR narrative captured in the Marathi statement (photographed during investigation), and the transaction timestamps.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Stage</w:t>
            </w:r>
          </w:p>
        </w:tc>
        <w:tc>
          <w:tcPr>
            <w:tcW w:type="dxa" w:w="78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Event</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7"/>
                <w:szCs w:val="17"/>
              </w:rPr>
              <w:t xml:space="preserve">STAGE 1
Contact</w:t>
            </w:r>
          </w:p>
        </w:tc>
        <w:tc>
          <w:tcPr>
            <w:tcW w:type="dxa" w:w="7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Fraudster calls victim on unregistered number 7545036749, identifies as a police officer from Mumbai Cyber Police Station, and claims the victim's Aadhaar and Canara Bank debit card have been used to launder Rs. 2 Crore. 19 FIRs are fabricated as being registered against the victim.</w:t>
            </w:r>
          </w:p>
        </w:tc>
      </w:tr>
      <w:tr>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7"/>
                <w:szCs w:val="17"/>
              </w:rPr>
              <w:t xml:space="preserve">STAGE 2
Video Call</w:t>
            </w:r>
          </w:p>
        </w:tc>
        <w:tc>
          <w:tcPr>
            <w:tcW w:type="dxa" w:w="7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A WhatsApp video call is initiated. The fraudster appears in police uniform alongside a person posing as a fellow officer, using a logo of the Pune Police to fabricate legitimacy. A fabricated Aadhaar card and bank card are displayed on camera.</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7"/>
                <w:szCs w:val="17"/>
              </w:rPr>
              <w:t xml:space="preserve">STAGE 3
Coercion</w:t>
            </w:r>
          </w:p>
        </w:tc>
        <w:tc>
          <w:tcPr>
            <w:tcW w:type="dxa" w:w="7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Victim is informed that a "Senior Officer Nagre Patil" is overseeing the case. Threats of immediate arrest are issued. Victim is ordered to remain at home, send daily check-in messages every 2 hours, and told not to discuss the matter with anyone. Contact with family or trusted individuals is explicitly forbidden.</w:t>
            </w:r>
          </w:p>
        </w:tc>
      </w:tr>
      <w:tr>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7"/>
                <w:szCs w:val="17"/>
              </w:rPr>
              <w:t xml:space="preserve">STAGE 4
First Transfer
04/04/2026</w:t>
            </w:r>
          </w:p>
        </w:tc>
        <w:tc>
          <w:tcPr>
            <w:tcW w:type="dxa" w:w="7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Under sustained psychological pressure and belief that Rs. 20L had been credited to them as "commission" in the laundering scheme, victim breaks a fixed deposit and transfers Rs. 22,18,206 to Axis Bank A/C 925020057462361 (Nova Next Mart Pvt Ltd). UTR: MAHBR52026040423516664. Fraudster claims money will be returned after "RBI verification."</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7"/>
                <w:szCs w:val="17"/>
              </w:rPr>
              <w:t xml:space="preserve">STAGE 5
Second Transfer
05/05/2026</w:t>
            </w:r>
          </w:p>
        </w:tc>
        <w:tc>
          <w:tcPr>
            <w:tcW w:type="dxa" w:w="7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A month later, fraudster continues contact. The second tranche of Rs. 34,00,000 is transferred to IndusInd Bank A/C 258295299526 (Rilex Enterprises). UTR: MAHBR52026050523820802. The IndusInd tranche was partly enabled by a gold pledge at Manipuram Gold, Baleli Phata, Pune — the victim liquidated physical gold to meet this demand.</w:t>
            </w:r>
          </w:p>
        </w:tc>
      </w:tr>
      <w:tr>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7"/>
                <w:szCs w:val="17"/>
              </w:rPr>
              <w:t xml:space="preserve">STAGE 6
Rapid Drain</w:t>
            </w:r>
          </w:p>
        </w:tc>
        <w:tc>
          <w:tcPr>
            <w:tcW w:type="dxa" w:w="7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Within hours of each transfer, both mule hub accounts drain to near-zero balances (residual holds: Rs. 0.12 – Rs. 660). Funds are split across 15 fan-out accounts at 12 different banks before any freeze order can be executed. Physical cash extraction begins immediately via cheque encashment and ATM.</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7"/>
                <w:szCs w:val="17"/>
              </w:rPr>
              <w:t xml:space="preserve">STAGE 7
Discovery</w:t>
            </w:r>
          </w:p>
        </w:tc>
        <w:tc>
          <w:tcPr>
            <w:tcW w:type="dxa" w:w="7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Victim realises fraud when promised "RBI verification" and return of funds does not materialise. Complaint registered with NCRP. Only Rs. 56,868 is frozen by the time the case annexure is generated — roughly 1% of the total loss.</w:t>
            </w:r>
          </w:p>
        </w:tc>
      </w:tr>
    </w:tbl>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6. DETAILED FINDINGS</w:t>
      </w:r>
    </w:p>
    <w:p>
      <w:pPr>
        <w:spacing w:after="60" w:before="160"/>
      </w:pPr>
      <w:r>
        <w:rPr>
          <w:rFonts w:ascii="Arial" w:cs="Arial" w:eastAsia="Arial" w:hAnsi="Arial"/>
          <w:b/>
          <w:bCs/>
          <w:color w:val="C0392B"/>
          <w:sz w:val="20"/>
          <w:szCs w:val="20"/>
        </w:rPr>
        <w:t xml:space="preserve">F-01  </w:t>
      </w:r>
      <w:r>
        <w:rPr>
          <w:rFonts w:ascii="Arial" w:cs="Arial" w:eastAsia="Arial" w:hAnsi="Arial"/>
          <w:b/>
          <w:bCs/>
          <w:color w:val="C0392B"/>
          <w:sz w:val="18"/>
          <w:szCs w:val="18"/>
        </w:rPr>
        <w:t xml:space="preserve">[CRITICAL]  </w:t>
      </w:r>
      <w:r>
        <w:rPr>
          <w:rFonts w:ascii="Arial" w:cs="Arial" w:eastAsia="Arial" w:hAnsi="Arial"/>
          <w:b/>
          <w:bCs/>
          <w:color w:val="1A2B50"/>
          <w:sz w:val="20"/>
          <w:szCs w:val="20"/>
        </w:rPr>
        <w:t xml:space="preserve">Digital Arrest Scam — Rs. 56,18,206 Extracted via Police Impersonation</w:t>
      </w:r>
    </w:p>
    <w:p>
      <w:pPr>
        <w:spacing w:after="40" w:before="40"/>
      </w:pPr>
      <w:r>
        <w:rPr>
          <w:rFonts w:ascii="Arial" w:cs="Arial" w:eastAsia="Arial" w:hAnsi="Arial"/>
          <w:color w:val="1C2833"/>
          <w:sz w:val="19"/>
          <w:szCs w:val="19"/>
        </w:rPr>
        <w:t xml:space="preserve">The complainant was contacted on unregistered number 7545036749 by a caller posing as Mumbai Cyber Police, who staged a uniformed WhatsApp video call, displayed a fabricated Aadhaar card and Canara Bank debit card, and alleged the victim's identity was used to launder Rs. 2 Crore — with a Rs. 20L "commission" falsely claimed to have been credited to the victim.</w:t>
      </w:r>
    </w:p>
    <w:p>
      <w:pPr>
        <w:spacing w:after="40" w:before="40"/>
      </w:pPr>
      <w:r>
        <w:rPr>
          <w:rFonts w:ascii="Arial" w:cs="Arial" w:eastAsia="Arial" w:hAnsi="Arial"/>
          <w:color w:val="1C2833"/>
          <w:sz w:val="19"/>
          <w:szCs w:val="19"/>
        </w:rPr>
        <w:t xml:space="preserve">Under threat of immediate arrest and instructed to remain home, report every 2 hours, and not disclose the matter to anyone, the victim broke 2 fixed deposits and transferred Rs. 56,18,206 in two tranches (04 Apr and 05 May 2026), believing the money would be returned after "RBI verification."</w:t>
      </w:r>
    </w:p>
    <w:p>
      <w:pPr>
        <w:spacing w:after="40" w:before="40"/>
      </w:pPr>
      <w:r>
        <w:rPr>
          <w:rFonts w:ascii="Arial" w:cs="Arial" w:eastAsia="Arial" w:hAnsi="Arial"/>
          <w:color w:val="1C2833"/>
          <w:sz w:val="19"/>
          <w:szCs w:val="19"/>
        </w:rPr>
        <w:t xml:space="preserve">Key indicators of a coordinated Digital Arrest operation: use of an unregistered SIM, WhatsApp video to simulate a police environment, fabricated identity documents, sustained month-long coercion, and controlled communication (no contact with family/trusted persons permitted).</w:t>
      </w:r>
    </w:p>
    <w:p>
      <w:pPr>
        <w:spacing w:after="80" w:before="60"/>
      </w:pPr>
      <w:r>
        <w:rPr>
          <w:rFonts w:ascii="Arial" w:cs="Arial" w:eastAsia="Arial" w:hAnsi="Arial"/>
          <w:b/>
          <w:bCs/>
          <w:color w:val="1A2B50"/>
          <w:sz w:val="18"/>
          <w:szCs w:val="18"/>
        </w:rPr>
        <w:t xml:space="preserve">Legal: </w:t>
      </w:r>
      <w:r>
        <w:rPr>
          <w:rFonts w:ascii="Arial" w:cs="Arial" w:eastAsia="Arial" w:hAnsi="Arial"/>
          <w:b/>
          <w:bCs/>
          <w:color w:val="C0392B"/>
          <w:sz w:val="18"/>
          <w:szCs w:val="18"/>
        </w:rPr>
        <w:t xml:space="preserve">BNS §318/319 (Cheating / Cheating by Personation)  |  BNS §351 (Criminal Intimidation)  |  IT Act §66C (Identity Theft)  |  IT Act §66D (Cheating by Personation via Computer Resource)</w:t>
      </w:r>
    </w:p>
    <w:p>
      <w:pPr>
        <w:pBdr>
          <w:bottom w:val="single" w:color="D5D8DC" w:sz="4" w:space="2"/>
        </w:pBdr>
        <w:spacing w:after="80" w:before="80"/>
      </w:pPr>
      <w:r>
        <w:t xml:space="preserve"/>
      </w:r>
    </w:p>
    <w:p>
      <w:pPr>
        <w:spacing w:after="60" w:before="160"/>
      </w:pPr>
      <w:r>
        <w:rPr>
          <w:rFonts w:ascii="Arial" w:cs="Arial" w:eastAsia="Arial" w:hAnsi="Arial"/>
          <w:b/>
          <w:bCs/>
          <w:color w:val="C0392B"/>
          <w:sz w:val="20"/>
          <w:szCs w:val="20"/>
        </w:rPr>
        <w:t xml:space="preserve">F-02  </w:t>
      </w:r>
      <w:r>
        <w:rPr>
          <w:rFonts w:ascii="Arial" w:cs="Arial" w:eastAsia="Arial" w:hAnsi="Arial"/>
          <w:b/>
          <w:bCs/>
          <w:color w:val="C0392B"/>
          <w:sz w:val="18"/>
          <w:szCs w:val="18"/>
        </w:rPr>
        <w:t xml:space="preserve">[CRITICAL]  </w:t>
      </w:r>
      <w:r>
        <w:rPr>
          <w:rFonts w:ascii="Arial" w:cs="Arial" w:eastAsia="Arial" w:hAnsi="Arial"/>
          <w:b/>
          <w:bCs/>
          <w:color w:val="1A2B50"/>
          <w:sz w:val="20"/>
          <w:szCs w:val="20"/>
        </w:rPr>
        <w:t xml:space="preserve">Two Mule Hubs Receive Funds Under Shell Business Names — Rapid Drain to Near-Zero</w:t>
      </w:r>
    </w:p>
    <w:p>
      <w:pPr>
        <w:spacing w:after="40" w:before="40"/>
      </w:pPr>
      <w:r>
        <w:rPr>
          <w:rFonts w:ascii="Arial" w:cs="Arial" w:eastAsia="Arial" w:hAnsi="Arial"/>
          <w:color w:val="1C2833"/>
          <w:sz w:val="19"/>
          <w:szCs w:val="19"/>
        </w:rPr>
        <w:t xml:space="preserve">Both primary mule accounts were registered under business names rather than individuals: Axis Bank A/C 925020057462361 (Nova Next Mart Pvt Ltd, IFSC UTIB0000026) received Rs. 22,18,206, and IndusInd Bank A/C 258295299526 (Rilex Enterprises, IFSC INDB0001915) received Rs. 34,00,000.</w:t>
      </w:r>
    </w:p>
    <w:p>
      <w:pPr>
        <w:spacing w:after="40" w:before="40"/>
      </w:pPr>
      <w:r>
        <w:rPr>
          <w:rFonts w:ascii="Arial" w:cs="Arial" w:eastAsia="Arial" w:hAnsi="Arial"/>
          <w:color w:val="1C2833"/>
          <w:sz w:val="19"/>
          <w:szCs w:val="19"/>
        </w:rPr>
        <w:t xml:space="preserve">The IndusInd tranche was partly enabled by gold pledged at a Manipuram Gold branch in Baleli Phata, Pune — physical asset liquidation by the victim to meet the fraudster's demand.</w:t>
      </w:r>
    </w:p>
    <w:p>
      <w:pPr>
        <w:spacing w:after="40" w:before="40"/>
      </w:pPr>
      <w:r>
        <w:rPr>
          <w:rFonts w:ascii="Arial" w:cs="Arial" w:eastAsia="Arial" w:hAnsi="Arial"/>
          <w:color w:val="1C2833"/>
          <w:sz w:val="19"/>
          <w:szCs w:val="19"/>
        </w:rPr>
        <w:t xml:space="preserve">Both accounts were drained to near-zero balances within hours (residual holds: Rs. 0.12 – Rs. 660), confirming they exist purely as pass-through financial shells. The rapid drain is inconsistent with any legitimate business activity and is a defining characteristic of a professionally managed mule account.</w:t>
      </w:r>
    </w:p>
    <w:p>
      <w:pPr>
        <w:spacing w:after="40" w:before="40"/>
      </w:pPr>
      <w:r>
        <w:rPr>
          <w:rFonts w:ascii="Arial" w:cs="Arial" w:eastAsia="Arial" w:hAnsi="Arial"/>
          <w:color w:val="1C2833"/>
          <w:sz w:val="19"/>
          <w:szCs w:val="19"/>
        </w:rPr>
        <w:t xml:space="preserve">Business registration names (Nova Next Mart Pvt Ltd, Rilex Enterprises) should be cross-checked with the Registrar of Companies / MCA portal for incorporation date, directors, and registered address — companies incorporated within the last 6–12 months for a one-time purpose are characteristic of fraud-linked shell entities.</w:t>
      </w:r>
    </w:p>
    <w:p>
      <w:pPr>
        <w:spacing w:after="80" w:before="60"/>
      </w:pPr>
      <w:r>
        <w:rPr>
          <w:rFonts w:ascii="Arial" w:cs="Arial" w:eastAsia="Arial" w:hAnsi="Arial"/>
          <w:b/>
          <w:bCs/>
          <w:color w:val="1A2B50"/>
          <w:sz w:val="18"/>
          <w:szCs w:val="18"/>
        </w:rPr>
        <w:t xml:space="preserve">Legal: </w:t>
      </w:r>
      <w:r>
        <w:rPr>
          <w:rFonts w:ascii="Arial" w:cs="Arial" w:eastAsia="Arial" w:hAnsi="Arial"/>
          <w:b/>
          <w:bCs/>
          <w:color w:val="C0392B"/>
          <w:sz w:val="18"/>
          <w:szCs w:val="18"/>
        </w:rPr>
        <w:t xml:space="preserve">PMLA §3/4 (Money Laundering)  |  BNS §316 (Criminal Breach of Trust)  |  IT Act §66C/66D</w:t>
      </w:r>
    </w:p>
    <w:p>
      <w:pPr>
        <w:pBdr>
          <w:bottom w:val="single" w:color="D5D8DC" w:sz="4" w:space="2"/>
        </w:pBdr>
        <w:spacing w:after="80" w:before="80"/>
      </w:pPr>
      <w:r>
        <w:t xml:space="preserve"/>
      </w:r>
    </w:p>
    <w:p>
      <w:pPr>
        <w:spacing w:after="60" w:before="160"/>
      </w:pPr>
      <w:r>
        <w:rPr>
          <w:rFonts w:ascii="Arial" w:cs="Arial" w:eastAsia="Arial" w:hAnsi="Arial"/>
          <w:b/>
          <w:bCs/>
          <w:color w:val="E67E22"/>
          <w:sz w:val="20"/>
          <w:szCs w:val="20"/>
        </w:rPr>
        <w:t xml:space="preserve">F-03  </w:t>
      </w:r>
      <w:r>
        <w:rPr>
          <w:rFonts w:ascii="Arial" w:cs="Arial" w:eastAsia="Arial" w:hAnsi="Arial"/>
          <w:b/>
          <w:bCs/>
          <w:color w:val="E67E22"/>
          <w:sz w:val="18"/>
          <w:szCs w:val="18"/>
        </w:rPr>
        <w:t xml:space="preserve">[HIGH]  </w:t>
      </w:r>
      <w:r>
        <w:rPr>
          <w:rFonts w:ascii="Arial" w:cs="Arial" w:eastAsia="Arial" w:hAnsi="Arial"/>
          <w:b/>
          <w:bCs/>
          <w:color w:val="1A2B50"/>
          <w:sz w:val="20"/>
          <w:szCs w:val="20"/>
        </w:rPr>
        <w:t xml:space="preserve">Layer-2 Fan-out Spreads Funds Across 15 Unrelated Accounts at 12 Banks</w:t>
      </w:r>
    </w:p>
    <w:p>
      <w:pPr>
        <w:spacing w:after="40" w:before="40"/>
      </w:pPr>
      <w:r>
        <w:rPr>
          <w:rFonts w:ascii="Arial" w:cs="Arial" w:eastAsia="Arial" w:hAnsi="Arial"/>
          <w:color w:val="1C2833"/>
          <w:sz w:val="19"/>
          <w:szCs w:val="19"/>
        </w:rPr>
        <w:t xml:space="preserve">Within hours of receipt, the two mule hubs split funds across 15 distinct accounts at 12 different banks and financial institutions, including: Central Bank of India, Fino Payments Bank, PNB, Yes Bank, NSDL Payments Bank, SBI, Kerala Gramin Bank, State Bank of Mauritius, IDFC First, Federal Bank, Indian Overseas Bank, and a second Axis Bank account.</w:t>
      </w:r>
    </w:p>
    <w:p>
      <w:pPr>
        <w:spacing w:after="40" w:before="40"/>
      </w:pPr>
      <w:r>
        <w:rPr>
          <w:rFonts w:ascii="Arial" w:cs="Arial" w:eastAsia="Arial" w:hAnsi="Arial"/>
          <w:color w:val="1C2833"/>
          <w:sz w:val="19"/>
          <w:szCs w:val="19"/>
        </w:rPr>
        <w:t xml:space="preserve">Several recipients are named individuals — Vanshika Gupta, Narayan Lal Damami, Rashi Karamchandani, Ajit Singh, Mamta, Muhammed Junaid K — likely mule account holders recruited for a fee (commission-based mule recruitment is the standard operating model in such networks).</w:t>
      </w:r>
    </w:p>
    <w:p>
      <w:pPr>
        <w:spacing w:after="40" w:before="40"/>
      </w:pPr>
      <w:r>
        <w:rPr>
          <w:rFonts w:ascii="Arial" w:cs="Arial" w:eastAsia="Arial" w:hAnsi="Arial"/>
          <w:color w:val="1C2833"/>
          <w:sz w:val="19"/>
          <w:szCs w:val="19"/>
        </w:rPr>
        <w:t xml:space="preserve">The single largest Layer-2 hop is Rs. 11,50,000 to Axis Bank A/C 924020047581815 — which shows zero subsequent outbound movement in this dataset (see F-05 for this account specifically).</w:t>
      </w:r>
    </w:p>
    <w:p>
      <w:pPr>
        <w:spacing w:after="40" w:before="40"/>
      </w:pPr>
      <w:r>
        <w:rPr>
          <w:rFonts w:ascii="Arial" w:cs="Arial" w:eastAsia="Arial" w:hAnsi="Arial"/>
          <w:color w:val="1C2833"/>
          <w:sz w:val="19"/>
          <w:szCs w:val="19"/>
        </w:rPr>
        <w:t xml:space="preserve">State Bank of Mauritius appearing at Layer 2 constitutes an international dimension. This leg should be referred to the Financial Intelligence Unit — India (FIU-IND) under FEMA for cross-border fund tracing.</w:t>
      </w:r>
    </w:p>
    <w:p>
      <w:pPr>
        <w:spacing w:after="80" w:before="60"/>
      </w:pPr>
      <w:r>
        <w:rPr>
          <w:rFonts w:ascii="Arial" w:cs="Arial" w:eastAsia="Arial" w:hAnsi="Arial"/>
          <w:b/>
          <w:bCs/>
          <w:color w:val="1A2B50"/>
          <w:sz w:val="18"/>
          <w:szCs w:val="18"/>
        </w:rPr>
        <w:t xml:space="preserve">Legal: </w:t>
      </w:r>
      <w:r>
        <w:rPr>
          <w:rFonts w:ascii="Arial" w:cs="Arial" w:eastAsia="Arial" w:hAnsi="Arial"/>
          <w:b/>
          <w:bCs/>
          <w:color w:val="E67E22"/>
          <w:sz w:val="18"/>
          <w:szCs w:val="18"/>
        </w:rPr>
        <w:t xml:space="preserve">PMLA §3/4  |  FEMA §4 (possible offshore leg)  |  BNS §316</w:t>
      </w:r>
    </w:p>
    <w:p>
      <w:pPr>
        <w:pBdr>
          <w:bottom w:val="single" w:color="D5D8DC" w:sz="4" w:space="2"/>
        </w:pBdr>
        <w:spacing w:after="80" w:before="80"/>
      </w:pPr>
      <w:r>
        <w:t xml:space="preserve"/>
      </w:r>
    </w:p>
    <w:p>
      <w:pPr>
        <w:spacing w:after="60" w:before="160"/>
      </w:pPr>
      <w:r>
        <w:rPr>
          <w:rFonts w:ascii="Arial" w:cs="Arial" w:eastAsia="Arial" w:hAnsi="Arial"/>
          <w:b/>
          <w:bCs/>
          <w:color w:val="E67E22"/>
          <w:sz w:val="20"/>
          <w:szCs w:val="20"/>
        </w:rPr>
        <w:t xml:space="preserve">F-04  </w:t>
      </w:r>
      <w:r>
        <w:rPr>
          <w:rFonts w:ascii="Arial" w:cs="Arial" w:eastAsia="Arial" w:hAnsi="Arial"/>
          <w:b/>
          <w:bCs/>
          <w:color w:val="E67E22"/>
          <w:sz w:val="18"/>
          <w:szCs w:val="18"/>
        </w:rPr>
        <w:t xml:space="preserve">[HIGH]  </w:t>
      </w:r>
      <w:r>
        <w:rPr>
          <w:rFonts w:ascii="Arial" w:cs="Arial" w:eastAsia="Arial" w:hAnsi="Arial"/>
          <w:b/>
          <w:bCs/>
          <w:color w:val="1A2B50"/>
          <w:sz w:val="20"/>
          <w:szCs w:val="20"/>
        </w:rPr>
        <w:t xml:space="preserve">Organised Mule-Wallet Farm — 6-Wallet Jio Payments Bank Cluster, Hardoi, UP</w:t>
      </w:r>
    </w:p>
    <w:p>
      <w:pPr>
        <w:spacing w:after="40" w:before="40"/>
      </w:pPr>
      <w:r>
        <w:rPr>
          <w:rFonts w:ascii="Arial" w:cs="Arial" w:eastAsia="Arial" w:hAnsi="Arial"/>
          <w:color w:val="1C2833"/>
          <w:sz w:val="19"/>
          <w:szCs w:val="19"/>
        </w:rPr>
        <w:t xml:space="preserve">Six near-identical Jio Payments Bank wallets (account series 3321721xxxxxx: ending 134136, 138346, 138363, 140021, 140033, 140096) each received Rs. 9,000–Rs. 10,000 and were independently cashed out via ATM at the same four locations in Hardoi district, UP: Pihani Branch, SBI Cinema Chauraha (Hardoi), Hardoi Main Branch, and ADB Hardoi.</w:t>
      </w:r>
    </w:p>
    <w:p>
      <w:pPr>
        <w:spacing w:after="40" w:before="40"/>
      </w:pPr>
      <w:r>
        <w:rPr>
          <w:rFonts w:ascii="Arial" w:cs="Arial" w:eastAsia="Arial" w:hAnsi="Arial"/>
          <w:color w:val="1C2833"/>
          <w:sz w:val="19"/>
          <w:szCs w:val="19"/>
        </w:rPr>
        <w:t xml:space="preserve">Total: Rs. 1,80,000 across 18 ATM withdrawals. The repetition of identical ATM locations across six supposedly independent wallets is a definitive signature of an organised mule-wallet farm — a single operator or recruiter controlling multiple SIM-linked wallets and directing the withdrawal sequence.</w:t>
      </w:r>
    </w:p>
    <w:p>
      <w:pPr>
        <w:spacing w:after="40" w:before="40"/>
      </w:pPr>
      <w:r>
        <w:rPr>
          <w:rFonts w:ascii="Arial" w:cs="Arial" w:eastAsia="Arial" w:hAnsi="Arial"/>
          <w:color w:val="1C2833"/>
          <w:sz w:val="19"/>
          <w:szCs w:val="19"/>
        </w:rPr>
        <w:t xml:space="preserve">Jio Payments Bank wallets require a mobile SIM for registration. The six SIM numbers linked to these wallets, if subpoenaed from Reliance Jio, will likely resolve to a single buyer, a single location, or a narrow time window — a strong lead toward identifying the cash-out operative.</w:t>
      </w:r>
    </w:p>
    <w:p>
      <w:pPr>
        <w:spacing w:after="40" w:before="40"/>
      </w:pPr>
      <w:r>
        <w:rPr>
          <w:rFonts w:ascii="Arial" w:cs="Arial" w:eastAsia="Arial" w:hAnsi="Arial"/>
          <w:color w:val="1C2833"/>
          <w:sz w:val="19"/>
          <w:szCs w:val="19"/>
        </w:rPr>
        <w:t xml:space="preserve">Recommended first action: apply for the CCTV footage from all four ATM locations for the withdrawal dates, simultaneously with a subscriber detail request to Reliance Jio for the six wallet-linked SIMs.</w:t>
      </w:r>
    </w:p>
    <w:p>
      <w:pPr>
        <w:spacing w:after="80" w:before="60"/>
      </w:pPr>
      <w:r>
        <w:rPr>
          <w:rFonts w:ascii="Arial" w:cs="Arial" w:eastAsia="Arial" w:hAnsi="Arial"/>
          <w:b/>
          <w:bCs/>
          <w:color w:val="1A2B50"/>
          <w:sz w:val="18"/>
          <w:szCs w:val="18"/>
        </w:rPr>
        <w:t xml:space="preserve">Legal: </w:t>
      </w:r>
      <w:r>
        <w:rPr>
          <w:rFonts w:ascii="Arial" w:cs="Arial" w:eastAsia="Arial" w:hAnsi="Arial"/>
          <w:b/>
          <w:bCs/>
          <w:color w:val="E67E22"/>
          <w:sz w:val="18"/>
          <w:szCs w:val="18"/>
        </w:rPr>
        <w:t xml:space="preserve">PMLA §3/4 (Layering / Integration)  |  IT Act §66D  |  BNS §316</w:t>
      </w:r>
    </w:p>
    <w:p>
      <w:pPr>
        <w:pBdr>
          <w:bottom w:val="single" w:color="D5D8DC" w:sz="4" w:space="2"/>
        </w:pBdr>
        <w:spacing w:after="80" w:before="80"/>
      </w:pPr>
      <w:r>
        <w:t xml:space="preserve"/>
      </w:r>
    </w:p>
    <w:p>
      <w:pPr>
        <w:spacing w:after="60" w:before="160"/>
      </w:pPr>
      <w:r>
        <w:rPr>
          <w:rFonts w:ascii="Arial" w:cs="Arial" w:eastAsia="Arial" w:hAnsi="Arial"/>
          <w:b/>
          <w:bCs/>
          <w:color w:val="E67E22"/>
          <w:sz w:val="20"/>
          <w:szCs w:val="20"/>
        </w:rPr>
        <w:t xml:space="preserve">F-05  </w:t>
      </w:r>
      <w:r>
        <w:rPr>
          <w:rFonts w:ascii="Arial" w:cs="Arial" w:eastAsia="Arial" w:hAnsi="Arial"/>
          <w:b/>
          <w:bCs/>
          <w:color w:val="E67E22"/>
          <w:sz w:val="18"/>
          <w:szCs w:val="18"/>
        </w:rPr>
        <w:t xml:space="preserve">[HIGH]  </w:t>
      </w:r>
      <w:r>
        <w:rPr>
          <w:rFonts w:ascii="Arial" w:cs="Arial" w:eastAsia="Arial" w:hAnsi="Arial"/>
          <w:b/>
          <w:bCs/>
          <w:color w:val="1A2B50"/>
          <w:sz w:val="20"/>
          <w:szCs w:val="20"/>
        </w:rPr>
        <w:t xml:space="preserve">Axis Bank A/C 924020047581815 — Rs. 11.5L Received, Zero Outbound — Highest Unresolved Thread</w:t>
      </w:r>
    </w:p>
    <w:p>
      <w:pPr>
        <w:spacing w:after="40" w:before="40"/>
      </w:pPr>
      <w:r>
        <w:rPr>
          <w:rFonts w:ascii="Arial" w:cs="Arial" w:eastAsia="Arial" w:hAnsi="Arial"/>
          <w:color w:val="1C2833"/>
          <w:sz w:val="19"/>
          <w:szCs w:val="19"/>
        </w:rPr>
        <w:t xml:space="preserve">Account 924020047581815 (Axis Bank) received a single Rs. 11,50,000 transfer from the IndusInd mule hub and has zero recorded outbound transactions in this dataset. This is the single highest-value unresolved thread in the entire case.</w:t>
      </w:r>
    </w:p>
    <w:p>
      <w:pPr>
        <w:spacing w:after="40" w:before="40"/>
      </w:pPr>
      <w:r>
        <w:rPr>
          <w:rFonts w:ascii="Arial" w:cs="Arial" w:eastAsia="Arial" w:hAnsi="Arial"/>
          <w:color w:val="1C2833"/>
          <w:sz w:val="19"/>
          <w:szCs w:val="19"/>
        </w:rPr>
        <w:t xml:space="preserve">The absence of outbound movement does not mean the funds are still present — it means either (a) the funds remain in this account and are potentially freezable, or (b) cash was withdrawn through a channel not captured in the current NCRP annexure (e.g. branch withdrawal, RTGS to a non-traced account, or UPI payment outside the annexure window).</w:t>
      </w:r>
    </w:p>
    <w:p>
      <w:pPr>
        <w:spacing w:after="40" w:before="40"/>
      </w:pPr>
      <w:r>
        <w:rPr>
          <w:rFonts w:ascii="Arial" w:cs="Arial" w:eastAsia="Arial" w:hAnsi="Arial"/>
          <w:color w:val="1C2833"/>
          <w:sz w:val="19"/>
          <w:szCs w:val="19"/>
        </w:rPr>
        <w:t xml:space="preserve">Immediate freeze request and full statement demand from Axis Bank for this account are the single highest-priority actions for fund recovery in this case.</w:t>
      </w:r>
    </w:p>
    <w:p>
      <w:pPr>
        <w:spacing w:after="80" w:before="60"/>
      </w:pPr>
      <w:r>
        <w:rPr>
          <w:rFonts w:ascii="Arial" w:cs="Arial" w:eastAsia="Arial" w:hAnsi="Arial"/>
          <w:b/>
          <w:bCs/>
          <w:color w:val="1A2B50"/>
          <w:sz w:val="18"/>
          <w:szCs w:val="18"/>
        </w:rPr>
        <w:t xml:space="preserve">Legal: </w:t>
      </w:r>
      <w:r>
        <w:rPr>
          <w:rFonts w:ascii="Arial" w:cs="Arial" w:eastAsia="Arial" w:hAnsi="Arial"/>
          <w:b/>
          <w:bCs/>
          <w:color w:val="E67E22"/>
          <w:sz w:val="18"/>
          <w:szCs w:val="18"/>
        </w:rPr>
        <w:t xml:space="preserve">PMLA §3/4  |  BNS §316</w:t>
      </w:r>
    </w:p>
    <w:p>
      <w:pPr>
        <w:pBdr>
          <w:bottom w:val="single" w:color="D5D8DC" w:sz="4" w:space="2"/>
        </w:pBdr>
        <w:spacing w:after="80" w:before="80"/>
      </w:pPr>
      <w:r>
        <w:t xml:space="preserve"/>
      </w:r>
    </w:p>
    <w:p>
      <w:pPr>
        <w:spacing w:after="60" w:before="160"/>
      </w:pPr>
      <w:r>
        <w:rPr>
          <w:rFonts w:ascii="Arial" w:cs="Arial" w:eastAsia="Arial" w:hAnsi="Arial"/>
          <w:b/>
          <w:bCs/>
          <w:color w:val="E67E22"/>
          <w:sz w:val="20"/>
          <w:szCs w:val="20"/>
        </w:rPr>
        <w:t xml:space="preserve">F-06  </w:t>
      </w:r>
      <w:r>
        <w:rPr>
          <w:rFonts w:ascii="Arial" w:cs="Arial" w:eastAsia="Arial" w:hAnsi="Arial"/>
          <w:b/>
          <w:bCs/>
          <w:color w:val="E67E22"/>
          <w:sz w:val="18"/>
          <w:szCs w:val="18"/>
        </w:rPr>
        <w:t xml:space="preserve">[HIGH]  </w:t>
      </w:r>
      <w:r>
        <w:rPr>
          <w:rFonts w:ascii="Arial" w:cs="Arial" w:eastAsia="Arial" w:hAnsi="Arial"/>
          <w:b/>
          <w:bCs/>
          <w:color w:val="1A2B50"/>
          <w:sz w:val="20"/>
          <w:szCs w:val="20"/>
        </w:rPr>
        <w:t xml:space="preserve">Physical Cash-Out Trail Spans 4 States — Time-Sensitive CCTV &amp; Branch Leads</w:t>
      </w:r>
    </w:p>
    <w:p>
      <w:pPr>
        <w:spacing w:after="40" w:before="40"/>
      </w:pPr>
      <w:r>
        <w:rPr>
          <w:rFonts w:ascii="Arial" w:cs="Arial" w:eastAsia="Arial" w:hAnsi="Arial"/>
          <w:color w:val="1C2833"/>
          <w:sz w:val="19"/>
          <w:szCs w:val="19"/>
        </w:rPr>
        <w:t xml:space="preserve">Five cheque encashments totalling Rs. 20,50,800 occurred at named branches: PNB New Rohtak Road, New Delhi (Rs. 5,50,000  —  account holder: KISHOR); Federal Bank, Kollam, Kerala; a Punjab branch; and a Pali, Rajasthan branch. Each encashment has a named branch manager and contact number on record.</w:t>
      </w:r>
    </w:p>
    <w:p>
      <w:pPr>
        <w:spacing w:after="40" w:before="40"/>
      </w:pPr>
      <w:r>
        <w:rPr>
          <w:rFonts w:ascii="Arial" w:cs="Arial" w:eastAsia="Arial" w:hAnsi="Arial"/>
          <w:color w:val="1C2833"/>
          <w:sz w:val="19"/>
          <w:szCs w:val="19"/>
        </w:rPr>
        <w:t xml:space="preserve">20 ATM withdrawals totalling Rs. 1,79,000 occurred across 4 identified ATM locations in Hardoi, UP, attributable to the 6-wallet Jio Payments Bank cluster (see F-04).</w:t>
      </w:r>
    </w:p>
    <w:p>
      <w:pPr>
        <w:spacing w:after="40" w:before="40"/>
      </w:pPr>
      <w:r>
        <w:rPr>
          <w:rFonts w:ascii="Arial" w:cs="Arial" w:eastAsia="Arial" w:hAnsi="Arial"/>
          <w:color w:val="1C2833"/>
          <w:sz w:val="19"/>
          <w:szCs w:val="19"/>
        </w:rPr>
        <w:t xml:space="preserve">Unlike digital transaction records, physical branch and ATM visits are corroborable, time-stamped events. CCTV footage at each location must be requested before the standard 30–90 day retention period lapses.</w:t>
      </w:r>
    </w:p>
    <w:p>
      <w:pPr>
        <w:spacing w:after="40" w:before="40"/>
      </w:pPr>
      <w:r>
        <w:rPr>
          <w:rFonts w:ascii="Arial" w:cs="Arial" w:eastAsia="Arial" w:hAnsi="Arial"/>
          <w:color w:val="1C2833"/>
          <w:sz w:val="19"/>
          <w:szCs w:val="19"/>
        </w:rPr>
        <w:t xml:space="preserve">The PNB, New Rohtak Road, New Delhi account (holder: KISHOR, A/C 619006900008289) has dual significance — it both received Rs. 5,53,000 as a digital mule and is the account behind the physically encashed Rs. 5,50,000 cheque, making it a rare overlap of digital and physical evidence.</w:t>
      </w:r>
    </w:p>
    <w:p>
      <w:pPr>
        <w:spacing w:after="80" w:before="60"/>
      </w:pPr>
      <w:r>
        <w:rPr>
          <w:rFonts w:ascii="Arial" w:cs="Arial" w:eastAsia="Arial" w:hAnsi="Arial"/>
          <w:b/>
          <w:bCs/>
          <w:color w:val="1A2B50"/>
          <w:sz w:val="18"/>
          <w:szCs w:val="18"/>
        </w:rPr>
        <w:t xml:space="preserve">Legal: </w:t>
      </w:r>
      <w:r>
        <w:rPr>
          <w:rFonts w:ascii="Arial" w:cs="Arial" w:eastAsia="Arial" w:hAnsi="Arial"/>
          <w:b/>
          <w:bCs/>
          <w:color w:val="E67E22"/>
          <w:sz w:val="18"/>
          <w:szCs w:val="18"/>
        </w:rPr>
        <w:t xml:space="preserve">BNS §316  |  PMLA §3/4  |  IT Act §66D</w:t>
      </w:r>
    </w:p>
    <w:p>
      <w:pPr>
        <w:pBdr>
          <w:bottom w:val="single" w:color="D5D8DC" w:sz="4" w:space="2"/>
        </w:pBdr>
        <w:spacing w:after="80" w:before="80"/>
      </w:pPr>
      <w:r>
        <w:t xml:space="preserve"/>
      </w:r>
    </w:p>
    <w:p>
      <w:pPr>
        <w:spacing w:after="60" w:before="160"/>
      </w:pPr>
      <w:r>
        <w:rPr>
          <w:rFonts w:ascii="Arial" w:cs="Arial" w:eastAsia="Arial" w:hAnsi="Arial"/>
          <w:b/>
          <w:bCs/>
          <w:color w:val="E67E22"/>
          <w:sz w:val="20"/>
          <w:szCs w:val="20"/>
        </w:rPr>
        <w:t xml:space="preserve">F-07  </w:t>
      </w:r>
      <w:r>
        <w:rPr>
          <w:rFonts w:ascii="Arial" w:cs="Arial" w:eastAsia="Arial" w:hAnsi="Arial"/>
          <w:b/>
          <w:bCs/>
          <w:color w:val="E67E22"/>
          <w:sz w:val="18"/>
          <w:szCs w:val="18"/>
        </w:rPr>
        <w:t xml:space="preserve">[HIGH]  </w:t>
      </w:r>
      <w:r>
        <w:rPr>
          <w:rFonts w:ascii="Arial" w:cs="Arial" w:eastAsia="Arial" w:hAnsi="Arial"/>
          <w:b/>
          <w:bCs/>
          <w:color w:val="1A2B50"/>
          <w:sz w:val="20"/>
          <w:szCs w:val="20"/>
        </w:rPr>
        <w:t xml:space="preserve">Inflow/Outflow Imbalance at Both Mule Hubs — Possible Co-mingled or Unlinked Victim Funds</w:t>
      </w:r>
    </w:p>
    <w:p>
      <w:pPr>
        <w:spacing w:after="40" w:before="40"/>
      </w:pPr>
      <w:r>
        <w:rPr>
          <w:rFonts w:ascii="Arial" w:cs="Arial" w:eastAsia="Arial" w:hAnsi="Arial"/>
          <w:color w:val="1C2833"/>
          <w:sz w:val="19"/>
          <w:szCs w:val="19"/>
        </w:rPr>
        <w:t xml:space="preserve">Axis Bank A/C 925020057462361 (Nova Next Mart Pvt Ltd): received Rs. 22,18,206 from the victim but only Rs. 19,73,000 is traced onward across 7 outbound transactions — a shortfall of Rs. 2,45,206 unaccounted for in this dataset. Likely explanation: direct cash withdrawal at source, or balance sitting in an account not captured in the NCRP annexure.</w:t>
      </w:r>
    </w:p>
    <w:p>
      <w:pPr>
        <w:spacing w:after="40" w:before="40"/>
      </w:pPr>
      <w:r>
        <w:rPr>
          <w:rFonts w:ascii="Arial" w:cs="Arial" w:eastAsia="Arial" w:hAnsi="Arial"/>
          <w:color w:val="1C2833"/>
          <w:sz w:val="19"/>
          <w:szCs w:val="19"/>
        </w:rPr>
        <w:t xml:space="preserve">IndusInd Bank A/C 258295299526 (Rilex Enterprises): disperses Rs. 38,99,340 across 8 outbound transactions despite receiving only Rs. 34,00,000 from this victim — an excess of Rs. 4,99,340. This strongly implies either (a) this account received additional fraud proceeds from a second, currently unlinked victim complaint, or (b) it holds co-mingled legitimate business funds (the name "Rilex Enterprises" suggests an active business, not a blank-shell entity).</w:t>
      </w:r>
    </w:p>
    <w:p>
      <w:pPr>
        <w:spacing w:after="40" w:before="40"/>
      </w:pPr>
      <w:r>
        <w:rPr>
          <w:rFonts w:ascii="Arial" w:cs="Arial" w:eastAsia="Arial" w:hAnsi="Arial"/>
          <w:color w:val="1C2833"/>
          <w:sz w:val="19"/>
          <w:szCs w:val="19"/>
        </w:rPr>
        <w:t xml:space="preserve">These imbalances must be reconciled against the complete bank statements from both institutions before any of the figures in this report are cited as final in a chargesheet. Citing unreconciled figures could be challenged in court.</w:t>
      </w:r>
    </w:p>
    <w:p>
      <w:pPr>
        <w:spacing w:after="80" w:before="60"/>
      </w:pPr>
      <w:r>
        <w:rPr>
          <w:rFonts w:ascii="Arial" w:cs="Arial" w:eastAsia="Arial" w:hAnsi="Arial"/>
          <w:b/>
          <w:bCs/>
          <w:color w:val="1A2B50"/>
          <w:sz w:val="18"/>
          <w:szCs w:val="18"/>
        </w:rPr>
        <w:t xml:space="preserve">Legal: </w:t>
      </w:r>
      <w:r>
        <w:rPr>
          <w:rFonts w:ascii="Arial" w:cs="Arial" w:eastAsia="Arial" w:hAnsi="Arial"/>
          <w:b/>
          <w:bCs/>
          <w:color w:val="E67E22"/>
          <w:sz w:val="18"/>
          <w:szCs w:val="18"/>
        </w:rPr>
        <w:t xml:space="preserve">PMLA §3/4  |  BNS §316</w:t>
      </w:r>
    </w:p>
    <w:p>
      <w:pPr>
        <w:pBdr>
          <w:bottom w:val="single" w:color="D5D8DC" w:sz="4" w:space="2"/>
        </w:pBdr>
        <w:spacing w:after="80" w:before="80"/>
      </w:pPr>
      <w:r>
        <w:t xml:space="preserve"/>
      </w:r>
    </w:p>
    <w:p>
      <w:pPr>
        <w:spacing w:after="60" w:before="160"/>
      </w:pPr>
      <w:r>
        <w:rPr>
          <w:rFonts w:ascii="Arial" w:cs="Arial" w:eastAsia="Arial" w:hAnsi="Arial"/>
          <w:b/>
          <w:bCs/>
          <w:color w:val="2471A3"/>
          <w:sz w:val="20"/>
          <w:szCs w:val="20"/>
        </w:rPr>
        <w:t xml:space="preserve">F-08  </w:t>
      </w:r>
      <w:r>
        <w:rPr>
          <w:rFonts w:ascii="Arial" w:cs="Arial" w:eastAsia="Arial" w:hAnsi="Arial"/>
          <w:b/>
          <w:bCs/>
          <w:color w:val="2471A3"/>
          <w:sz w:val="18"/>
          <w:szCs w:val="18"/>
        </w:rPr>
        <w:t xml:space="preserve">[MEDIUM]  </w:t>
      </w:r>
      <w:r>
        <w:rPr>
          <w:rFonts w:ascii="Arial" w:cs="Arial" w:eastAsia="Arial" w:hAnsi="Arial"/>
          <w:b/>
          <w:bCs/>
          <w:color w:val="1A2B50"/>
          <w:sz w:val="20"/>
          <w:szCs w:val="20"/>
        </w:rPr>
        <w:t xml:space="preserve">Bank of Baroda Account Functions as Secondary Mixing Hub with Fan-in / Fan-out Pattern</w:t>
      </w:r>
    </w:p>
    <w:p>
      <w:pPr>
        <w:spacing w:after="40" w:before="40"/>
      </w:pPr>
      <w:r>
        <w:rPr>
          <w:rFonts w:ascii="Arial" w:cs="Arial" w:eastAsia="Arial" w:hAnsi="Arial"/>
          <w:color w:val="1C2833"/>
          <w:sz w:val="19"/>
          <w:szCs w:val="19"/>
        </w:rPr>
        <w:t xml:space="preserve">Account 50100754357846 (Bank of Baroda) receives 7 separate UPI credits (approximately Rs. 80,000 total) from a HDFC Bank Layer-3 routing leg and re-splits the funds to further UPI handles including "Ankit Upadhyay" and "Prakash Kumar."</w:t>
      </w:r>
    </w:p>
    <w:p>
      <w:pPr>
        <w:spacing w:after="40" w:before="40"/>
      </w:pPr>
      <w:r>
        <w:rPr>
          <w:rFonts w:ascii="Arial" w:cs="Arial" w:eastAsia="Arial" w:hAnsi="Arial"/>
          <w:color w:val="1C2833"/>
          <w:sz w:val="19"/>
          <w:szCs w:val="19"/>
        </w:rPr>
        <w:t xml:space="preserve">The outbound amount (Rs. 2,10,000) exceeds the inbound (Rs. 80,000) by Rs. 1,30,000 — the same imbalance pattern seen at the Layer-1 hubs, suggesting either an uncaptured upstream credit or batched UTR references worth a manual bank-side check.</w:t>
      </w:r>
    </w:p>
    <w:p>
      <w:pPr>
        <w:spacing w:after="40" w:before="40"/>
      </w:pPr>
      <w:r>
        <w:rPr>
          <w:rFonts w:ascii="Arial" w:cs="Arial" w:eastAsia="Arial" w:hAnsi="Arial"/>
          <w:color w:val="1C2833"/>
          <w:sz w:val="19"/>
          <w:szCs w:val="19"/>
        </w:rPr>
        <w:t xml:space="preserve">UPI handles "Ankit Upadhyay," "Krishna Mudgal," and "Prakash Kumar" surfacing at Layers 3–4 should be cross-referenced against other active FraudLens cases — recurring names in multiple fraud trails are a strong indicator of a shared mule-network operator.</w:t>
      </w:r>
    </w:p>
    <w:p>
      <w:pPr>
        <w:spacing w:after="80" w:before="60"/>
      </w:pPr>
      <w:r>
        <w:rPr>
          <w:rFonts w:ascii="Arial" w:cs="Arial" w:eastAsia="Arial" w:hAnsi="Arial"/>
          <w:b/>
          <w:bCs/>
          <w:color w:val="1A2B50"/>
          <w:sz w:val="18"/>
          <w:szCs w:val="18"/>
        </w:rPr>
        <w:t xml:space="preserve">Legal: </w:t>
      </w:r>
      <w:r>
        <w:rPr>
          <w:rFonts w:ascii="Arial" w:cs="Arial" w:eastAsia="Arial" w:hAnsi="Arial"/>
          <w:b/>
          <w:bCs/>
          <w:color w:val="2471A3"/>
          <w:sz w:val="18"/>
          <w:szCs w:val="18"/>
        </w:rPr>
        <w:t xml:space="preserve">PMLA §3/4  |  BNS §316</w:t>
      </w:r>
    </w:p>
    <w:p>
      <w:pPr>
        <w:pBdr>
          <w:bottom w:val="single" w:color="D5D8DC" w:sz="4" w:space="2"/>
        </w:pBdr>
        <w:spacing w:after="80" w:before="80"/>
      </w:pPr>
      <w:r>
        <w:t xml:space="preserve"/>
      </w:r>
    </w:p>
    <w:p>
      <w:pPr>
        <w:spacing w:after="60" w:before="160"/>
      </w:pPr>
      <w:r>
        <w:rPr>
          <w:rFonts w:ascii="Arial" w:cs="Arial" w:eastAsia="Arial" w:hAnsi="Arial"/>
          <w:b/>
          <w:bCs/>
          <w:color w:val="2471A3"/>
          <w:sz w:val="20"/>
          <w:szCs w:val="20"/>
        </w:rPr>
        <w:t xml:space="preserve">F-09  </w:t>
      </w:r>
      <w:r>
        <w:rPr>
          <w:rFonts w:ascii="Arial" w:cs="Arial" w:eastAsia="Arial" w:hAnsi="Arial"/>
          <w:b/>
          <w:bCs/>
          <w:color w:val="2471A3"/>
          <w:sz w:val="18"/>
          <w:szCs w:val="18"/>
        </w:rPr>
        <w:t xml:space="preserve">[MEDIUM]  </w:t>
      </w:r>
      <w:r>
        <w:rPr>
          <w:rFonts w:ascii="Arial" w:cs="Arial" w:eastAsia="Arial" w:hAnsi="Arial"/>
          <w:b/>
          <w:bCs/>
          <w:color w:val="1A2B50"/>
          <w:sz w:val="20"/>
          <w:szCs w:val="20"/>
        </w:rPr>
        <w:t xml:space="preserve">Central Bank of India A/C 5922170355 (Vanshika Gupta) — Highest Fan-out at Layer 2</w:t>
      </w:r>
    </w:p>
    <w:p>
      <w:pPr>
        <w:spacing w:after="40" w:before="40"/>
      </w:pPr>
      <w:r>
        <w:rPr>
          <w:rFonts w:ascii="Arial" w:cs="Arial" w:eastAsia="Arial" w:hAnsi="Arial"/>
          <w:color w:val="1C2833"/>
          <w:sz w:val="19"/>
          <w:szCs w:val="19"/>
        </w:rPr>
        <w:t xml:space="preserve">Account 5922170355 (Central Bank of India, holder: Vanshika Gupta) receives a relatively modest Rs. 1,00,000 inflow from the mule hubs but generates 10 further downstream transactions — the highest fan-out of any Layer-2 account in this case.</w:t>
      </w:r>
    </w:p>
    <w:p>
      <w:pPr>
        <w:spacing w:after="40" w:before="40"/>
      </w:pPr>
      <w:r>
        <w:rPr>
          <w:rFonts w:ascii="Arial" w:cs="Arial" w:eastAsia="Arial" w:hAnsi="Arial"/>
          <w:color w:val="1C2833"/>
          <w:sz w:val="19"/>
          <w:szCs w:val="19"/>
        </w:rPr>
        <w:t xml:space="preserve">Behaviour consistent with a deliberate splitting node rather than a personal holding account. The account holder name "Vanshika Gupta" should be checked for prior cybercrime involvement.</w:t>
      </w:r>
    </w:p>
    <w:p>
      <w:pPr>
        <w:spacing w:after="80" w:before="60"/>
      </w:pPr>
      <w:r>
        <w:rPr>
          <w:rFonts w:ascii="Arial" w:cs="Arial" w:eastAsia="Arial" w:hAnsi="Arial"/>
          <w:b/>
          <w:bCs/>
          <w:color w:val="1A2B50"/>
          <w:sz w:val="18"/>
          <w:szCs w:val="18"/>
        </w:rPr>
        <w:t xml:space="preserve">Legal: </w:t>
      </w:r>
      <w:r>
        <w:rPr>
          <w:rFonts w:ascii="Arial" w:cs="Arial" w:eastAsia="Arial" w:hAnsi="Arial"/>
          <w:b/>
          <w:bCs/>
          <w:color w:val="2471A3"/>
          <w:sz w:val="18"/>
          <w:szCs w:val="18"/>
        </w:rPr>
        <w:t xml:space="preserve">PMLA §3/4  |  BNS §316</w:t>
      </w:r>
    </w:p>
    <w:p>
      <w:pPr>
        <w:pBdr>
          <w:bottom w:val="single" w:color="D5D8DC" w:sz="4" w:space="2"/>
        </w:pBdr>
        <w:spacing w:after="80" w:before="80"/>
      </w:pPr>
      <w:r>
        <w:t xml:space="preserve"/>
      </w:r>
    </w:p>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7. LAYERING &amp; MONEY FLOW ANALYSIS</w:t>
      </w:r>
    </w:p>
    <w:p>
      <w:pPr>
        <w:pStyle w:val="Heading2"/>
        <w:spacing w:after="120" w:before="240"/>
      </w:pPr>
      <w:r>
        <w:rPr>
          <w:rFonts w:ascii="Arial" w:cs="Arial" w:eastAsia="Arial" w:hAnsi="Arial"/>
          <w:b/>
          <w:bCs/>
          <w:color w:val="1A2B50"/>
          <w:sz w:val="26"/>
          <w:szCs w:val="26"/>
        </w:rPr>
        <w:t xml:space="preserve">7.1 Layer-by-Layer Flow Summary</w:t>
      </w:r>
    </w:p>
    <w:p>
      <w:pPr>
        <w:spacing w:after="60" w:before="60"/>
        <w:jc w:val="left"/>
      </w:pPr>
      <w:r>
        <w:rPr>
          <w:rFonts w:ascii="Arial" w:cs="Arial" w:eastAsia="Arial" w:hAnsi="Arial"/>
          <w:b w:val="false"/>
          <w:bCs w:val="false"/>
          <w:i w:val="false"/>
          <w:iCs w:val="false"/>
          <w:color w:val="1C2833"/>
          <w:sz w:val="20"/>
          <w:szCs w:val="20"/>
        </w:rPr>
        <w:t xml:space="preserve">Money entering this network passes through 5 genuine transaction layers before the trail ends in the current dataset. The dispersal at Layer 2 — from 2 mule hub accounts to 15 distinct accounts at 12 banks — is the primary engineering step preventing simple account-by-account manual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Layer</w:t>
            </w:r>
          </w:p>
        </w:tc>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Accounts In</w:t>
            </w:r>
          </w:p>
        </w:tc>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Accounts Out</w:t>
            </w:r>
          </w:p>
        </w:tc>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Transactions</w:t>
            </w:r>
          </w:p>
        </w:tc>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Total Inflow</w:t>
            </w:r>
          </w:p>
        </w:tc>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Event</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7"/>
                <w:szCs w:val="17"/>
              </w:rPr>
              <w:t xml:space="preserve">L0 — Victim</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1</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2</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2</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56,18,206</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Two tranches to mule hubs</w:t>
            </w:r>
          </w:p>
        </w:tc>
      </w:tr>
      <w:tr>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7"/>
                <w:szCs w:val="17"/>
              </w:rPr>
              <w:t xml:space="preserve">L1 — Mule Hubs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2</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15</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15</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56,18,206</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Shell company accounts drain</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7"/>
                <w:szCs w:val="17"/>
              </w:rPr>
              <w:t xml:space="preserve">L2 — Fan-out</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15</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Multiple</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~25</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58,72,340*</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15 accts / 12 banks / Rs. 20.71L cash-out</w:t>
            </w:r>
          </w:p>
        </w:tc>
      </w:tr>
      <w:tr>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7"/>
                <w:szCs w:val="17"/>
              </w:rPr>
              <w:t xml:space="preserve">L3 — Mixing</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Multiple</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Multiple</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~10</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5,15,799</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BoB hub + Jio wallet cluster ATM drain</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7"/>
                <w:szCs w:val="17"/>
              </w:rPr>
              <w:t xml:space="preserve">L4</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Multiple</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Multiple</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~5</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2,20,599</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BoB terminal accounts</w:t>
            </w:r>
          </w:p>
        </w:tc>
      </w:tr>
      <w:tr>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7"/>
                <w:szCs w:val="17"/>
              </w:rPr>
              <w:t xml:space="preserve">L5 — Terminal</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Multiple</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~2</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23,570</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Trail ends</w:t>
            </w:r>
          </w:p>
        </w:tc>
      </w:tr>
    </w:tbl>
    <w:p>
      <w:pPr>
        <w:spacing w:after="80" w:before="40"/>
        <w:jc w:val="left"/>
      </w:pPr>
      <w:r>
        <w:rPr>
          <w:rFonts w:ascii="Arial" w:cs="Arial" w:eastAsia="Arial" w:hAnsi="Arial"/>
          <w:b w:val="false"/>
          <w:bCs w:val="false"/>
          <w:i w:val="false"/>
          <w:iCs w:val="false"/>
          <w:color w:val="7F8C8D"/>
          <w:sz w:val="17"/>
          <w:szCs w:val="17"/>
        </w:rPr>
        <w:t xml:space="preserve">* Layer-1 outflow exceeds victim inflow due to the Rs. 2,54,134 imbalance (split between both hubs — see F-07).</w:t>
      </w:r>
    </w:p>
    <w:p>
      <w:pPr>
        <w:pStyle w:val="Heading2"/>
        <w:spacing w:after="120" w:before="240"/>
      </w:pPr>
      <w:r>
        <w:rPr>
          <w:rFonts w:ascii="Arial" w:cs="Arial" w:eastAsia="Arial" w:hAnsi="Arial"/>
          <w:b/>
          <w:bCs/>
          <w:color w:val="1A2B50"/>
          <w:sz w:val="26"/>
          <w:szCs w:val="26"/>
        </w:rPr>
        <w:t xml:space="preserve">7.2 Payment Mode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Payment Mode</w:t>
            </w:r>
          </w:p>
        </w:tc>
        <w:tc>
          <w:tcPr>
            <w:tcW w:type="dxa" w:w="312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Estimated Volume</w:t>
            </w:r>
          </w:p>
        </w:tc>
        <w:tc>
          <w:tcPr>
            <w:tcW w:type="dxa" w:w="312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Notes</w:t>
            </w:r>
          </w:p>
        </w:tc>
      </w:tr>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NEFT</w:t>
            </w:r>
          </w:p>
        </w:tc>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56,18,206 (L0→L1)</w:t>
            </w:r>
          </w:p>
        </w:tc>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Both victim-to-mule transfers via NEFT</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UPI</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Dominant in L2–L5</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Fan-out and mixing layers primarily UPI</w:t>
            </w:r>
          </w:p>
        </w:tc>
      </w:tr>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Cheque</w:t>
            </w:r>
          </w:p>
        </w:tc>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20,51,800</w:t>
            </w:r>
          </w:p>
        </w:tc>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5 physical encashments — 4 states</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ATM Cash</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Rs. 1,79,000</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20 withdrawals — Hardoi cluster</w:t>
            </w:r>
          </w:p>
        </w:tc>
      </w:tr>
    </w:tbl>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8. CRITICAL ACCOUNTS RECOMMENDED FOR FREEZE ACTION</w:t>
      </w:r>
    </w:p>
    <w:p>
      <w:pPr>
        <w:spacing w:after="60" w:before="60"/>
        <w:jc w:val="left"/>
      </w:pPr>
      <w:r>
        <w:rPr>
          <w:rFonts w:ascii="Arial" w:cs="Arial" w:eastAsia="Arial" w:hAnsi="Arial"/>
          <w:b w:val="false"/>
          <w:bCs w:val="false"/>
          <w:i w:val="false"/>
          <w:iCs w:val="false"/>
          <w:color w:val="1C2833"/>
          <w:sz w:val="20"/>
          <w:szCs w:val="20"/>
        </w:rPr>
        <w:t xml:space="preserve">The following accounts are ranked by composite FraudLens score combining: inflow size, fan-in degree, fan-out degree, rapid-drain velocity, layering position, and physical cash-out presence. Accounts are grouped by investigative priority tier.</w:t>
      </w:r>
    </w:p>
    <w:p>
      <w:pPr>
        <w:pStyle w:val="Heading2"/>
        <w:spacing w:after="120" w:before="240"/>
      </w:pPr>
      <w:r>
        <w:rPr>
          <w:rFonts w:ascii="Arial" w:cs="Arial" w:eastAsia="Arial" w:hAnsi="Arial"/>
          <w:b/>
          <w:bCs/>
          <w:color w:val="1A2B50"/>
          <w:sz w:val="26"/>
          <w:szCs w:val="26"/>
        </w:rPr>
        <w:t xml:space="preserve">8.1 TIER 1 — Immediate Freeze &amp; Full Statement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560"/>
        <w:gridCol w:w="1500"/>
        <w:gridCol w:w="2100"/>
        <w:gridCol w:w="900"/>
      </w:tblGrid>
      <w:tr>
        <w:tc>
          <w:tcPr>
            <w:tcW w:type="dxa" w:w="6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t>
            </w:r>
          </w:p>
        </w:tc>
        <w:tc>
          <w:tcPr>
            <w:tcW w:type="dxa" w:w="27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Account No.</w:t>
            </w:r>
          </w:p>
        </w:tc>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Bank</w:t>
            </w:r>
          </w:p>
        </w:tc>
        <w:tc>
          <w:tcPr>
            <w:tcW w:type="dxa" w:w="15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Layer</w:t>
            </w:r>
          </w:p>
        </w:tc>
        <w:tc>
          <w:tcPr>
            <w:tcW w:type="dxa" w:w="21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Flag</w:t>
            </w:r>
          </w:p>
        </w:tc>
        <w:tc>
          <w:tcPr>
            <w:tcW w:type="dxa" w:w="9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Inflow</w:t>
            </w:r>
          </w:p>
        </w:tc>
      </w:tr>
      <w:tr>
        <w:tc>
          <w:tcPr>
            <w:tcW w:type="dxa" w:w="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1</w:t>
            </w:r>
          </w:p>
        </w:tc>
        <w:tc>
          <w:tcPr>
            <w:tcW w:type="dxa" w:w="27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925020057462361</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Axis Bank
(IFSC: UTIB0000026)</w:t>
            </w:r>
          </w:p>
        </w:tc>
        <w:tc>
          <w:tcPr>
            <w:tcW w:type="dxa" w:w="15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L1 — Mule Hub</w:t>
            </w:r>
          </w:p>
        </w:tc>
        <w:tc>
          <w:tcPr>
            <w:tcW w:type="dxa" w:w="21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392B"/>
                <w:sz w:val="16"/>
                <w:szCs w:val="16"/>
              </w:rPr>
              <w:t xml:space="preserve">Named in FIR · Nova Next Mart Pvt Ltd · Rs. 2.45L gap</w:t>
            </w:r>
          </w:p>
        </w:tc>
        <w:tc>
          <w:tcPr>
            <w:tcW w:type="dxa" w:w="9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7"/>
                <w:szCs w:val="17"/>
              </w:rPr>
              <w:t xml:space="preserve">Rs. 22.18L</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2</w:t>
            </w:r>
          </w:p>
        </w:tc>
        <w:tc>
          <w:tcPr>
            <w:tcW w:type="dxa" w:w="2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258295299526</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IndusInd Bank
(IFSC: INDB0001915)</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L1 — Mule Hub</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392B"/>
                <w:sz w:val="16"/>
                <w:szCs w:val="16"/>
              </w:rPr>
              <w:t xml:space="preserve">Named in FIR · Rilex Enterprises · Rs. 4.99L excess (possible 2nd victim)</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7"/>
                <w:szCs w:val="17"/>
              </w:rPr>
              <w:t xml:space="preserve">Rs. 34.00L</w:t>
            </w:r>
          </w:p>
        </w:tc>
      </w:tr>
      <w:tr>
        <w:tc>
          <w:tcPr>
            <w:tcW w:type="dxa" w:w="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3</w:t>
            </w:r>
          </w:p>
        </w:tc>
        <w:tc>
          <w:tcPr>
            <w:tcW w:type="dxa" w:w="27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924020047581815</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Axis Bank</w:t>
            </w:r>
          </w:p>
        </w:tc>
        <w:tc>
          <w:tcPr>
            <w:tcW w:type="dxa" w:w="15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L2 — Fan-out</w:t>
            </w:r>
          </w:p>
        </w:tc>
        <w:tc>
          <w:tcPr>
            <w:tcW w:type="dxa" w:w="21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392B"/>
                <w:sz w:val="16"/>
                <w:szCs w:val="16"/>
              </w:rPr>
              <w:t xml:space="preserve">Rs. 11.5L received · ZERO outbound — highest unresolved thread</w:t>
            </w:r>
          </w:p>
        </w:tc>
        <w:tc>
          <w:tcPr>
            <w:tcW w:type="dxa" w:w="9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7"/>
                <w:szCs w:val="17"/>
              </w:rPr>
              <w:t xml:space="preserve">Rs. 11.50L</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4</w:t>
            </w:r>
          </w:p>
        </w:tc>
        <w:tc>
          <w:tcPr>
            <w:tcW w:type="dxa" w:w="2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619006900008289</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PNB
(New Rohtak Rd, Delhi)</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L2 — Fan-out</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392B"/>
                <w:sz w:val="16"/>
                <w:szCs w:val="16"/>
              </w:rPr>
              <w:t xml:space="preserve">Holder: KISHOR · Rs. 5.53L digital + Rs. 5.50L cheque encashed (dual lead)</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7"/>
                <w:szCs w:val="17"/>
              </w:rPr>
              <w:t xml:space="preserve">Rs. 5.53L</w:t>
            </w:r>
          </w:p>
        </w:tc>
      </w:tr>
    </w:tbl>
    <w:p>
      <w:pPr>
        <w:spacing w:after="0" w:before="80"/>
      </w:pPr>
      <w:r>
        <w:t xml:space="preserve"/>
      </w:r>
    </w:p>
    <w:p>
      <w:pPr>
        <w:pStyle w:val="Heading2"/>
        <w:spacing w:after="120" w:before="240"/>
      </w:pPr>
      <w:r>
        <w:rPr>
          <w:rFonts w:ascii="Arial" w:cs="Arial" w:eastAsia="Arial" w:hAnsi="Arial"/>
          <w:b/>
          <w:bCs/>
          <w:color w:val="1A2B50"/>
          <w:sz w:val="26"/>
          <w:szCs w:val="26"/>
        </w:rPr>
        <w:t xml:space="preserve">8.2 TIER 2 — Priority Freeze on Residual Balances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560"/>
        <w:gridCol w:w="1500"/>
        <w:gridCol w:w="2100"/>
        <w:gridCol w:w="900"/>
      </w:tblGrid>
      <w:tr>
        <w:tc>
          <w:tcPr>
            <w:tcW w:type="dxa" w:w="6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t>
            </w:r>
          </w:p>
        </w:tc>
        <w:tc>
          <w:tcPr>
            <w:tcW w:type="dxa" w:w="27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Account No.</w:t>
            </w:r>
          </w:p>
        </w:tc>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Bank</w:t>
            </w:r>
          </w:p>
        </w:tc>
        <w:tc>
          <w:tcPr>
            <w:tcW w:type="dxa" w:w="15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Layer</w:t>
            </w:r>
          </w:p>
        </w:tc>
        <w:tc>
          <w:tcPr>
            <w:tcW w:type="dxa" w:w="21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Flag</w:t>
            </w:r>
          </w:p>
        </w:tc>
        <w:tc>
          <w:tcPr>
            <w:tcW w:type="dxa" w:w="9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Inflow</w:t>
            </w:r>
          </w:p>
        </w:tc>
      </w:tr>
      <w:tr>
        <w:tc>
          <w:tcPr>
            <w:tcW w:type="dxa" w:w="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5</w:t>
            </w:r>
          </w:p>
        </w:tc>
        <w:tc>
          <w:tcPr>
            <w:tcW w:type="dxa" w:w="27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5922170355</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Central Bank of India</w:t>
            </w:r>
          </w:p>
        </w:tc>
        <w:tc>
          <w:tcPr>
            <w:tcW w:type="dxa" w:w="15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L2 — Fan-out</w:t>
            </w:r>
          </w:p>
        </w:tc>
        <w:tc>
          <w:tcPr>
            <w:tcW w:type="dxa" w:w="21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Holder: Vanshika Gupta · Highest fan-out (10 downstream txns)</w:t>
            </w:r>
          </w:p>
        </w:tc>
        <w:tc>
          <w:tcPr>
            <w:tcW w:type="dxa" w:w="9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1.00L</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6</w:t>
            </w:r>
          </w:p>
        </w:tc>
        <w:tc>
          <w:tcPr>
            <w:tcW w:type="dxa" w:w="2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50100754357846</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HDFC Bank</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L3 — Mixing</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Fan-in/fan-out hub · Rs. 1.3L imbalance · "Ankit Upadhyay" link</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0.80L</w:t>
            </w:r>
          </w:p>
        </w:tc>
      </w:tr>
      <w:tr>
        <w:tc>
          <w:tcPr>
            <w:tcW w:type="dxa" w:w="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7</w:t>
            </w:r>
          </w:p>
        </w:tc>
        <w:tc>
          <w:tcPr>
            <w:tcW w:type="dxa" w:w="27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Jio Cluster x6
(3321721xxxxxx)</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Jio Payments Bank</w:t>
            </w:r>
          </w:p>
        </w:tc>
        <w:tc>
          <w:tcPr>
            <w:tcW w:type="dxa" w:w="15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L3 — Mixing</w:t>
            </w:r>
          </w:p>
        </w:tc>
        <w:tc>
          <w:tcPr>
            <w:tcW w:type="dxa" w:w="21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6-wallet mule farm · 18 ATM withdrawals · Hardoi, UP</w:t>
            </w:r>
          </w:p>
        </w:tc>
        <w:tc>
          <w:tcPr>
            <w:tcW w:type="dxa" w:w="9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1.80L</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8</w:t>
            </w:r>
          </w:p>
        </w:tc>
        <w:tc>
          <w:tcPr>
            <w:tcW w:type="dxa" w:w="2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40790100009572</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Bank of Baroda</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L4 — Terminal</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Final traceable hop before cash-out</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0.60L</w:t>
            </w:r>
          </w:p>
        </w:tc>
      </w:tr>
      <w:tr>
        <w:tc>
          <w:tcPr>
            <w:tcW w:type="dxa" w:w="6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9</w:t>
            </w:r>
          </w:p>
        </w:tc>
        <w:tc>
          <w:tcPr>
            <w:tcW w:type="dxa" w:w="27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40790100010458</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Bank of Baroda</w:t>
            </w:r>
          </w:p>
        </w:tc>
        <w:tc>
          <w:tcPr>
            <w:tcW w:type="dxa" w:w="15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L4 — Terminal</w:t>
            </w:r>
          </w:p>
        </w:tc>
        <w:tc>
          <w:tcPr>
            <w:tcW w:type="dxa" w:w="21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Final traceable hop before cash-out</w:t>
            </w:r>
          </w:p>
        </w:tc>
        <w:tc>
          <w:tcPr>
            <w:tcW w:type="dxa" w:w="9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1.50L</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7"/>
                <w:szCs w:val="17"/>
              </w:rPr>
              <w:t xml:space="preserve">10</w:t>
            </w:r>
          </w:p>
        </w:tc>
        <w:tc>
          <w:tcPr>
            <w:tcW w:type="dxa" w:w="2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42805607054</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SBI</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L5 — Terminal</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6"/>
                <w:szCs w:val="16"/>
              </w:rPr>
              <w:t xml:space="preserve">Trail ends here — request full statement to extend chain</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Rs. 0.24L</w:t>
            </w:r>
          </w:p>
        </w:tc>
      </w:tr>
    </w:tbl>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9. CASH-OUT TRAIL SUMMARY</w:t>
      </w:r>
    </w:p>
    <w:p>
      <w:pPr>
        <w:spacing w:after="60" w:before="60"/>
        <w:jc w:val="left"/>
      </w:pPr>
      <w:r>
        <w:rPr>
          <w:rFonts w:ascii="Arial" w:cs="Arial" w:eastAsia="Arial" w:hAnsi="Arial"/>
          <w:b w:val="false"/>
          <w:bCs w:val="false"/>
          <w:i w:val="false"/>
          <w:iCs w:val="false"/>
          <w:color w:val="1C2833"/>
          <w:sz w:val="20"/>
          <w:szCs w:val="20"/>
        </w:rPr>
        <w:t xml:space="preserve">A combined Rs. 22,49,800 in physical withdrawals was identified across cheque encashments and ATM events. These are the most actionable physical investigation leads: every row below is a physical act tied to a timestamp and location.</w:t>
      </w:r>
    </w:p>
    <w:p>
      <w:pPr>
        <w:pStyle w:val="Heading2"/>
        <w:spacing w:after="120" w:before="240"/>
      </w:pPr>
      <w:r>
        <w:rPr>
          <w:rFonts w:ascii="Arial" w:cs="Arial" w:eastAsia="Arial" w:hAnsi="Arial"/>
          <w:b/>
          <w:bCs/>
          <w:color w:val="1A2B50"/>
          <w:sz w:val="26"/>
          <w:szCs w:val="26"/>
        </w:rPr>
        <w:t xml:space="preserve">9.1 Cheque Encashments — Branch-Level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1800"/>
        <w:gridCol w:w="1200"/>
      </w:tblGrid>
      <w:tr>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Bank</w:t>
            </w:r>
          </w:p>
        </w:tc>
        <w:tc>
          <w:tcPr>
            <w:tcW w:type="dxa" w:w="24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Account / Holder</w:t>
            </w:r>
          </w:p>
        </w:tc>
        <w:tc>
          <w:tcPr>
            <w:tcW w:type="dxa" w:w="24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Branch Location</w:t>
            </w:r>
          </w:p>
        </w:tc>
        <w:tc>
          <w:tcPr>
            <w:tcW w:type="dxa" w:w="18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Amount</w:t>
            </w:r>
          </w:p>
        </w:tc>
        <w:tc>
          <w:tcPr>
            <w:tcW w:type="dxa" w:w="12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State</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PNB</w:t>
            </w:r>
          </w:p>
        </w:tc>
        <w:tc>
          <w:tcPr>
            <w:tcW w:type="dxa" w:w="24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A/C 619006900008289
Holder: KISHOR</w:t>
            </w:r>
          </w:p>
        </w:tc>
        <w:tc>
          <w:tcPr>
            <w:tcW w:type="dxa" w:w="24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New Rohtak Road, New Delhi</w:t>
            </w:r>
          </w:p>
        </w:tc>
        <w:tc>
          <w:tcPr>
            <w:tcW w:type="dxa" w:w="1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18"/>
                <w:szCs w:val="18"/>
              </w:rPr>
              <w:t xml:space="preserve">Rs. 5,50,000</w:t>
            </w:r>
          </w:p>
        </w:tc>
        <w:tc>
          <w:tcPr>
            <w:tcW w:type="dxa" w:w="12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Delhi</w:t>
            </w:r>
          </w:p>
        </w:tc>
      </w:tr>
      <w:tr>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Federal Bank</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Holder on record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Kollam, Kerala</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18"/>
                <w:szCs w:val="18"/>
              </w:rPr>
              <w:t xml:space="preserve">Rs. ~5,00,000+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Kerala</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Punjab Bank</w:t>
            </w:r>
          </w:p>
        </w:tc>
        <w:tc>
          <w:tcPr>
            <w:tcW w:type="dxa" w:w="24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Holder on record</w:t>
            </w:r>
          </w:p>
        </w:tc>
        <w:tc>
          <w:tcPr>
            <w:tcW w:type="dxa" w:w="24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Jalandhar, Punjab</w:t>
            </w:r>
          </w:p>
        </w:tc>
        <w:tc>
          <w:tcPr>
            <w:tcW w:type="dxa" w:w="1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18"/>
                <w:szCs w:val="18"/>
              </w:rPr>
              <w:t xml:space="preserve">Rs. ~4,50,000+</w:t>
            </w:r>
          </w:p>
        </w:tc>
        <w:tc>
          <w:tcPr>
            <w:tcW w:type="dxa" w:w="12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Punjab</w:t>
            </w:r>
          </w:p>
        </w:tc>
      </w:tr>
      <w:tr>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Rajasthan Branch</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Holder on record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Pali, Rajasthan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18"/>
                <w:szCs w:val="18"/>
              </w:rPr>
              <w:t xml:space="preserve">Rs. ~5,51,800+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Rajasthan</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IDFC First</w:t>
            </w:r>
          </w:p>
        </w:tc>
        <w:tc>
          <w:tcPr>
            <w:tcW w:type="dxa" w:w="24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C2833"/>
                <w:sz w:val="17"/>
                <w:szCs w:val="17"/>
              </w:rPr>
              <w:t xml:space="preserve">Holder on record</w:t>
            </w:r>
          </w:p>
        </w:tc>
        <w:tc>
          <w:tcPr>
            <w:tcW w:type="dxa" w:w="24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Jalandhar area</w:t>
            </w:r>
          </w:p>
        </w:tc>
        <w:tc>
          <w:tcPr>
            <w:tcW w:type="dxa" w:w="1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C0392B"/>
                <w:sz w:val="18"/>
                <w:szCs w:val="18"/>
              </w:rPr>
              <w:t xml:space="preserve">Residual</w:t>
            </w:r>
          </w:p>
        </w:tc>
        <w:tc>
          <w:tcPr>
            <w:tcW w:type="dxa" w:w="12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Punjab</w:t>
            </w:r>
          </w:p>
        </w:tc>
      </w:tr>
    </w:tbl>
    <w:p>
      <w:pPr>
        <w:spacing w:after="0" w:before="80"/>
      </w:pPr>
      <w:r>
        <w:t xml:space="preserve"/>
      </w:r>
    </w:p>
    <w:p>
      <w:pPr>
        <w:pStyle w:val="Heading2"/>
        <w:spacing w:after="120" w:before="240"/>
      </w:pPr>
      <w:r>
        <w:rPr>
          <w:rFonts w:ascii="Arial" w:cs="Arial" w:eastAsia="Arial" w:hAnsi="Arial"/>
          <w:b/>
          <w:bCs/>
          <w:color w:val="1A2B50"/>
          <w:sz w:val="26"/>
          <w:szCs w:val="26"/>
        </w:rPr>
        <w:t xml:space="preserve">9.2 ATM Withdrawals — Hardoi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1560"/>
        <w:gridCol w:w="780"/>
      </w:tblGrid>
      <w:tr>
        <w:tc>
          <w:tcPr>
            <w:tcW w:type="dxa" w:w="312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ATM Location</w:t>
            </w:r>
          </w:p>
        </w:tc>
        <w:tc>
          <w:tcPr>
            <w:tcW w:type="dxa" w:w="234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Wallet Accounts</w:t>
            </w:r>
          </w:p>
        </w:tc>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Total Withdrawn</w:t>
            </w:r>
          </w:p>
        </w:tc>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 of Withdrawals</w:t>
            </w:r>
          </w:p>
        </w:tc>
        <w:tc>
          <w:tcPr>
            <w:tcW w:type="dxa" w:w="78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State</w:t>
            </w:r>
          </w:p>
        </w:tc>
      </w:tr>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Pihani Branch ATM</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Jio Wallet cluster x6</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~45,000</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~4–5</w:t>
            </w:r>
          </w:p>
        </w:tc>
        <w:tc>
          <w:tcPr>
            <w:tcW w:type="dxa" w:w="7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UP</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SBI Cinema Chauraha, Hardoi</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Jio Wallet cluster x6</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~45,000</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~4–5</w:t>
            </w:r>
          </w:p>
        </w:tc>
        <w:tc>
          <w:tcPr>
            <w:tcW w:type="dxa" w:w="7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UP</w:t>
            </w:r>
          </w:p>
        </w:tc>
      </w:tr>
      <w:tr>
        <w:tc>
          <w:tcPr>
            <w:tcW w:type="dxa" w:w="312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Hardoi Main Branch ATM</w:t>
            </w:r>
          </w:p>
        </w:tc>
        <w:tc>
          <w:tcPr>
            <w:tcW w:type="dxa" w:w="234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Jio Wallet cluster x6</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~45,000</w:t>
            </w:r>
          </w:p>
        </w:tc>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~4–5</w:t>
            </w:r>
          </w:p>
        </w:tc>
        <w:tc>
          <w:tcPr>
            <w:tcW w:type="dxa" w:w="7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UP</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ADB Hardoi ATM</w:t>
            </w:r>
          </w:p>
        </w:tc>
        <w:tc>
          <w:tcPr>
            <w:tcW w:type="dxa" w:w="23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7"/>
                <w:szCs w:val="17"/>
              </w:rPr>
              <w:t xml:space="preserve">Jio Wallet cluster x6</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C2833"/>
                <w:sz w:val="18"/>
                <w:szCs w:val="18"/>
              </w:rPr>
              <w:t xml:space="preserve">Rs. ~45,000</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C2833"/>
                <w:sz w:val="18"/>
                <w:szCs w:val="18"/>
              </w:rPr>
              <w:t xml:space="preserve">~4–5</w:t>
            </w:r>
          </w:p>
        </w:tc>
        <w:tc>
          <w:tcPr>
            <w:tcW w:type="dxa" w:w="7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8"/>
                <w:szCs w:val="18"/>
              </w:rPr>
              <w:t xml:space="preserve">UP</w:t>
            </w:r>
          </w:p>
        </w:tc>
      </w:tr>
    </w:tbl>
    <w:p>
      <w:pPr>
        <w:spacing w:after="0" w:before="60"/>
      </w:pPr>
      <w:r>
        <w:t xml:space="preserve"/>
      </w:r>
    </w:p>
    <w:p>
      <w:pPr>
        <w:pStyle w:val="Heading2"/>
        <w:spacing w:after="120" w:before="240"/>
      </w:pPr>
      <w:r>
        <w:rPr>
          <w:rFonts w:ascii="Arial" w:cs="Arial" w:eastAsia="Arial" w:hAnsi="Arial"/>
          <w:b/>
          <w:bCs/>
          <w:color w:val="1A2B50"/>
          <w:sz w:val="26"/>
          <w:szCs w:val="26"/>
        </w:rPr>
        <w:t xml:space="preserve">9.3 Physical Investigation Priority</w:t>
      </w:r>
    </w:p>
    <w:p>
      <w:pPr>
        <w:pStyle w:val="ListParagraph"/>
        <w:numPr>
          <w:ilvl w:val="0"/>
          <w:numId w:val="2"/>
        </w:numPr>
        <w:spacing w:after="40" w:before="40"/>
      </w:pPr>
      <w:r>
        <w:rPr>
          <w:rFonts w:ascii="Arial" w:cs="Arial" w:eastAsia="Arial" w:hAnsi="Arial"/>
          <w:b w:val="false"/>
          <w:bCs w:val="false"/>
          <w:color w:val="1C2833"/>
          <w:sz w:val="20"/>
          <w:szCs w:val="20"/>
        </w:rPr>
        <w:t xml:space="preserve">CCTV pull at all four Hardoi ATM locations — 18 distinct withdrawal events across 6 wallets, with the same operator likely at each machine. This is the fastest path from account number to a human face.</w:t>
      </w:r>
    </w:p>
    <w:p>
      <w:pPr>
        <w:pStyle w:val="ListParagraph"/>
        <w:numPr>
          <w:ilvl w:val="0"/>
          <w:numId w:val="2"/>
        </w:numPr>
        <w:spacing w:after="40" w:before="40"/>
      </w:pPr>
      <w:r>
        <w:rPr>
          <w:rFonts w:ascii="Arial" w:cs="Arial" w:eastAsia="Arial" w:hAnsi="Arial"/>
          <w:b w:val="false"/>
          <w:bCs w:val="false"/>
          <w:color w:val="1C2833"/>
          <w:sz w:val="20"/>
          <w:szCs w:val="20"/>
        </w:rPr>
        <w:t xml:space="preserve">Branch cheque encashments — each branch has a named manager and contact number on record. Request CCTV for the encashment date/time window before 30–90 day retention lapses. PNB New Rohtak Road is highest priority (dual digital + physical lead).</w:t>
      </w:r>
    </w:p>
    <w:p>
      <w:pPr>
        <w:pStyle w:val="ListParagraph"/>
        <w:numPr>
          <w:ilvl w:val="0"/>
          <w:numId w:val="2"/>
        </w:numPr>
        <w:spacing w:after="40" w:before="40"/>
      </w:pPr>
      <w:r>
        <w:rPr>
          <w:rFonts w:ascii="Arial" w:cs="Arial" w:eastAsia="Arial" w:hAnsi="Arial"/>
          <w:b w:val="false"/>
          <w:bCs w:val="false"/>
          <w:color w:val="1C2833"/>
          <w:sz w:val="20"/>
          <w:szCs w:val="20"/>
        </w:rPr>
        <w:t xml:space="preserve">Jio Payments Bank — request subscriber KYC for all 6 wallet account SIMs. Likely to resolve to a single purchaser or registration event.</w:t>
      </w:r>
    </w:p>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10. APPLICABLE LEGAL PROVISIONS</w:t>
      </w:r>
    </w:p>
    <w:p>
      <w:pPr>
        <w:spacing w:after="60" w:before="60"/>
        <w:jc w:val="left"/>
      </w:pPr>
      <w:r>
        <w:rPr>
          <w:rFonts w:ascii="Arial" w:cs="Arial" w:eastAsia="Arial" w:hAnsi="Arial"/>
          <w:b w:val="false"/>
          <w:bCs w:val="false"/>
          <w:i w:val="false"/>
          <w:iCs w:val="false"/>
          <w:color w:val="1C2833"/>
          <w:sz w:val="20"/>
          <w:szCs w:val="20"/>
        </w:rPr>
        <w:t xml:space="preserve">The following statutory provisions are relevant based on the patterns identified in this report. This is not a legal opinion; final charge selection rests with the Investigating Officer and prosecuting authority in light of the complete case file.</w:t>
      </w:r>
    </w:p>
    <w:p>
      <w:pPr>
        <w:pStyle w:val="Heading2"/>
        <w:spacing w:after="120" w:before="240"/>
      </w:pPr>
      <w:r>
        <w:rPr>
          <w:rFonts w:ascii="Arial" w:cs="Arial" w:eastAsia="Arial" w:hAnsi="Arial"/>
          <w:b/>
          <w:bCs/>
          <w:color w:val="1A2B50"/>
          <w:sz w:val="26"/>
          <w:szCs w:val="26"/>
        </w:rPr>
        <w:t xml:space="preserve">10.1 Bharatiya Nyaya Sanhita (BNS),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Section</w:t>
            </w:r>
          </w:p>
        </w:tc>
        <w:tc>
          <w:tcPr>
            <w:tcW w:type="dxa" w:w="78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Application to This Case</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8"/>
                <w:szCs w:val="18"/>
              </w:rPr>
              <w:t xml:space="preserve">§ 318</w:t>
            </w:r>
          </w:p>
        </w:tc>
        <w:tc>
          <w:tcPr>
            <w:tcW w:type="dxa" w:w="7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Cheating — the original inducement of the victim to transfer Rs. 56,18,206 under fabricated money-laundering allegations is the predicate offence underlying the entire chain.</w:t>
            </w:r>
          </w:p>
        </w:tc>
      </w:tr>
      <w:tr>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8"/>
                <w:szCs w:val="18"/>
              </w:rPr>
              <w:t xml:space="preserve">§ 319</w:t>
            </w:r>
          </w:p>
        </w:tc>
        <w:tc>
          <w:tcPr>
            <w:tcW w:type="dxa" w:w="7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Cheating by Personation — the caller impersonated a Mumbai Cyber Police officer, deployed a uniform in video, and fabricated official identity to extract transfers.</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8"/>
                <w:szCs w:val="18"/>
              </w:rPr>
              <w:t xml:space="preserve">§ 351</w:t>
            </w:r>
          </w:p>
        </w:tc>
        <w:tc>
          <w:tcPr>
            <w:tcW w:type="dxa" w:w="7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Criminal Intimidation — explicit threat of immediate arrest, forced house-arrest conditions, and prohibition on contacting family constitute sustained criminal intimidation.</w:t>
            </w:r>
          </w:p>
        </w:tc>
      </w:tr>
      <w:tr>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8"/>
                <w:szCs w:val="18"/>
              </w:rPr>
              <w:t xml:space="preserve">§ 316</w:t>
            </w:r>
          </w:p>
        </w:tc>
        <w:tc>
          <w:tcPr>
            <w:tcW w:type="dxa" w:w="7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Criminal Breach of Trust — mule account holders at all layers who knowingly allowed their accounts to be used for layering in exchange for a commission.</w:t>
            </w:r>
          </w:p>
        </w:tc>
      </w:tr>
    </w:tbl>
    <w:p>
      <w:pPr>
        <w:spacing w:after="0" w:before="60"/>
      </w:pPr>
      <w:r>
        <w:t xml:space="preserve"/>
      </w:r>
    </w:p>
    <w:p>
      <w:pPr>
        <w:pStyle w:val="Heading2"/>
        <w:spacing w:after="120" w:before="240"/>
      </w:pPr>
      <w:r>
        <w:rPr>
          <w:rFonts w:ascii="Arial" w:cs="Arial" w:eastAsia="Arial" w:hAnsi="Arial"/>
          <w:b/>
          <w:bCs/>
          <w:color w:val="1A2B50"/>
          <w:sz w:val="26"/>
          <w:szCs w:val="26"/>
        </w:rPr>
        <w:t xml:space="preserve">10.2 Information Technology Act,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Section</w:t>
            </w:r>
          </w:p>
        </w:tc>
        <w:tc>
          <w:tcPr>
            <w:tcW w:type="dxa" w:w="78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Application to This Case</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8"/>
                <w:szCs w:val="18"/>
              </w:rPr>
              <w:t xml:space="preserve">§ 66C</w:t>
            </w:r>
          </w:p>
        </w:tc>
        <w:tc>
          <w:tcPr>
            <w:tcW w:type="dxa" w:w="7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Identity Theft — fabricated Aadhaar card and Canara Bank debit card displayed to falsely impersonate a victim's official identity.</w:t>
            </w:r>
          </w:p>
        </w:tc>
      </w:tr>
      <w:tr>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8"/>
                <w:szCs w:val="18"/>
              </w:rPr>
              <w:t xml:space="preserve">§ 66D</w:t>
            </w:r>
          </w:p>
        </w:tc>
        <w:tc>
          <w:tcPr>
            <w:tcW w:type="dxa" w:w="7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Cheating by Personation Using a Computer Resource — the WhatsApp video call used to impersonate a police officer constitutes cheating via a computer/communication resource.</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8"/>
                <w:szCs w:val="18"/>
              </w:rPr>
              <w:t xml:space="preserve">§ 43</w:t>
            </w:r>
          </w:p>
        </w:tc>
        <w:tc>
          <w:tcPr>
            <w:tcW w:type="dxa" w:w="7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Unauthorised Access — to be assessed if any account credentials were compromised rather than the account holder knowingly participating.</w:t>
            </w:r>
          </w:p>
        </w:tc>
      </w:tr>
    </w:tbl>
    <w:p>
      <w:pPr>
        <w:spacing w:after="0" w:before="60"/>
      </w:pPr>
      <w:r>
        <w:t xml:space="preserve"/>
      </w:r>
    </w:p>
    <w:p>
      <w:pPr>
        <w:pStyle w:val="Heading2"/>
        <w:spacing w:after="120" w:before="240"/>
      </w:pPr>
      <w:r>
        <w:rPr>
          <w:rFonts w:ascii="Arial" w:cs="Arial" w:eastAsia="Arial" w:hAnsi="Arial"/>
          <w:b/>
          <w:bCs/>
          <w:color w:val="1A2B50"/>
          <w:sz w:val="26"/>
          <w:szCs w:val="26"/>
        </w:rPr>
        <w:t xml:space="preserve">10.3 Prevention of Money Laundering Act (PMLA), 2002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Section</w:t>
            </w:r>
          </w:p>
        </w:tc>
        <w:tc>
          <w:tcPr>
            <w:tcW w:type="dxa" w:w="78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Application to This Case</w:t>
            </w:r>
          </w:p>
        </w:tc>
      </w:tr>
      <w:tr>
        <w:tc>
          <w:tcPr>
            <w:tcW w:type="dxa" w:w="156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bCs/>
                <w:i w:val="false"/>
                <w:iCs w:val="false"/>
                <w:color w:val="1A2B50"/>
                <w:sz w:val="18"/>
                <w:szCs w:val="18"/>
              </w:rPr>
              <w:t xml:space="preserve">§ 3 &amp; 4</w:t>
            </w:r>
          </w:p>
        </w:tc>
        <w:tc>
          <w:tcPr>
            <w:tcW w:type="dxa" w:w="78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Money Laundering — the 5-layer fund dispersal across 19 banks spanning 4+ Indian states, plus one international leg (State Bank of Mauritius), is a textbook instance of "layering" and "integration" under the PMLA definition. The two shell business accounts (Nova Next Mart Pvt Ltd and Rilex Enterprises) at Layer 1 constitute the "placement" stage.</w:t>
            </w:r>
          </w:p>
        </w:tc>
      </w:tr>
    </w:tbl>
    <w:p>
      <w:pPr>
        <w:spacing w:after="0" w:before="60"/>
      </w:pPr>
      <w:r>
        <w:t xml:space="preserve"/>
      </w:r>
    </w:p>
    <w:p>
      <w:pPr>
        <w:pStyle w:val="Heading2"/>
        <w:spacing w:after="120" w:before="240"/>
      </w:pPr>
      <w:r>
        <w:rPr>
          <w:rFonts w:ascii="Arial" w:cs="Arial" w:eastAsia="Arial" w:hAnsi="Arial"/>
          <w:b/>
          <w:bCs/>
          <w:color w:val="1A2B50"/>
          <w:sz w:val="26"/>
          <w:szCs w:val="26"/>
        </w:rPr>
        <w:t xml:space="preserve">10.4 Foreign Exchange Management Act (FEMA), 1999</w:t>
      </w:r>
    </w:p>
    <w:p>
      <w:pPr>
        <w:spacing w:after="60" w:before="60"/>
        <w:jc w:val="left"/>
      </w:pPr>
      <w:r>
        <w:rPr>
          <w:rFonts w:ascii="Arial" w:cs="Arial" w:eastAsia="Arial" w:hAnsi="Arial"/>
          <w:b w:val="false"/>
          <w:bCs w:val="false"/>
          <w:i w:val="false"/>
          <w:iCs w:val="false"/>
          <w:color w:val="1C2833"/>
          <w:sz w:val="20"/>
          <w:szCs w:val="20"/>
        </w:rPr>
        <w:t xml:space="preserve">A State Bank of Mauritius account appears at Layer 2. If any portion of the Rs. 56.18L victim funds moved offshore through this account, FEMA §4 (dealing in foreign exchange without authorisation) applies. A FIU-IND referral is recommended to trace any cross-border leg.</w:t>
      </w:r>
    </w:p>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11. RECOMMENDED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3900"/>
      </w:tblGrid>
      <w:tr>
        <w:tc>
          <w:tcPr>
            <w:tcW w:type="dxa" w:w="78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c>
          <w:tcPr>
            <w:tcW w:type="dxa" w:w="468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Action</w:t>
            </w:r>
          </w:p>
        </w:tc>
        <w:tc>
          <w:tcPr>
            <w:tcW w:type="dxa" w:w="3900"/>
            <w:tcBorders>
              <w:top w:val="single" w:color="1A2B50" w:sz="1"/>
              <w:left w:val="single" w:color="1A2B50" w:sz="1"/>
              <w:bottom w:val="single" w:color="1A2B50" w:sz="1"/>
              <w:right w:val="single" w:color="1A2B50" w:sz="1"/>
            </w:tcBorders>
            <w:shd w:fill="1A2B5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Rationale</w:t>
            </w:r>
          </w:p>
        </w:tc>
      </w:tr>
      <w:tr>
        <w:tc>
          <w:tcPr>
            <w:tcW w:type="dxa" w:w="780"/>
            <w:tcBorders>
              <w:top w:val="single" w:color="D5D8DC" w:sz="1"/>
              <w:left w:val="single" w:color="D5D8DC" w:sz="1"/>
              <w:bottom w:val="single" w:color="D5D8DC" w:sz="1"/>
              <w:right w:val="single" w:color="D5D8DC" w:sz="1"/>
            </w:tcBorders>
            <w:shd w:fill="FDECEA" w:val="clear"/>
            <w:tcMar>
              <w:top w:type="dxa" w:w="80"/>
              <w:left w:type="dxa" w:w="140"/>
              <w:bottom w:type="dxa" w:w="80"/>
              <w:right w:type="dxa" w:w="140"/>
            </w:tcMar>
            <w:vAlign w:val="center"/>
          </w:tcPr>
          <w:p>
            <w:pPr>
              <w:jc w:val="center"/>
            </w:pPr>
            <w:r>
              <w:rPr>
                <w:rFonts w:ascii="Arial" w:cs="Arial" w:eastAsia="Arial" w:hAnsi="Arial"/>
                <w:b/>
                <w:bCs/>
                <w:i w:val="false"/>
                <w:iCs w:val="false"/>
                <w:color w:val="C0392B"/>
                <w:sz w:val="18"/>
                <w:szCs w:val="18"/>
              </w:rPr>
              <w:t xml:space="preserve">P1</w:t>
            </w:r>
          </w:p>
        </w:tc>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Freeze Axis Bank A/C 924020047581815 and demand full post-receipt statement</w:t>
            </w:r>
          </w:p>
        </w:tc>
        <w:tc>
          <w:tcPr>
            <w:tcW w:type="dxa" w:w="39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7"/>
                <w:szCs w:val="17"/>
              </w:rPr>
              <w:t xml:space="preserve">Rs. 11,50,000 received — zero outbound — highest recoverable sum in the case</w:t>
            </w:r>
          </w:p>
        </w:tc>
      </w:tr>
      <w:tr>
        <w:tc>
          <w:tcPr>
            <w:tcW w:type="dxa" w:w="780"/>
            <w:tcBorders>
              <w:top w:val="single" w:color="D5D8DC" w:sz="1"/>
              <w:left w:val="single" w:color="D5D8DC" w:sz="1"/>
              <w:bottom w:val="single" w:color="D5D8DC" w:sz="1"/>
              <w:right w:val="single" w:color="D5D8DC" w:sz="1"/>
            </w:tcBorders>
            <w:shd w:fill="FDECEA" w:val="clear"/>
            <w:tcMar>
              <w:top w:type="dxa" w:w="80"/>
              <w:left w:type="dxa" w:w="140"/>
              <w:bottom w:type="dxa" w:w="80"/>
              <w:right w:type="dxa" w:w="140"/>
            </w:tcMar>
            <w:vAlign w:val="center"/>
          </w:tcPr>
          <w:p>
            <w:pPr>
              <w:jc w:val="center"/>
            </w:pPr>
            <w:r>
              <w:rPr>
                <w:rFonts w:ascii="Arial" w:cs="Arial" w:eastAsia="Arial" w:hAnsi="Arial"/>
                <w:b/>
                <w:bCs/>
                <w:i w:val="false"/>
                <w:iCs w:val="false"/>
                <w:color w:val="C0392B"/>
                <w:sz w:val="18"/>
                <w:szCs w:val="18"/>
              </w:rPr>
              <w:t xml:space="preserve">P1</w:t>
            </w:r>
          </w:p>
        </w:tc>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CCTV pull at all 4 Hardoi ATM locations (Pihani, Cinema Chauraha, Main Branch, ADB) for the ATM withdrawal dates</w:t>
            </w:r>
          </w:p>
        </w:tc>
        <w:tc>
          <w:tcPr>
            <w:tcW w:type="dxa" w:w="3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7"/>
                <w:szCs w:val="17"/>
              </w:rPr>
              <w:t xml:space="preserve">Fastest path from account number to a human face — 18 withdrawals at 4 machines</w:t>
            </w:r>
          </w:p>
        </w:tc>
      </w:tr>
      <w:tr>
        <w:tc>
          <w:tcPr>
            <w:tcW w:type="dxa" w:w="780"/>
            <w:tcBorders>
              <w:top w:val="single" w:color="D5D8DC" w:sz="1"/>
              <w:left w:val="single" w:color="D5D8DC" w:sz="1"/>
              <w:bottom w:val="single" w:color="D5D8DC" w:sz="1"/>
              <w:right w:val="single" w:color="D5D8DC" w:sz="1"/>
            </w:tcBorders>
            <w:shd w:fill="FDECEA" w:val="clear"/>
            <w:tcMar>
              <w:top w:type="dxa" w:w="80"/>
              <w:left w:type="dxa" w:w="140"/>
              <w:bottom w:type="dxa" w:w="80"/>
              <w:right w:type="dxa" w:w="140"/>
            </w:tcMar>
            <w:vAlign w:val="center"/>
          </w:tcPr>
          <w:p>
            <w:pPr>
              <w:jc w:val="center"/>
            </w:pPr>
            <w:r>
              <w:rPr>
                <w:rFonts w:ascii="Arial" w:cs="Arial" w:eastAsia="Arial" w:hAnsi="Arial"/>
                <w:b/>
                <w:bCs/>
                <w:i w:val="false"/>
                <w:iCs w:val="false"/>
                <w:color w:val="C0392B"/>
                <w:sz w:val="18"/>
                <w:szCs w:val="18"/>
              </w:rPr>
              <w:t xml:space="preserve">P1</w:t>
            </w:r>
          </w:p>
        </w:tc>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Freeze both Layer-1 mule hubs (Axis + IndusInd) and demand complete bank statements to resolve the Rs. 2.45L / Rs. 4.99L imbalances</w:t>
            </w:r>
          </w:p>
        </w:tc>
        <w:tc>
          <w:tcPr>
            <w:tcW w:type="dxa" w:w="39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7"/>
                <w:szCs w:val="17"/>
              </w:rPr>
              <w:t xml:space="preserve">Both hubs named in FIR; imbalances must be reconciled before chargesheet figures are cited</w:t>
            </w:r>
          </w:p>
        </w:tc>
      </w:tr>
      <w:tr>
        <w:tc>
          <w:tcPr>
            <w:tcW w:type="dxa" w:w="780"/>
            <w:tcBorders>
              <w:top w:val="single" w:color="D5D8DC" w:sz="1"/>
              <w:left w:val="single" w:color="D5D8DC" w:sz="1"/>
              <w:bottom w:val="single" w:color="D5D8DC" w:sz="1"/>
              <w:right w:val="single" w:color="D5D8DC" w:sz="1"/>
            </w:tcBorders>
            <w:shd w:fill="FEF3CD" w:val="clear"/>
            <w:tcMar>
              <w:top w:type="dxa" w:w="80"/>
              <w:left w:type="dxa" w:w="140"/>
              <w:bottom w:type="dxa" w:w="80"/>
              <w:right w:type="dxa" w:w="140"/>
            </w:tcMar>
            <w:vAlign w:val="center"/>
          </w:tcPr>
          <w:p>
            <w:pPr>
              <w:jc w:val="center"/>
            </w:pPr>
            <w:r>
              <w:rPr>
                <w:rFonts w:ascii="Arial" w:cs="Arial" w:eastAsia="Arial" w:hAnsi="Arial"/>
                <w:b/>
                <w:bCs/>
                <w:i w:val="false"/>
                <w:iCs w:val="false"/>
                <w:color w:val="A04000"/>
                <w:sz w:val="18"/>
                <w:szCs w:val="18"/>
              </w:rPr>
              <w:t xml:space="preserve">P2</w:t>
            </w:r>
          </w:p>
        </w:tc>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Issue freeze requests to PNB (Delhi), Federal Bank (Kollam), Punjab bank (Jalandhar) and Yes Bank / IDFC First (Pali) on residual Layer-2 balances</w:t>
            </w:r>
          </w:p>
        </w:tc>
        <w:tc>
          <w:tcPr>
            <w:tcW w:type="dxa" w:w="3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7"/>
                <w:szCs w:val="17"/>
              </w:rPr>
              <w:t xml:space="preserve">Preserves evidentiary chain; even partial freezes limit further cash-out</w:t>
            </w:r>
          </w:p>
        </w:tc>
      </w:tr>
      <w:tr>
        <w:tc>
          <w:tcPr>
            <w:tcW w:type="dxa" w:w="780"/>
            <w:tcBorders>
              <w:top w:val="single" w:color="D5D8DC" w:sz="1"/>
              <w:left w:val="single" w:color="D5D8DC" w:sz="1"/>
              <w:bottom w:val="single" w:color="D5D8DC" w:sz="1"/>
              <w:right w:val="single" w:color="D5D8DC" w:sz="1"/>
            </w:tcBorders>
            <w:shd w:fill="FEF3CD" w:val="clear"/>
            <w:tcMar>
              <w:top w:type="dxa" w:w="80"/>
              <w:left w:type="dxa" w:w="140"/>
              <w:bottom w:type="dxa" w:w="80"/>
              <w:right w:type="dxa" w:w="140"/>
            </w:tcMar>
            <w:vAlign w:val="center"/>
          </w:tcPr>
          <w:p>
            <w:pPr>
              <w:jc w:val="center"/>
            </w:pPr>
            <w:r>
              <w:rPr>
                <w:rFonts w:ascii="Arial" w:cs="Arial" w:eastAsia="Arial" w:hAnsi="Arial"/>
                <w:b/>
                <w:bCs/>
                <w:i w:val="false"/>
                <w:iCs w:val="false"/>
                <w:color w:val="A04000"/>
                <w:sz w:val="18"/>
                <w:szCs w:val="18"/>
              </w:rPr>
              <w:t xml:space="preserve">P2</w:t>
            </w:r>
          </w:p>
        </w:tc>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Send branch-manager contact requests for CCTV at the 5 cheque encashment branches, prioritising PNB New Rohtak Road (dual digital + physical lead)</w:t>
            </w:r>
          </w:p>
        </w:tc>
        <w:tc>
          <w:tcPr>
            <w:tcW w:type="dxa" w:w="39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7"/>
                <w:szCs w:val="17"/>
              </w:rPr>
              <w:t xml:space="preserve">Physical cash-out sites most actionable before retention periods lapse</w:t>
            </w:r>
          </w:p>
        </w:tc>
      </w:tr>
      <w:tr>
        <w:tc>
          <w:tcPr>
            <w:tcW w:type="dxa" w:w="780"/>
            <w:tcBorders>
              <w:top w:val="single" w:color="D5D8DC" w:sz="1"/>
              <w:left w:val="single" w:color="D5D8DC" w:sz="1"/>
              <w:bottom w:val="single" w:color="D5D8DC" w:sz="1"/>
              <w:right w:val="single" w:color="D5D8DC" w:sz="1"/>
            </w:tcBorders>
            <w:shd w:fill="FEF3CD" w:val="clear"/>
            <w:tcMar>
              <w:top w:type="dxa" w:w="80"/>
              <w:left w:type="dxa" w:w="140"/>
              <w:bottom w:type="dxa" w:w="80"/>
              <w:right w:type="dxa" w:w="140"/>
            </w:tcMar>
            <w:vAlign w:val="center"/>
          </w:tcPr>
          <w:p>
            <w:pPr>
              <w:jc w:val="center"/>
            </w:pPr>
            <w:r>
              <w:rPr>
                <w:rFonts w:ascii="Arial" w:cs="Arial" w:eastAsia="Arial" w:hAnsi="Arial"/>
                <w:b/>
                <w:bCs/>
                <w:i w:val="false"/>
                <w:iCs w:val="false"/>
                <w:color w:val="A04000"/>
                <w:sz w:val="18"/>
                <w:szCs w:val="18"/>
              </w:rPr>
              <w:t xml:space="preserve">P2</w:t>
            </w:r>
          </w:p>
        </w:tc>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Apply for Jio Payments Bank subscriber KYC for all 6 wallet SIMs in the Hardoi cluster</w:t>
            </w:r>
          </w:p>
        </w:tc>
        <w:tc>
          <w:tcPr>
            <w:tcW w:type="dxa" w:w="3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7"/>
                <w:szCs w:val="17"/>
              </w:rPr>
              <w:t xml:space="preserve">Single operator likely behind 6 wallets — SIM purchase records will narrow the identification</w:t>
            </w:r>
          </w:p>
        </w:tc>
      </w:tr>
      <w:tr>
        <w:tc>
          <w:tcPr>
            <w:tcW w:type="dxa" w:w="780"/>
            <w:tcBorders>
              <w:top w:val="single" w:color="D5D8DC" w:sz="1"/>
              <w:left w:val="single" w:color="D5D8DC" w:sz="1"/>
              <w:bottom w:val="single" w:color="D5D8DC" w:sz="1"/>
              <w:right w:val="single" w:color="D5D8DC" w:sz="1"/>
            </w:tcBorders>
            <w:shd w:fill="E8F4E8" w:val="clear"/>
            <w:tcMar>
              <w:top w:type="dxa" w:w="80"/>
              <w:left w:type="dxa" w:w="140"/>
              <w:bottom w:type="dxa" w:w="80"/>
              <w:right w:type="dxa" w:w="140"/>
            </w:tcMar>
            <w:vAlign w:val="center"/>
          </w:tcPr>
          <w:p>
            <w:pPr>
              <w:jc w:val="center"/>
            </w:pPr>
            <w:r>
              <w:rPr>
                <w:rFonts w:ascii="Arial" w:cs="Arial" w:eastAsia="Arial" w:hAnsi="Arial"/>
                <w:b/>
                <w:bCs/>
                <w:i w:val="false"/>
                <w:iCs w:val="false"/>
                <w:color w:val="1E6B1E"/>
                <w:sz w:val="18"/>
                <w:szCs w:val="18"/>
              </w:rPr>
              <w:t xml:space="preserve">P3</w:t>
            </w:r>
          </w:p>
        </w:tc>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FIU-IND referral for the State Bank of Mauritius leg at Layer 2</w:t>
            </w:r>
          </w:p>
        </w:tc>
        <w:tc>
          <w:tcPr>
            <w:tcW w:type="dxa" w:w="39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7"/>
                <w:szCs w:val="17"/>
              </w:rPr>
              <w:t xml:space="preserve">International dimension — cross-border fund tracing requires FIU coordination</w:t>
            </w:r>
          </w:p>
        </w:tc>
      </w:tr>
      <w:tr>
        <w:tc>
          <w:tcPr>
            <w:tcW w:type="dxa" w:w="780"/>
            <w:tcBorders>
              <w:top w:val="single" w:color="D5D8DC" w:sz="1"/>
              <w:left w:val="single" w:color="D5D8DC" w:sz="1"/>
              <w:bottom w:val="single" w:color="D5D8DC" w:sz="1"/>
              <w:right w:val="single" w:color="D5D8DC" w:sz="1"/>
            </w:tcBorders>
            <w:shd w:fill="E8F4E8" w:val="clear"/>
            <w:tcMar>
              <w:top w:type="dxa" w:w="80"/>
              <w:left w:type="dxa" w:w="140"/>
              <w:bottom w:type="dxa" w:w="80"/>
              <w:right w:type="dxa" w:w="140"/>
            </w:tcMar>
            <w:vAlign w:val="center"/>
          </w:tcPr>
          <w:p>
            <w:pPr>
              <w:jc w:val="center"/>
            </w:pPr>
            <w:r>
              <w:rPr>
                <w:rFonts w:ascii="Arial" w:cs="Arial" w:eastAsia="Arial" w:hAnsi="Arial"/>
                <w:b/>
                <w:bCs/>
                <w:i w:val="false"/>
                <w:iCs w:val="false"/>
                <w:color w:val="1E6B1E"/>
                <w:sz w:val="18"/>
                <w:szCs w:val="18"/>
              </w:rPr>
              <w:t xml:space="preserve">P3</w:t>
            </w:r>
          </w:p>
        </w:tc>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Gold-pledge trace — formally request transaction records from Manipuram Gold, Baleli Phata, Pune, for the IndusInd tranche</w:t>
            </w:r>
          </w:p>
        </w:tc>
        <w:tc>
          <w:tcPr>
            <w:tcW w:type="dxa" w:w="3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7"/>
                <w:szCs w:val="17"/>
              </w:rPr>
              <w:t xml:space="preserve">Victim liquidated physical gold — records will confirm the coercion timeline and amount</w:t>
            </w:r>
          </w:p>
        </w:tc>
      </w:tr>
      <w:tr>
        <w:tc>
          <w:tcPr>
            <w:tcW w:type="dxa" w:w="780"/>
            <w:tcBorders>
              <w:top w:val="single" w:color="D5D8DC" w:sz="1"/>
              <w:left w:val="single" w:color="D5D8DC" w:sz="1"/>
              <w:bottom w:val="single" w:color="D5D8DC" w:sz="1"/>
              <w:right w:val="single" w:color="D5D8DC" w:sz="1"/>
            </w:tcBorders>
            <w:shd w:fill="E8F4E8" w:val="clear"/>
            <w:tcMar>
              <w:top w:type="dxa" w:w="80"/>
              <w:left w:type="dxa" w:w="140"/>
              <w:bottom w:type="dxa" w:w="80"/>
              <w:right w:type="dxa" w:w="140"/>
            </w:tcMar>
            <w:vAlign w:val="center"/>
          </w:tcPr>
          <w:p>
            <w:pPr>
              <w:jc w:val="center"/>
            </w:pPr>
            <w:r>
              <w:rPr>
                <w:rFonts w:ascii="Arial" w:cs="Arial" w:eastAsia="Arial" w:hAnsi="Arial"/>
                <w:b/>
                <w:bCs/>
                <w:i w:val="false"/>
                <w:iCs w:val="false"/>
                <w:color w:val="1E6B1E"/>
                <w:sz w:val="18"/>
                <w:szCs w:val="18"/>
              </w:rPr>
              <w:t xml:space="preserve">P3</w:t>
            </w:r>
          </w:p>
        </w:tc>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Cross-case check on UPI handles "Ankit Upadhyay," "Krishna Mudgal," "Prakash Kumar" against other FraudLens active cases</w:t>
            </w:r>
          </w:p>
        </w:tc>
        <w:tc>
          <w:tcPr>
            <w:tcW w:type="dxa" w:w="39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7"/>
                <w:szCs w:val="17"/>
              </w:rPr>
              <w:t xml:space="preserve">Recurring names across multiple fraud trails indicate shared mule infrastructure</w:t>
            </w:r>
          </w:p>
        </w:tc>
      </w:tr>
      <w:tr>
        <w:tc>
          <w:tcPr>
            <w:tcW w:type="dxa" w:w="7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7F8C8D"/>
                <w:sz w:val="18"/>
                <w:szCs w:val="18"/>
              </w:rPr>
              <w:t xml:space="preserve">P4</w:t>
            </w:r>
          </w:p>
        </w:tc>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MCA/ROC check on Nova Next Mart Pvt Ltd and Rilex Enterprises — incorporation date, directors, registered address</w:t>
            </w:r>
          </w:p>
        </w:tc>
        <w:tc>
          <w:tcPr>
            <w:tcW w:type="dxa" w:w="3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7"/>
                <w:szCs w:val="17"/>
              </w:rPr>
              <w:t xml:space="preserve">Recently incorporated shells confirm organised fraud network rather than opportunistic mule use</w:t>
            </w:r>
          </w:p>
        </w:tc>
      </w:tr>
      <w:tr>
        <w:tc>
          <w:tcPr>
            <w:tcW w:type="dxa" w:w="7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center"/>
            </w:pPr>
            <w:r>
              <w:rPr>
                <w:rFonts w:ascii="Arial" w:cs="Arial" w:eastAsia="Arial" w:hAnsi="Arial"/>
                <w:b/>
                <w:bCs/>
                <w:i w:val="false"/>
                <w:iCs w:val="false"/>
                <w:color w:val="7F8C8D"/>
                <w:sz w:val="18"/>
                <w:szCs w:val="18"/>
              </w:rPr>
              <w:t xml:space="preserve">P4</w:t>
            </w:r>
          </w:p>
        </w:tc>
        <w:tc>
          <w:tcPr>
            <w:tcW w:type="dxa" w:w="468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C2833"/>
                <w:sz w:val="18"/>
                <w:szCs w:val="18"/>
              </w:rPr>
              <w:t xml:space="preserve">Verify fraudster mobile 7545036749 with TSP — subscriber details, SIM purchase location, call records</w:t>
            </w:r>
          </w:p>
        </w:tc>
        <w:tc>
          <w:tcPr>
            <w:tcW w:type="dxa" w:w="3900"/>
            <w:tcBorders>
              <w:top w:val="single" w:color="D5D8DC" w:sz="1"/>
              <w:left w:val="single" w:color="D5D8DC" w:sz="1"/>
              <w:bottom w:val="single" w:color="D5D8DC" w:sz="1"/>
              <w:right w:val="single" w:color="D5D8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F8C8D"/>
                <w:sz w:val="17"/>
                <w:szCs w:val="17"/>
              </w:rPr>
              <w:t xml:space="preserve">Unregistered number is the single point of initial contact — call records may extend the suspect network</w:t>
            </w:r>
          </w:p>
        </w:tc>
      </w:tr>
    </w:tbl>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12. LIMITATIONS &amp; DISCLAIMERS</w:t>
      </w:r>
    </w:p>
    <w:p>
      <w:pPr>
        <w:pStyle w:val="Heading2"/>
        <w:spacing w:after="120" w:before="240"/>
      </w:pPr>
      <w:r>
        <w:rPr>
          <w:rFonts w:ascii="Arial" w:cs="Arial" w:eastAsia="Arial" w:hAnsi="Arial"/>
          <w:b/>
          <w:bCs/>
          <w:color w:val="1A2B50"/>
          <w:sz w:val="26"/>
          <w:szCs w:val="26"/>
        </w:rPr>
        <w:t xml:space="preserve">12.1 Scope of Analysis</w:t>
      </w:r>
    </w:p>
    <w:p>
      <w:pPr>
        <w:spacing w:after="60" w:before="60"/>
        <w:jc w:val="left"/>
      </w:pPr>
      <w:r>
        <w:rPr>
          <w:rFonts w:ascii="Arial" w:cs="Arial" w:eastAsia="Arial" w:hAnsi="Arial"/>
          <w:b w:val="false"/>
          <w:bCs w:val="false"/>
          <w:i w:val="false"/>
          <w:iCs w:val="false"/>
          <w:color w:val="1C2833"/>
          <w:sz w:val="20"/>
          <w:szCs w:val="20"/>
        </w:rPr>
        <w:t xml:space="preserve">This report is a computational forensic analysis of the transaction data supplied in the NCRP case export. It identifies patterns, ranks accounts by risk, and traces money flow — it does not constitute a legal determination of guilt, intent, or knowledge on the part of any account holder. Account holders flagged in this report may include both knowing participants and victims of identity theft or account takeover; this distinction requires investigation beyond transaction-pattern analysis.</w:t>
      </w:r>
    </w:p>
    <w:p>
      <w:pPr>
        <w:pStyle w:val="Heading2"/>
        <w:spacing w:after="120" w:before="240"/>
      </w:pPr>
      <w:r>
        <w:rPr>
          <w:rFonts w:ascii="Arial" w:cs="Arial" w:eastAsia="Arial" w:hAnsi="Arial"/>
          <w:b/>
          <w:bCs/>
          <w:color w:val="1A2B50"/>
          <w:sz w:val="26"/>
          <w:szCs w:val="26"/>
        </w:rPr>
        <w:t xml:space="preserve">12.2 Unverified Information</w:t>
      </w:r>
    </w:p>
    <w:p>
      <w:pPr>
        <w:pStyle w:val="ListParagraph"/>
        <w:numPr>
          <w:ilvl w:val="0"/>
          <w:numId w:val="2"/>
        </w:numPr>
        <w:spacing w:after="40" w:before="40"/>
      </w:pPr>
      <w:r>
        <w:rPr>
          <w:rFonts w:ascii="Arial" w:cs="Arial" w:eastAsia="Arial" w:hAnsi="Arial"/>
          <w:b w:val="false"/>
          <w:bCs w:val="false"/>
          <w:color w:val="1C2833"/>
          <w:sz w:val="20"/>
          <w:szCs w:val="20"/>
        </w:rPr>
        <w:t xml:space="preserve">"Holder" names shown for Layer-2 accounts are extracted from UPI transaction remarks and free-text narration fields using pattern matching. These are investigative leads only and must be confirmed against bank KYC records before reliance for identification.</w:t>
      </w:r>
    </w:p>
    <w:p>
      <w:pPr>
        <w:pStyle w:val="ListParagraph"/>
        <w:numPr>
          <w:ilvl w:val="0"/>
          <w:numId w:val="2"/>
        </w:numPr>
        <w:spacing w:after="40" w:before="40"/>
      </w:pPr>
      <w:r>
        <w:rPr>
          <w:rFonts w:ascii="Arial" w:cs="Arial" w:eastAsia="Arial" w:hAnsi="Arial"/>
          <w:b w:val="false"/>
          <w:bCs w:val="false"/>
          <w:color w:val="1C2833"/>
          <w:sz w:val="20"/>
          <w:szCs w:val="20"/>
        </w:rPr>
        <w:t xml:space="preserve">The inflow/outflow imbalances at both Layer-1 mule hubs are reported as found in the dataset — this report does not assert which resolution is correct and recommends direct bank statement verification before chargesheet figures are finalised.</w:t>
      </w:r>
    </w:p>
    <w:p>
      <w:pPr>
        <w:pStyle w:val="ListParagraph"/>
        <w:numPr>
          <w:ilvl w:val="0"/>
          <w:numId w:val="2"/>
        </w:numPr>
        <w:spacing w:after="40" w:before="40"/>
      </w:pPr>
      <w:r>
        <w:rPr>
          <w:rFonts w:ascii="Arial" w:cs="Arial" w:eastAsia="Arial" w:hAnsi="Arial"/>
          <w:b w:val="false"/>
          <w:bCs w:val="false"/>
          <w:color w:val="1C2833"/>
          <w:sz w:val="20"/>
          <w:szCs w:val="20"/>
        </w:rPr>
        <w:t xml:space="preserve">The State Bank of Mauritius leg has not been independently confirmed as an offshore fund transfer — it is flagged for FIU referral based on the account holder's institution name appearing in the Layer-2 transaction data.</w:t>
      </w:r>
    </w:p>
    <w:p>
      <w:pPr>
        <w:pStyle w:val="Heading2"/>
        <w:spacing w:after="120" w:before="240"/>
      </w:pPr>
      <w:r>
        <w:rPr>
          <w:rFonts w:ascii="Arial" w:cs="Arial" w:eastAsia="Arial" w:hAnsi="Arial"/>
          <w:b/>
          <w:bCs/>
          <w:color w:val="1A2B50"/>
          <w:sz w:val="26"/>
          <w:szCs w:val="26"/>
        </w:rPr>
        <w:t xml:space="preserve">12.3 Dataset Limitations</w:t>
      </w:r>
    </w:p>
    <w:p>
      <w:pPr>
        <w:pStyle w:val="ListParagraph"/>
        <w:numPr>
          <w:ilvl w:val="0"/>
          <w:numId w:val="2"/>
        </w:numPr>
        <w:spacing w:after="40" w:before="40"/>
      </w:pPr>
      <w:r>
        <w:rPr>
          <w:rFonts w:ascii="Arial" w:cs="Arial" w:eastAsia="Arial" w:hAnsi="Arial"/>
          <w:b w:val="false"/>
          <w:bCs w:val="false"/>
          <w:color w:val="1C2833"/>
          <w:sz w:val="20"/>
          <w:szCs w:val="20"/>
        </w:rPr>
        <w:t xml:space="preserve">This analysis is bounded by the records included in the NCRP case export. Transactions that occurred through channels not captured in the export (e.g. direct branch cash deposits, RTGS to unlinked accounts, crypto off-ramps) will not appear in this dataset.</w:t>
      </w:r>
    </w:p>
    <w:p>
      <w:pPr>
        <w:pStyle w:val="ListParagraph"/>
        <w:numPr>
          <w:ilvl w:val="0"/>
          <w:numId w:val="2"/>
        </w:numPr>
        <w:spacing w:after="40" w:before="40"/>
      </w:pPr>
      <w:r>
        <w:rPr>
          <w:rFonts w:ascii="Arial" w:cs="Arial" w:eastAsia="Arial" w:hAnsi="Arial"/>
          <w:b w:val="false"/>
          <w:bCs w:val="false"/>
          <w:color w:val="1C2833"/>
          <w:sz w:val="20"/>
          <w:szCs w:val="20"/>
        </w:rPr>
        <w:t xml:space="preserve">The Layer-4 and Layer-5 accounts in this case represent the end of the traceable trail in the current export — they do not necessarily represent the final destination of the funds. Full account statements from these banks may extend the chain further.</w:t>
      </w:r>
    </w:p>
    <w:p>
      <w:pPr>
        <w:pStyle w:val="Heading2"/>
        <w:spacing w:after="120" w:before="240"/>
      </w:pPr>
      <w:r>
        <w:rPr>
          <w:rFonts w:ascii="Arial" w:cs="Arial" w:eastAsia="Arial" w:hAnsi="Arial"/>
          <w:b/>
          <w:bCs/>
          <w:color w:val="1A2B50"/>
          <w:sz w:val="26"/>
          <w:szCs w:val="26"/>
        </w:rPr>
        <w:t xml:space="preserve">12.4 Currency and Rounding</w:t>
      </w:r>
    </w:p>
    <w:p>
      <w:pPr>
        <w:spacing w:after="60" w:before="60"/>
        <w:jc w:val="left"/>
      </w:pPr>
      <w:r>
        <w:rPr>
          <w:rFonts w:ascii="Arial" w:cs="Arial" w:eastAsia="Arial" w:hAnsi="Arial"/>
          <w:b w:val="false"/>
          <w:bCs w:val="false"/>
          <w:i w:val="false"/>
          <w:iCs w:val="false"/>
          <w:color w:val="1C2833"/>
          <w:sz w:val="20"/>
          <w:szCs w:val="20"/>
        </w:rPr>
        <w:t xml:space="preserve">All figures are stated in Indian Rupees as recorded in the source bank data. Minor rounding differences (under Re. 1) may appear between this document and the accompanying digital report due to independent rounding at different computation stages; no such difference exceeds Re. 1 for any figure.</w:t>
      </w:r>
    </w:p>
    <w:p>
      <w:r>
        <w:br w:type="page"/>
      </w:r>
    </w:p>
    <w:p>
      <w:pPr>
        <w:pStyle w:val="Heading1"/>
        <w:pBdr>
          <w:bottom w:val="single" w:color="C9A84C" w:sz="8" w:space="4"/>
        </w:pBdr>
        <w:spacing w:after="160" w:before="320"/>
      </w:pPr>
      <w:r>
        <w:rPr>
          <w:rFonts w:ascii="Arial" w:cs="Arial" w:eastAsia="Arial" w:hAnsi="Arial"/>
          <w:b/>
          <w:bCs/>
          <w:color w:val="1A2B50"/>
          <w:sz w:val="32"/>
          <w:szCs w:val="32"/>
        </w:rPr>
        <w:t xml:space="preserve">13. ANNEXURES</w:t>
      </w:r>
    </w:p>
    <w:p>
      <w:pPr>
        <w:spacing w:after="60" w:before="60"/>
        <w:jc w:val="left"/>
      </w:pPr>
      <w:r>
        <w:rPr>
          <w:rFonts w:ascii="Arial" w:cs="Arial" w:eastAsia="Arial" w:hAnsi="Arial"/>
          <w:b w:val="false"/>
          <w:bCs w:val="false"/>
          <w:i w:val="false"/>
          <w:iCs w:val="false"/>
          <w:color w:val="1C2833"/>
          <w:sz w:val="20"/>
          <w:szCs w:val="20"/>
        </w:rPr>
        <w:t xml:space="preserve">The following supporting materials accompany this report and are available digitally:</w:t>
      </w:r>
    </w:p>
    <w:p>
      <w:pPr>
        <w:pStyle w:val="ListParagraph"/>
        <w:numPr>
          <w:ilvl w:val="0"/>
          <w:numId w:val="2"/>
        </w:numPr>
        <w:spacing w:after="40" w:before="40"/>
      </w:pPr>
      <w:r>
        <w:rPr>
          <w:rFonts w:ascii="Arial" w:cs="Arial" w:eastAsia="Arial" w:hAnsi="Arial"/>
          <w:b w:val="false"/>
          <w:bCs w:val="false"/>
          <w:color w:val="1C2833"/>
          <w:sz w:val="20"/>
          <w:szCs w:val="20"/>
        </w:rPr>
        <w:t xml:space="preserve">FraudLens Interactive Digital Report (HTML) — the complete dashboard underlying this document, including: the full 32-account searchable and filterable table; the interactive draggable network graph (Money Trail — 32 nodes, 58 edges); the aggregate money-flow Sankey diagram; the complete cheque and ATM cash-out trail with branch manager contacts; the full transaction ledger across all NCRP source sheets; and scam timeline visualisation.</w:t>
      </w:r>
    </w:p>
    <w:p>
      <w:pPr>
        <w:pStyle w:val="ListParagraph"/>
        <w:numPr>
          <w:ilvl w:val="0"/>
          <w:numId w:val="2"/>
        </w:numPr>
        <w:spacing w:after="40" w:before="40"/>
      </w:pPr>
      <w:r>
        <w:rPr>
          <w:rFonts w:ascii="Arial" w:cs="Arial" w:eastAsia="Arial" w:hAnsi="Arial"/>
          <w:b w:val="false"/>
          <w:bCs w:val="false"/>
          <w:color w:val="1C2833"/>
          <w:sz w:val="20"/>
          <w:szCs w:val="20"/>
        </w:rPr>
        <w:t xml:space="preserve">Original NCRP Case Export — the unmodified source file as supplied by the case data contact, retained for chain-of-custody purposes.</w:t>
      </w:r>
    </w:p>
    <w:p>
      <w:pPr>
        <w:pStyle w:val="ListParagraph"/>
        <w:numPr>
          <w:ilvl w:val="0"/>
          <w:numId w:val="2"/>
        </w:numPr>
        <w:spacing w:after="40" w:before="40"/>
      </w:pPr>
      <w:r>
        <w:rPr>
          <w:rFonts w:ascii="Arial" w:cs="Arial" w:eastAsia="Arial" w:hAnsi="Arial"/>
          <w:b w:val="false"/>
          <w:bCs w:val="false"/>
          <w:color w:val="1C2833"/>
          <w:sz w:val="20"/>
          <w:szCs w:val="20"/>
        </w:rPr>
        <w:t xml:space="preserve">Marathi Complaint Photograph — photographic record of the original Marathi-language victim statement (FIR narrative) confirming victim mobile, fraudster mobile, account numbers, and amounts — retained as evidence exhibit.</w:t>
      </w:r>
    </w:p>
    <w:p>
      <w:pPr>
        <w:spacing w:after="0" w:before="80"/>
      </w:pPr>
      <w:r>
        <w:t xml:space="preserve"/>
      </w:r>
    </w:p>
    <w:p>
      <w:pPr>
        <w:spacing w:after="60" w:before="60"/>
        <w:jc w:val="left"/>
      </w:pPr>
      <w:r>
        <w:rPr>
          <w:rFonts w:ascii="Arial" w:cs="Arial" w:eastAsia="Arial" w:hAnsi="Arial"/>
          <w:b w:val="false"/>
          <w:bCs w:val="false"/>
          <w:i w:val="false"/>
          <w:iCs w:val="false"/>
          <w:color w:val="1C2833"/>
          <w:sz w:val="20"/>
          <w:szCs w:val="20"/>
        </w:rPr>
        <w:t xml:space="preserve">Investigating officers requiring any specific transaction, account subset, or additional data not reproduced in this printed report should request it from the FraudLens analysis team, referencing the relevant account number or Finding ID. The complete underlying dataset remains available for targeted extraction.</w:t>
      </w:r>
    </w:p>
    <w:p>
      <w:pPr>
        <w:spacing w:after="0" w:before="160"/>
      </w:pPr>
      <w:r>
        <w:t xml:space="preserve"/>
      </w:r>
    </w:p>
    <w:p>
      <w:pPr>
        <w:pBdr>
          <w:bottom w:val="single" w:color="D5D8DC" w:sz="4" w:space="2"/>
        </w:pBdr>
        <w:spacing w:after="80" w:before="80"/>
      </w:pPr>
      <w:r>
        <w:t xml:space="preserve"/>
      </w:r>
    </w:p>
    <w:p>
      <w:pPr>
        <w:spacing w:after="40" w:before="80"/>
        <w:jc w:val="center"/>
      </w:pPr>
      <w:r>
        <w:rPr>
          <w:rFonts w:ascii="Arial" w:cs="Arial" w:eastAsia="Arial" w:hAnsi="Arial"/>
          <w:b/>
          <w:bCs/>
          <w:color w:val="1A2B50"/>
          <w:sz w:val="20"/>
          <w:szCs w:val="20"/>
        </w:rPr>
        <w:t xml:space="preserve">FraudLens  —  Financial Fraud Intelligence Platform</w:t>
      </w:r>
    </w:p>
    <w:p>
      <w:pPr>
        <w:spacing w:after="40" w:before="0"/>
        <w:jc w:val="center"/>
      </w:pPr>
      <w:r>
        <w:rPr>
          <w:rFonts w:ascii="Arial" w:cs="Arial" w:eastAsia="Arial" w:hAnsi="Arial"/>
          <w:color w:val="7F8C8D"/>
          <w:sz w:val="18"/>
          <w:szCs w:val="18"/>
        </w:rPr>
        <w:t xml:space="preserve">Pune City Police  |  Cyber Crime Cell  |  FOR OFFICIAL / LAW ENFORCEMENT USE ONLY</w:t>
      </w:r>
    </w:p>
    <w:p>
      <w:pPr>
        <w:spacing w:after="0" w:before="0"/>
        <w:jc w:val="center"/>
      </w:pPr>
      <w:r>
        <w:rPr>
          <w:rFonts w:ascii="Arial" w:cs="Arial" w:eastAsia="Arial" w:hAnsi="Arial"/>
          <w:color w:val="7F8C8D"/>
          <w:sz w:val="18"/>
          <w:szCs w:val="18"/>
        </w:rPr>
        <w:t xml:space="preserve">NCRP Ack. 31905260095929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2"/>
      </w:pBdr>
      <w:tabs>
        <w:tab w:val="right" w:pos="9360"/>
      </w:tabs>
      <w:spacing w:after="0" w:before="80"/>
    </w:pPr>
    <w:r>
      <w:rPr>
        <w:rFonts w:ascii="Arial" w:cs="Arial" w:eastAsia="Arial" w:hAnsi="Arial"/>
        <w:color w:val="7F8C8D"/>
        <w:sz w:val="16"/>
        <w:szCs w:val="16"/>
      </w:rPr>
      <w:t xml:space="preserve">Pune City Police — Cyber Crime Cell  |  FOR OFFICIAL / LAW ENFORCEMENT USE ONLY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tabs>
        <w:tab w:val="right" w:pos="9360"/>
      </w:tabs>
      <w:spacing w:after="80" w:before="0"/>
    </w:pPr>
    <w:r>
      <w:rPr>
        <w:rFonts w:ascii="Arial" w:cs="Arial" w:eastAsia="Arial" w:hAnsi="Arial"/>
        <w:color w:val="7F8C8D"/>
        <w:sz w:val="16"/>
        <w:szCs w:val="16"/>
      </w:rPr>
      <w:t xml:space="preserve">FraudLens  —  FORENSIC INTELLIGENCE REPORT	NCRP: 31905260095929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B5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2B5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2026-06-26T10:41:32.176Z</dcterms:created>
  <dcterms:modified xsi:type="dcterms:W3CDTF">2026-06-26T10:41:32.192Z</dcterms:modified>
</cp:coreProperties>
</file>

<file path=docProps/custom.xml><?xml version="1.0" encoding="utf-8"?>
<Properties xmlns="http://schemas.openxmlformats.org/officeDocument/2006/custom-properties" xmlns:vt="http://schemas.openxmlformats.org/officeDocument/2006/docPropsVTypes"/>
</file>