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864"/>
          <w:sz w:val="44"/>
          <w:szCs w:val="44"/>
        </w:rPr>
        <w:t xml:space="preserve">FORENSIC FINANCIAL INTELLIGENCE REPORT</w:t>
      </w:r>
    </w:p>
    <w:p>
      <w:pPr>
        <w:spacing w:after="100" w:before="200"/>
        <w:jc w:val="center"/>
      </w:pPr>
      <w:r>
        <w:rPr>
          <w:rFonts w:ascii="Calibri" w:cs="Calibri" w:eastAsia="Calibri" w:hAnsi="Calibri"/>
          <w:i/>
          <w:iCs/>
          <w:color w:val="595959"/>
          <w:sz w:val="26"/>
          <w:szCs w:val="26"/>
        </w:rPr>
        <w:t xml:space="preserve">Cyber Financial Fraud Investigation — Money Trail, Layering &amp; Mule Account Analysis</w:t>
      </w:r>
    </w:p>
    <w:p>
      <w:pPr>
        <w:spacing w:before="600"/>
        <w:jc w:val="center"/>
      </w:pPr>
      <w:r>
        <w:rPr>
          <w:rFonts w:ascii="Calibri" w:cs="Calibri" w:eastAsia="Calibri" w:hAnsi="Calibri"/>
          <w:b/>
          <w:bCs/>
          <w:sz w:val="30"/>
          <w:szCs w:val="30"/>
        </w:rPr>
        <w:t xml:space="preserve">Case Acknowledgement No. 31901260013198</w:t>
      </w:r>
    </w:p>
    <w:p>
      <w:pPr>
        <w:spacing w:before="800"/>
        <w:jc w:val="center"/>
      </w:pPr>
      <w:r>
        <w:rPr>
          <w:rFonts w:ascii="Calibri" w:cs="Calibri" w:eastAsia="Calibri" w:hAnsi="Calibri"/>
          <w:sz w:val="24"/>
          <w:szCs w:val="24"/>
        </w:rPr>
        <w:t xml:space="preserve">Prepared for: Pune City Police — Cyber Crime Cell</w:t>
      </w:r>
    </w:p>
    <w:p>
      <w:pPr>
        <w:spacing w:before="100"/>
        <w:jc w:val="center"/>
      </w:pPr>
      <w:r>
        <w:rPr>
          <w:rFonts w:ascii="Calibri" w:cs="Calibri" w:eastAsia="Calibri" w:hAnsi="Calibri"/>
          <w:color w:val="595959"/>
          <w:sz w:val="22"/>
          <w:szCs w:val="22"/>
        </w:rPr>
        <w:t xml:space="preserve">Analysis Platform: FraudLens — GNN-Based Financial Fraud Intelligence Platform</w:t>
      </w:r>
    </w:p>
    <w:p>
      <w:pPr>
        <w:spacing w:before="1000"/>
        <w:jc w:val="center"/>
      </w:pPr>
      <w:r>
        <w:rPr>
          <w:rFonts w:ascii="Calibri" w:cs="Calibri" w:eastAsia="Calibri" w:hAnsi="Calibri"/>
          <w:b/>
          <w:bCs/>
          <w:color w:val="C00000"/>
          <w:sz w:val="22"/>
          <w:szCs w:val="22"/>
        </w:rPr>
        <w:t xml:space="preserve">CLASSIFICATION: FOR OFFICIAL / LAW ENFORCEMENT USE ONLY</w:t>
      </w:r>
    </w:p>
    <w:p>
      <w:pPr>
        <w:spacing w:before="2400"/>
        <w:jc w:val="center"/>
      </w:pPr>
      <w:r>
        <w:rPr>
          <w:rFonts w:ascii="Calibri" w:cs="Calibri" w:eastAsia="Calibri" w:hAnsi="Calibri"/>
          <w:sz w:val="22"/>
          <w:szCs w:val="22"/>
        </w:rPr>
        <w:t xml:space="preserve">Prepared by: _______________________________</w:t>
      </w:r>
    </w:p>
    <w:p>
      <w:pPr>
        <w:spacing w:before="200"/>
        <w:jc w:val="center"/>
      </w:pPr>
      <w:r>
        <w:rPr>
          <w:rFonts w:ascii="Calibri" w:cs="Calibri" w:eastAsia="Calibri" w:hAnsi="Calibri"/>
          <w:sz w:val="22"/>
          <w:szCs w:val="22"/>
        </w:rPr>
        <w:t xml:space="preserve">Reviewed by: _______________________________</w:t>
      </w:r>
    </w:p>
    <w:p>
      <w:pPr>
        <w:spacing w:before="200"/>
        <w:jc w:val="center"/>
      </w:pPr>
      <w:r>
        <w:rPr>
          <w:rFonts w:ascii="Calibri" w:cs="Calibri" w:eastAsia="Calibri" w:hAnsi="Calibri"/>
          <w:sz w:val="22"/>
          <w:szCs w:val="22"/>
        </w:rPr>
        <w:t xml:space="preserve">Date of Submission: _______________________________</w:t>
      </w:r>
    </w:p>
    <w:p>
      <w:r>
        <w:br w:type="page"/>
      </w:r>
    </w:p>
    <w:p>
      <w:pPr>
        <w:pStyle w:val="Heading1"/>
        <w:spacing w:after="200" w:before="360"/>
      </w:pPr>
      <w:r>
        <w:rPr>
          <w:rFonts w:ascii="Calibri" w:cs="Calibri" w:eastAsia="Calibri" w:hAnsi="Calibri"/>
          <w:b/>
          <w:bCs/>
          <w:color w:val="1F3864"/>
          <w:sz w:val="30"/>
          <w:szCs w:val="30"/>
        </w:rPr>
        <w:t xml:space="preserve">TABLE OF CONTENTS</w:t>
      </w:r>
    </w:p>
    <w:p>
      <w:pPr>
        <w:spacing w:after="140" w:before="0"/>
      </w:pPr>
      <w:r>
        <w:rPr>
          <w:rFonts w:ascii="Calibri" w:cs="Calibri" w:eastAsia="Calibri" w:hAnsi="Calibri"/>
          <w:sz w:val="24"/>
          <w:szCs w:val="24"/>
        </w:rPr>
        <w:t xml:space="preserve">1. Executive Summary</w:t>
      </w:r>
    </w:p>
    <w:p>
      <w:pPr>
        <w:spacing w:after="140" w:before="0"/>
      </w:pPr>
      <w:r>
        <w:rPr>
          <w:rFonts w:ascii="Calibri" w:cs="Calibri" w:eastAsia="Calibri" w:hAnsi="Calibri"/>
          <w:sz w:val="24"/>
          <w:szCs w:val="24"/>
        </w:rPr>
        <w:t xml:space="preserve">2. Case Overview &amp; Data Inventory</w:t>
      </w:r>
    </w:p>
    <w:p>
      <w:pPr>
        <w:spacing w:after="140" w:before="0"/>
      </w:pPr>
      <w:r>
        <w:rPr>
          <w:rFonts w:ascii="Calibri" w:cs="Calibri" w:eastAsia="Calibri" w:hAnsi="Calibri"/>
          <w:sz w:val="24"/>
          <w:szCs w:val="24"/>
        </w:rPr>
        <w:t xml:space="preserve">3. Methodology &amp; Data Verification Statement</w:t>
      </w:r>
    </w:p>
    <w:p>
      <w:pPr>
        <w:spacing w:after="140" w:before="0"/>
      </w:pPr>
      <w:r>
        <w:rPr>
          <w:rFonts w:ascii="Calibri" w:cs="Calibri" w:eastAsia="Calibri" w:hAnsi="Calibri"/>
          <w:sz w:val="24"/>
          <w:szCs w:val="24"/>
        </w:rPr>
        <w:t xml:space="preserve">4. Key Financial Findings</w:t>
      </w:r>
    </w:p>
    <w:p>
      <w:pPr>
        <w:spacing w:after="140" w:before="0"/>
      </w:pPr>
      <w:r>
        <w:rPr>
          <w:rFonts w:ascii="Calibri" w:cs="Calibri" w:eastAsia="Calibri" w:hAnsi="Calibri"/>
          <w:sz w:val="24"/>
          <w:szCs w:val="24"/>
        </w:rPr>
        <w:t xml:space="preserve">5. Detailed Findings</w:t>
      </w:r>
    </w:p>
    <w:p>
      <w:pPr>
        <w:spacing w:after="140" w:before="0"/>
      </w:pPr>
      <w:r>
        <w:rPr>
          <w:rFonts w:ascii="Calibri" w:cs="Calibri" w:eastAsia="Calibri" w:hAnsi="Calibri"/>
          <w:sz w:val="24"/>
          <w:szCs w:val="24"/>
        </w:rPr>
        <w:t xml:space="preserve">6. Layering &amp; Money Flow Analysis</w:t>
      </w:r>
    </w:p>
    <w:p>
      <w:pPr>
        <w:spacing w:after="140" w:before="0"/>
      </w:pPr>
      <w:r>
        <w:rPr>
          <w:rFonts w:ascii="Calibri" w:cs="Calibri" w:eastAsia="Calibri" w:hAnsi="Calibri"/>
          <w:sz w:val="24"/>
          <w:szCs w:val="24"/>
        </w:rPr>
        <w:t xml:space="preserve">7. Critical Accounts Recommended for Freeze Action</w:t>
      </w:r>
    </w:p>
    <w:p>
      <w:pPr>
        <w:spacing w:after="140" w:before="0"/>
      </w:pPr>
      <w:r>
        <w:rPr>
          <w:rFonts w:ascii="Calibri" w:cs="Calibri" w:eastAsia="Calibri" w:hAnsi="Calibri"/>
          <w:sz w:val="24"/>
          <w:szCs w:val="24"/>
        </w:rPr>
        <w:t xml:space="preserve">8. Cash-Out Trail Summary</w:t>
      </w:r>
    </w:p>
    <w:p>
      <w:pPr>
        <w:spacing w:after="140" w:before="0"/>
      </w:pPr>
      <w:r>
        <w:rPr>
          <w:rFonts w:ascii="Calibri" w:cs="Calibri" w:eastAsia="Calibri" w:hAnsi="Calibri"/>
          <w:sz w:val="24"/>
          <w:szCs w:val="24"/>
        </w:rPr>
        <w:t xml:space="preserve">9. Applicable Legal Provisions</w:t>
      </w:r>
    </w:p>
    <w:p>
      <w:pPr>
        <w:spacing w:after="140" w:before="0"/>
      </w:pPr>
      <w:r>
        <w:rPr>
          <w:rFonts w:ascii="Calibri" w:cs="Calibri" w:eastAsia="Calibri" w:hAnsi="Calibri"/>
          <w:sz w:val="24"/>
          <w:szCs w:val="24"/>
        </w:rPr>
        <w:t xml:space="preserve">10. Recommended Action Plan</w:t>
      </w:r>
    </w:p>
    <w:p>
      <w:pPr>
        <w:spacing w:after="140" w:before="0"/>
      </w:pPr>
      <w:r>
        <w:rPr>
          <w:rFonts w:ascii="Calibri" w:cs="Calibri" w:eastAsia="Calibri" w:hAnsi="Calibri"/>
          <w:sz w:val="24"/>
          <w:szCs w:val="24"/>
        </w:rPr>
        <w:t xml:space="preserve">11. Limitations &amp; Disclaimers</w:t>
      </w:r>
    </w:p>
    <w:p>
      <w:pPr>
        <w:spacing w:after="140" w:before="0"/>
      </w:pPr>
      <w:r>
        <w:rPr>
          <w:rFonts w:ascii="Calibri" w:cs="Calibri" w:eastAsia="Calibri" w:hAnsi="Calibri"/>
          <w:sz w:val="24"/>
          <w:szCs w:val="24"/>
        </w:rPr>
        <w:t xml:space="preserve">12. Annexures</w:t>
      </w:r>
    </w:p>
    <w:p>
      <w:r>
        <w:br w:type="page"/>
      </w:r>
    </w:p>
    <w:p>
      <w:pPr>
        <w:pStyle w:val="Heading1"/>
        <w:spacing w:after="200" w:before="360"/>
      </w:pPr>
      <w:r>
        <w:rPr>
          <w:rFonts w:ascii="Calibri" w:cs="Calibri" w:eastAsia="Calibri" w:hAnsi="Calibri"/>
          <w:b/>
          <w:bCs/>
          <w:color w:val="1F3864"/>
          <w:sz w:val="30"/>
          <w:szCs w:val="30"/>
        </w:rPr>
        <w:t xml:space="preserve">1. EXECUTIVE SUMMARY</w:t>
      </w:r>
    </w:p>
    <w:p>
      <w:pPr>
        <w:spacing w:after="120" w:before="0"/>
      </w:pPr>
      <w:r>
        <w:rPr>
          <w:rFonts w:ascii="Calibri" w:cs="Calibri" w:eastAsia="Calibri" w:hAnsi="Calibri"/>
          <w:sz w:val="22"/>
          <w:szCs w:val="22"/>
        </w:rPr>
        <w:t xml:space="preserve">This report presents a complete forensic financial analysis of Case Acknowledgement No. 31901260013198, a cyber-enabled financial fraud in which Rs. 13,04,23,420 (Rs. 13.04 Crore) was induced out of two victim bank accounts and subsequently routed through a deliberately layered network of mule accounts spanning 13 genuine transaction layers across 70,787 distinct bank/wallet/payment accounts.</w:t>
      </w:r>
    </w:p>
    <w:p>
      <w:pPr>
        <w:spacing w:after="120" w:before="0"/>
      </w:pPr>
      <w:r>
        <w:rPr>
          <w:rFonts w:ascii="Calibri" w:cs="Calibri" w:eastAsia="Calibri" w:hAnsi="Calibri"/>
          <w:sz w:val="22"/>
          <w:szCs w:val="22"/>
        </w:rPr>
        <w:t xml:space="preserve">The analysis covers 88,454 money-transfer records, 32,320 hold/freeze actions, and 1,646 physical cash-out events (ATM, cheque, AEPS and POS combined) — every record supplied in the case export, with no sampling. All figures in this report were independently re-derived at least twice directly from the source data and cross-checked for exact agreement; two genuine data-pipeline discrepancies discovered during that verification process were corrected, and three data-quality anomalies in the source bank records themselves (not introduced by this analysis) are disclosed in Section 5 and Section 11 rather than silently resolved.</w:t>
      </w:r>
    </w:p>
    <w:p>
      <w:pPr>
        <w:pStyle w:val="Heading3"/>
        <w:spacing w:after="120" w:before="200"/>
      </w:pPr>
      <w:r>
        <w:rPr>
          <w:rFonts w:ascii="Calibri" w:cs="Calibri" w:eastAsia="Calibri" w:hAnsi="Calibri"/>
          <w:b/>
          <w:bCs/>
          <w:color w:val="C00000"/>
          <w:sz w:val="23"/>
          <w:szCs w:val="23"/>
        </w:rPr>
        <w:t xml:space="preserve">Headline Findings</w:t>
      </w:r>
    </w:p>
    <w:p>
      <w:pPr>
        <w:pStyle w:val="ListParagraph"/>
        <w:numPr>
          <w:ilvl w:val="0"/>
          <w:numId w:val="2"/>
        </w:numPr>
        <w:spacing w:after="90"/>
      </w:pPr>
      <w:r>
        <w:rPr>
          <w:rFonts w:ascii="Calibri" w:cs="Calibri" w:eastAsia="Calibri" w:hAnsi="Calibri"/>
          <w:sz w:val="22"/>
          <w:szCs w:val="22"/>
        </w:rPr>
        <w:t xml:space="preserve">Of the gross layered volume of Rs. 301.81 Crore, a single channel — 8 accounts disguising transfers as UPI payment-gateway settlements to real NBFC/fintech brand names (Meesho, Cholamandalam Finance, Five-Star Business Finance, and others) — accounts for Rs. 113.96 Crore, roughly 38% of all money movement traced in this case. This is the single highest-value lead in the case.</w:t>
      </w:r>
    </w:p>
    <w:p>
      <w:pPr>
        <w:pStyle w:val="ListParagraph"/>
        <w:numPr>
          <w:ilvl w:val="0"/>
          <w:numId w:val="2"/>
        </w:numPr>
        <w:spacing w:after="90"/>
      </w:pPr>
      <w:r>
        <w:rPr>
          <w:rFonts w:ascii="Calibri" w:cs="Calibri" w:eastAsia="Calibri" w:hAnsi="Calibri"/>
          <w:sz w:val="22"/>
          <w:szCs w:val="22"/>
        </w:rPr>
        <w:t xml:space="preserve">Three individual transactions exceed Rs. 17 Crore each; one of these (Rs. 17.85 Crore per the structured ledger field) carries an unresolved 10x discrepancy against its own remark text (which states Rs. 178.55 Crore) and requires direct confirmation from the originating bank.</w:t>
      </w:r>
    </w:p>
    <w:p>
      <w:pPr>
        <w:pStyle w:val="ListParagraph"/>
        <w:numPr>
          <w:ilvl w:val="0"/>
          <w:numId w:val="2"/>
        </w:numPr>
        <w:spacing w:after="90"/>
      </w:pPr>
      <w:r>
        <w:rPr>
          <w:rFonts w:ascii="Calibri" w:cs="Calibri" w:eastAsia="Calibri" w:hAnsi="Calibri"/>
          <w:sz w:val="22"/>
          <w:szCs w:val="22"/>
        </w:rPr>
        <w:t xml:space="preserve">The reported apparent layering depth of 42 layers is partly artificial: layers 14 through 42 consist entirely of two accounts repeatedly bouncing the same ~Rs. 5,000 back and forth to inflate the apparent chain length. Genuine, distinct-entity layering reaches 13 levels.</w:t>
      </w:r>
    </w:p>
    <w:p>
      <w:pPr>
        <w:pStyle w:val="ListParagraph"/>
        <w:numPr>
          <w:ilvl w:val="0"/>
          <w:numId w:val="2"/>
        </w:numPr>
        <w:spacing w:after="90"/>
      </w:pPr>
      <w:r>
        <w:rPr>
          <w:rFonts w:ascii="Calibri" w:cs="Calibri" w:eastAsia="Calibri" w:hAnsi="Calibri"/>
          <w:sz w:val="22"/>
          <w:szCs w:val="22"/>
        </w:rPr>
        <w:t xml:space="preserve">Rs. 2,40,75,459 has been frozen/held and Rs. 2,27,95,319 has already been withdrawn as physical cash — together accounting for roughly 36% of the traced Rs. 13.04 Crore victim loss. Time-sensitive freeze action is recommended on the 60 critical accounts identified in Section 7.</w:t>
      </w:r>
    </w:p>
    <w:p>
      <w:pPr>
        <w:pStyle w:val="ListParagraph"/>
        <w:numPr>
          <w:ilvl w:val="0"/>
          <w:numId w:val="2"/>
        </w:numPr>
        <w:spacing w:after="90"/>
      </w:pPr>
      <w:r>
        <w:rPr>
          <w:rFonts w:ascii="Calibri" w:cs="Calibri" w:eastAsia="Calibri" w:hAnsi="Calibri"/>
          <w:sz w:val="22"/>
          <w:szCs w:val="22"/>
        </w:rPr>
        <w:t xml:space="preserve">The amount quoted at case intake (~Rs. 22 Crore) does not reconcile exactly with either the traced Layer-1 loss (Rs. 13.04 Crore) or the all-layer disputed total (Rs. 37.89 Crore); this gap is flagged for reconciliation against the original FIR/NCRP complaint in Section 5.</w:t>
      </w:r>
    </w:p>
    <w:p>
      <w:pPr>
        <w:spacing w:after="200" w:before="0"/>
      </w:pPr>
      <w:r>
        <w:rPr>
          <w:rFonts w:ascii="Calibri" w:cs="Calibri" w:eastAsia="Calibri" w:hAnsi="Calibri"/>
          <w:sz w:val="22"/>
          <w:szCs w:val="22"/>
        </w:rPr>
        <w:t xml:space="preserve">Section 10 sets out a prioritised action plan, and Section 9 maps the findings in this report to specific provisions of the Bharatiya Nyaya Sanhita, the Information Technology Act, and the Prevention of Money Laundering Act for chargesheet preparation.</w:t>
      </w:r>
    </w:p>
    <w:p>
      <w:pPr>
        <w:pStyle w:val="Heading1"/>
        <w:spacing w:after="200" w:before="360"/>
      </w:pPr>
      <w:r>
        <w:rPr>
          <w:rFonts w:ascii="Calibri" w:cs="Calibri" w:eastAsia="Calibri" w:hAnsi="Calibri"/>
          <w:b/>
          <w:bCs/>
          <w:color w:val="1F3864"/>
          <w:sz w:val="30"/>
          <w:szCs w:val="30"/>
        </w:rPr>
        <w:t xml:space="preserve">2. CASE OVERVIEW &amp; DATA INVENTORY</w:t>
      </w:r>
    </w:p>
    <w:p>
      <w:pPr>
        <w:spacing w:after="120" w:before="0"/>
      </w:pPr>
      <w:r>
        <w:rPr>
          <w:rFonts w:ascii="Calibri" w:cs="Calibri" w:eastAsia="Calibri" w:hAnsi="Calibri"/>
          <w:sz w:val="22"/>
          <w:szCs w:val="22"/>
        </w:rPr>
        <w:t xml:space="preserve">Acknowledgement No. 31901260013198 is a single complaint (confirmed by direct inspection — every one of the 88,454 transfer records carries this same acknowledgement number). The traced transaction activity spans 2024-12-24 to 2026-02-09 (77 active days), with two isolated exceptions noted in Section 11.</w:t>
      </w:r>
    </w:p>
    <w:p>
      <w:pPr>
        <w:pStyle w:val="Heading3"/>
        <w:spacing w:after="120" w:before="200"/>
      </w:pPr>
      <w:r>
        <w:rPr>
          <w:rFonts w:ascii="Calibri" w:cs="Calibri" w:eastAsia="Calibri" w:hAnsi="Calibri"/>
          <w:b/>
          <w:bCs/>
          <w:color w:val="C00000"/>
          <w:sz w:val="23"/>
          <w:szCs w:val="23"/>
        </w:rPr>
        <w:t xml:space="preserve">2.1 Source Data Inventory</w:t>
      </w:r>
    </w:p>
    <w:p>
      <w:pPr>
        <w:spacing w:after="120" w:before="0"/>
      </w:pPr>
      <w:r>
        <w:rPr>
          <w:rFonts w:ascii="Calibri" w:cs="Calibri" w:eastAsia="Calibri" w:hAnsi="Calibri"/>
          <w:sz w:val="22"/>
          <w:szCs w:val="22"/>
        </w:rPr>
        <w:t xml:space="preserve">The original case export contained ten sheets in standard NCRP (National Cybercrime Reporting Portal) format. Every row in every sheet was processed — none were sampled or omitted.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Sheet</w:t>
            </w:r>
          </w:p>
        </w:tc>
        <w:tc>
          <w:tcPr>
            <w:tcW w:type="dxa" w:w="2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Record Count</w:t>
            </w:r>
          </w:p>
        </w:tc>
        <w:tc>
          <w:tcPr>
            <w:tcW w:type="dxa" w:w="36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Description</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Money Transfer to</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88,454</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Account-to-account transfer ledger — the core layering chain</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Transaction put on hold</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32,320</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Bank-initiated freeze/hold actions</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Withdrawal through ATM</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1,125</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Physical cash withdrawal via ATM</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Cash Withdrawal through Cheque</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69</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Physical cash withdrawal via cheque</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AEPS</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415</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Aadhaar-enabled payment system withdrawals</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Withdrawal through POS</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37</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Point-of-sale withdrawals</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Others Less Than 500 / Other / Refund / Security Hold</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3,712</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Supplementary low-value and administrative records</w:t>
            </w:r>
          </w:p>
        </w:tc>
      </w:tr>
    </w:tbl>
    <w:p>
      <w:pPr>
        <w:spacing w:after="120" w:before="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C00000"/>
          <w:sz w:val="23"/>
          <w:szCs w:val="23"/>
        </w:rPr>
        <w:t xml:space="preserve">2.2 Account Universe</w:t>
      </w:r>
    </w:p>
    <w:p>
      <w:pPr>
        <w:spacing w:after="120" w:before="0"/>
      </w:pPr>
      <w:r>
        <w:rPr>
          <w:rFonts w:ascii="Calibri" w:cs="Calibri" w:eastAsia="Calibri" w:hAnsi="Calibri"/>
          <w:sz w:val="22"/>
          <w:szCs w:val="22"/>
        </w:rPr>
        <w:t xml:space="preserve">A total of 70,787 distinct accounts (bank accounts, wallets, payment gateway IDs) appear across the case data. Of these, 69,744 are part of the traced money-transfer chain; the remaining 1,031 + 12 accounts were identified only via Hold, ATM or POS records with no corresponding transfer entry (see Section 11) and are included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Account Role</w:t>
            </w:r>
          </w:p>
        </w:tc>
        <w:tc>
          <w:tcPr>
            <w:tcW w:type="dxa" w:w="2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Count</w:t>
            </w:r>
          </w:p>
        </w:tc>
        <w:tc>
          <w:tcPr>
            <w:tcW w:type="dxa" w:w="36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Definition</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Hub</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82</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Receives from 3+ and forwards to 3+ distinct accounts — central layering points</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Terminal</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47,330</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Received funds, never forwarded onward in this chain</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Pass-Through</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21,963</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Received and forwarded, but below the Hub threshold</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Source</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369</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Only sends within this chain (includes the 2 victim origin accounts)</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Untraced Receipt</w:t>
            </w:r>
          </w:p>
        </w:tc>
        <w:tc>
          <w:tcPr>
            <w:tcW w:type="dxa" w:w="2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1,031</w:t>
            </w:r>
          </w:p>
        </w:tc>
        <w:tc>
          <w:tcPr>
            <w:tcW w:type="dxa" w:w="36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Cashed out or held, but no transfer record in this export</w:t>
            </w:r>
          </w:p>
        </w:tc>
      </w:tr>
    </w:tbl>
    <w:p>
      <w:r>
        <w:br w:type="page"/>
      </w:r>
    </w:p>
    <w:p>
      <w:pPr>
        <w:pStyle w:val="Heading1"/>
        <w:spacing w:after="200" w:before="360"/>
      </w:pPr>
      <w:r>
        <w:rPr>
          <w:rFonts w:ascii="Calibri" w:cs="Calibri" w:eastAsia="Calibri" w:hAnsi="Calibri"/>
          <w:b/>
          <w:bCs/>
          <w:color w:val="1F3864"/>
          <w:sz w:val="30"/>
          <w:szCs w:val="30"/>
        </w:rPr>
        <w:t xml:space="preserve">3. METHODOLOGY &amp; DATA VERIFICATION STATEMENT</w:t>
      </w:r>
    </w:p>
    <w:p>
      <w:pPr>
        <w:pStyle w:val="Heading3"/>
        <w:spacing w:after="120" w:before="200"/>
      </w:pPr>
      <w:r>
        <w:rPr>
          <w:rFonts w:ascii="Calibri" w:cs="Calibri" w:eastAsia="Calibri" w:hAnsi="Calibri"/>
          <w:b/>
          <w:bCs/>
          <w:color w:val="C00000"/>
          <w:sz w:val="23"/>
          <w:szCs w:val="23"/>
        </w:rPr>
        <w:t xml:space="preserve">3.1 Analytical Approach</w:t>
      </w:r>
    </w:p>
    <w:p>
      <w:pPr>
        <w:spacing w:after="120" w:before="0"/>
      </w:pPr>
      <w:r>
        <w:rPr>
          <w:rFonts w:ascii="Calibri" w:cs="Calibri" w:eastAsia="Calibri" w:hAnsi="Calibri"/>
          <w:sz w:val="22"/>
          <w:szCs w:val="22"/>
        </w:rPr>
        <w:t xml:space="preserve">This analysis used full-dataset computational aggregation (not sampling) over every record in every sheet of the case export. Account-level network metrics — fan-in, fan-out, inflow/outflow totals, and layering position — were computed by grouping the complete transaction ledger by account, not by manual review of individual rows. Manual, human-readable drill-down was then applied only to the resulting shortlist of highest-priority accounts (Section 7) and specific anomalies (Section 5).</w:t>
      </w:r>
    </w:p>
    <w:p>
      <w:pPr>
        <w:pStyle w:val="Heading3"/>
        <w:spacing w:after="120" w:before="200"/>
      </w:pPr>
      <w:r>
        <w:rPr>
          <w:rFonts w:ascii="Calibri" w:cs="Calibri" w:eastAsia="Calibri" w:hAnsi="Calibri"/>
          <w:b/>
          <w:bCs/>
          <w:color w:val="C00000"/>
          <w:sz w:val="23"/>
          <w:szCs w:val="23"/>
        </w:rPr>
        <w:t xml:space="preserve">3.2 Verification Statement</w:t>
      </w:r>
    </w:p>
    <w:p>
      <w:pPr>
        <w:spacing w:after="120" w:before="0"/>
      </w:pPr>
      <w:r>
        <w:rPr>
          <w:rFonts w:ascii="Calibri" w:cs="Calibri" w:eastAsia="Calibri" w:hAnsi="Calibri"/>
          <w:sz w:val="22"/>
          <w:szCs w:val="22"/>
        </w:rPr>
        <w:t xml:space="preserve">Every headline figure in this report was independently re-derived directly from the raw source file at least twice — once during initial analysis and once during a dedicated audit pass — and accepted only on exact agreement between both derivations. This verification process surfaced two genuine data-pipeline issues, both corrected prior to finalising this report:</w:t>
      </w:r>
    </w:p>
    <w:p>
      <w:pPr>
        <w:pStyle w:val="ListParagraph"/>
        <w:numPr>
          <w:ilvl w:val="0"/>
          <w:numId w:val="2"/>
        </w:numPr>
        <w:spacing w:after="90"/>
      </w:pPr>
      <w:r>
        <w:rPr>
          <w:rFonts w:ascii="Calibri" w:cs="Calibri" w:eastAsia="Calibri" w:hAnsi="Calibri"/>
          <w:sz w:val="22"/>
          <w:szCs w:val="22"/>
        </w:rPr>
        <w:t xml:space="preserve">Total physical cash-out was initially understated by Rs. 1,07,208 because 17 withdrawal records (16 ATM + 1 POS) belonged to accounts with no corresponding entry in the Money Transfer sheet and were dropped by an account-matching step. Corrected to the verified total of Rs. 2,27,95,319.24, confirmed to match the raw withdrawal sheets exactly.</w:t>
      </w:r>
    </w:p>
    <w:p>
      <w:pPr>
        <w:pStyle w:val="ListParagraph"/>
        <w:numPr>
          <w:ilvl w:val="0"/>
          <w:numId w:val="2"/>
        </w:numPr>
        <w:spacing w:after="90"/>
      </w:pPr>
      <w:r>
        <w:rPr>
          <w:rFonts w:ascii="Calibri" w:cs="Calibri" w:eastAsia="Calibri" w:hAnsi="Calibri"/>
          <w:sz w:val="22"/>
          <w:szCs w:val="22"/>
        </w:rPr>
        <w:t xml:space="preserve">The account universe was found to be missing 1,030 accounts that appear only in the Hold/ATM/POS sheets. The universe was expanded from 69,757 to 70,787 accounts and these are labelled "Untraced Receipt" throughout this report.</w:t>
      </w:r>
    </w:p>
    <w:p>
      <w:pPr>
        <w:spacing w:after="120" w:before="0"/>
      </w:pPr>
      <w:r>
        <w:rPr>
          <w:rFonts w:ascii="Calibri" w:cs="Calibri" w:eastAsia="Calibri" w:hAnsi="Calibri"/>
          <w:sz w:val="22"/>
          <w:szCs w:val="22"/>
        </w:rPr>
        <w:t xml:space="preserve">All other figures — including every individual finding in Section 5 — were confirmed exact on independent re-derivation with no discrepancy. Three further observations are data-quality characteristics of the source bank records themselves (not analytical errors) and are disclosed in Section 5 (Finding F-02) and Section 11 rather than silently resolved one way or the other.</w:t>
      </w:r>
    </w:p>
    <w:p>
      <w:pPr>
        <w:pStyle w:val="Heading3"/>
        <w:spacing w:after="120" w:before="200"/>
      </w:pPr>
      <w:r>
        <w:rPr>
          <w:rFonts w:ascii="Calibri" w:cs="Calibri" w:eastAsia="Calibri" w:hAnsi="Calibri"/>
          <w:b/>
          <w:bCs/>
          <w:color w:val="C00000"/>
          <w:sz w:val="23"/>
          <w:szCs w:val="23"/>
        </w:rPr>
        <w:t xml:space="preserve">3.3 Tools and Standards</w:t>
      </w:r>
    </w:p>
    <w:p>
      <w:pPr>
        <w:spacing w:after="120" w:before="0"/>
      </w:pPr>
      <w:r>
        <w:rPr>
          <w:rFonts w:ascii="Calibri" w:cs="Calibri" w:eastAsia="Calibri" w:hAnsi="Calibri"/>
          <w:sz w:val="22"/>
          <w:szCs w:val="22"/>
        </w:rPr>
        <w:t xml:space="preserve">Analysis was performed using Python/pandas full-dataset aggregation. All monetary figures are stated in Indian Rupees (Rs.) as recorded in the source bank data; no currency conversion was applied. "Crore" = 1,00,00,000; "Lakh" = 1,00,000.</w:t>
      </w:r>
    </w:p>
    <w:p>
      <w:r>
        <w:br w:type="page"/>
      </w:r>
    </w:p>
    <w:p>
      <w:pPr>
        <w:pStyle w:val="Heading1"/>
        <w:spacing w:after="200" w:before="360"/>
      </w:pPr>
      <w:r>
        <w:rPr>
          <w:rFonts w:ascii="Calibri" w:cs="Calibri" w:eastAsia="Calibri" w:hAnsi="Calibri"/>
          <w:b/>
          <w:bCs/>
          <w:color w:val="1F3864"/>
          <w:sz w:val="30"/>
          <w:szCs w:val="30"/>
        </w:rPr>
        <w:t xml:space="preserve">4. KEY FINANCIAL FINDINGS</w:t>
      </w:r>
    </w:p>
    <w:p>
      <w:pPr>
        <w:pStyle w:val="Heading3"/>
        <w:spacing w:after="120" w:before="200"/>
      </w:pPr>
      <w:r>
        <w:rPr>
          <w:rFonts w:ascii="Calibri" w:cs="Calibri" w:eastAsia="Calibri" w:hAnsi="Calibri"/>
          <w:b/>
          <w:bCs/>
          <w:color w:val="C00000"/>
          <w:sz w:val="23"/>
          <w:szCs w:val="23"/>
        </w:rPr>
        <w:t xml:space="preserve">4.1 Headline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Metric</w:t>
            </w:r>
          </w:p>
        </w:tc>
        <w:tc>
          <w:tcPr>
            <w:tcW w:type="dxa" w:w="24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Amount (Rs.)</w:t>
            </w:r>
          </w:p>
        </w:tc>
        <w:tc>
          <w:tcPr>
            <w:tcW w:type="dxa" w:w="24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Crore / Lakh</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Victim loss — traced (Layer 1, two origin accounts)</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13,04,23,420</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13.04 Crore</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Case-intake figure quoted (unreconciled — see Section 5, F-05)</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22,00,00,000 (approx.)</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22.00 Crore</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Total disputed amount, all layers (double-counts recirculated funds)</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37,88,95,804</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37.89 Crore</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Gross layered transfer volume (all 88,454 transfer records)</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3,01,80,95,027</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301.81 Crore</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Amount placed on hold / frozen by banks</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2,40,75,458</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2.41 Crore</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Amount withdrawn as physical cash (ATM+Cheque+AEPS+POS)</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2,27,95,319</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2.28 Crore</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Volume routed through payment-gateway settlement abuse (8 accounts)</w:t>
            </w:r>
          </w:p>
        </w:tc>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1,13,95,86,716</w:t>
            </w:r>
          </w:p>
        </w:tc>
        <w:tc>
          <w:tcPr>
            <w:tcW w:type="dxa" w:w="2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113.96 Crore</w:t>
            </w:r>
          </w:p>
        </w:tc>
      </w:tr>
    </w:tbl>
    <w:p>
      <w:pPr>
        <w:spacing w:after="120" w:before="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C00000"/>
          <w:sz w:val="23"/>
          <w:szCs w:val="23"/>
        </w:rPr>
        <w:t xml:space="preserve">4.2 Funds Accounted For vs. Traced Loss</w:t>
      </w:r>
    </w:p>
    <w:p>
      <w:pPr>
        <w:spacing w:after="120" w:before="0"/>
      </w:pPr>
      <w:r>
        <w:rPr>
          <w:rFonts w:ascii="Calibri" w:cs="Calibri" w:eastAsia="Calibri" w:hAnsi="Calibri"/>
          <w:sz w:val="22"/>
          <w:szCs w:val="22"/>
        </w:rPr>
        <w:t xml:space="preserve">Against the traced Layer-1 loss of Rs. 13.04 Crore, a combined Rs. 4.69 Crore has been either frozen or already withdrawn as cash — meaning roughly 36% of the traced loss is accounted for (frozen, recoverable in part, or already gone). The remainder is presumed to still be sitting in, or have passed through, the accounts identified in Section 7, which is why time-sensitive freeze action on that list is the top recommendation of this report.</w:t>
      </w:r>
    </w:p>
    <w:p>
      <w:pPr>
        <w:pStyle w:val="Heading3"/>
        <w:spacing w:after="120" w:before="200"/>
      </w:pPr>
      <w:r>
        <w:rPr>
          <w:rFonts w:ascii="Calibri" w:cs="Calibri" w:eastAsia="Calibri" w:hAnsi="Calibri"/>
          <w:b/>
          <w:bCs/>
          <w:color w:val="C00000"/>
          <w:sz w:val="23"/>
          <w:szCs w:val="23"/>
        </w:rPr>
        <w:t xml:space="preserve">4.3 Top Banks / Financial Institutions by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126"/>
      </w:tblGrid>
      <w:tr>
        <w:trPr>
          <w:tblHeader/>
        </w:trPr>
        <w:tc>
          <w:tcPr>
            <w:tcW w:type="dxa" w:w="4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Bank / Financial Institution</w:t>
            </w:r>
          </w:p>
        </w:tc>
        <w:tc>
          <w:tcPr>
            <w:tcW w:type="dxa" w:w="27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Amount (Rs.)</w:t>
            </w:r>
          </w:p>
        </w:tc>
        <w:tc>
          <w:tcPr>
            <w:tcW w:type="dxa" w:w="21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Transactions</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State Bank of India</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61,42,15,423</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15,629</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ICICI Bank</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48,42,58,641</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1,216</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Axis Bank</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33,70,99,396</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2,957</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HDFC Bank</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22,74,80,871</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2,644</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Union Bank of India</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20,77,38,258</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3,646</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IndusInd Bank</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20,54,35,687</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1,144</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Kotak Mahindra Bank</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19,51,62,144</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3,438</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Ratnakar Bank Limited</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19,04,01,488</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214</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Yes Bank</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15,22,75,937</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3,208</w:t>
            </w:r>
          </w:p>
        </w:tc>
      </w:tr>
      <w:tr>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Others</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9,06,62,246</w:t>
            </w:r>
          </w:p>
        </w:tc>
        <w:tc>
          <w:tcPr>
            <w:tcW w:type="dxa" w:w="21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2,962</w:t>
            </w:r>
          </w:p>
        </w:tc>
      </w:tr>
    </w:tbl>
    <w:p>
      <w:r>
        <w:br w:type="page"/>
      </w:r>
    </w:p>
    <w:p>
      <w:pPr>
        <w:pStyle w:val="Heading1"/>
        <w:spacing w:after="200" w:before="360"/>
      </w:pPr>
      <w:r>
        <w:rPr>
          <w:rFonts w:ascii="Calibri" w:cs="Calibri" w:eastAsia="Calibri" w:hAnsi="Calibri"/>
          <w:b/>
          <w:bCs/>
          <w:color w:val="1F3864"/>
          <w:sz w:val="30"/>
          <w:szCs w:val="30"/>
        </w:rPr>
        <w:t xml:space="preserve">5. DETAILED FINDINGS</w:t>
      </w:r>
    </w:p>
    <w:p>
      <w:pPr>
        <w:spacing w:after="80" w:before="260"/>
      </w:pPr>
      <w:r>
        <w:rPr>
          <w:rFonts w:ascii="Calibri" w:cs="Calibri" w:eastAsia="Calibri" w:hAnsi="Calibri"/>
          <w:b/>
          <w:bCs/>
          <w:color w:val="C00000"/>
          <w:sz w:val="24"/>
          <w:szCs w:val="24"/>
        </w:rPr>
        <w:t xml:space="preserve">F-01  [CRITICAL]  </w:t>
      </w:r>
      <w:r>
        <w:rPr>
          <w:rFonts w:ascii="Calibri" w:cs="Calibri" w:eastAsia="Calibri" w:hAnsi="Calibri"/>
          <w:b/>
          <w:bCs/>
          <w:color w:val="1F3864"/>
          <w:sz w:val="24"/>
          <w:szCs w:val="24"/>
        </w:rPr>
        <w:t xml:space="preserve">Payment-gateway settlement channel abused to move Rs.113.96 crore</w:t>
      </w:r>
    </w:p>
    <w:p>
      <w:pPr>
        <w:spacing w:after="60" w:before="0"/>
      </w:pPr>
      <w:r>
        <w:rPr>
          <w:rFonts w:ascii="Calibri" w:cs="Calibri" w:eastAsia="Calibri" w:hAnsi="Calibri"/>
          <w:sz w:val="21"/>
          <w:szCs w:val="21"/>
        </w:rPr>
        <w:t xml:space="preserve">Just 8 sender accounts moved a combined Rs.1,139,586,716 (38% of total gross transfer volume) disguised as UPI payment-gateway settlements to well-known NBFC/fintech/e-commerce brand names (Meesho Limited, Cholamandalam Investment &amp; Finance, Five-Star Business Finance, DSP Finance, Thangamayil Jewellery, The Kerala State Financial Enterprises, Delhivery, and others). Individual 'settlement' amounts of Rs.1.16 crore to Rs.23.3 crore in a single UPI transaction are inconsistent with genuine retail/consumer payment activity for these brands, indicating the merchant identity or virtual account was spoofed, compromised, or knowingly misused to launder funds under cover of legitimate business settlement traffic.</w:t>
      </w:r>
    </w:p>
    <w:p>
      <w:pPr>
        <w:spacing w:after="200" w:before="0"/>
      </w:pPr>
      <w:r>
        <w:rPr>
          <w:rFonts w:ascii="Calibri" w:cs="Calibri" w:eastAsia="Calibri" w:hAnsi="Calibri"/>
          <w:i/>
          <w:iCs/>
          <w:color w:val="595959"/>
          <w:sz w:val="19"/>
          <w:szCs w:val="19"/>
        </w:rPr>
        <w:t xml:space="preserve">Evidence: 34 transactions, Layer 1-10, Remarks field contains full Razorpay-style payment_id/merchant_name/IP/phone/email metadata. Independently re-verified against raw source file.</w:t>
      </w:r>
    </w:p>
    <w:p>
      <w:pPr>
        <w:spacing w:after="80" w:before="260"/>
      </w:pPr>
      <w:r>
        <w:rPr>
          <w:rFonts w:ascii="Calibri" w:cs="Calibri" w:eastAsia="Calibri" w:hAnsi="Calibri"/>
          <w:b/>
          <w:bCs/>
          <w:color w:val="C00000"/>
          <w:sz w:val="24"/>
          <w:szCs w:val="24"/>
        </w:rPr>
        <w:t xml:space="preserve">F-02  [CRITICAL]  </w:t>
      </w:r>
      <w:r>
        <w:rPr>
          <w:rFonts w:ascii="Calibri" w:cs="Calibri" w:eastAsia="Calibri" w:hAnsi="Calibri"/>
          <w:b/>
          <w:bCs/>
          <w:color w:val="1F3864"/>
          <w:sz w:val="24"/>
          <w:szCs w:val="24"/>
        </w:rPr>
        <w:t xml:space="preserve">Three single transactions exceed Rs.17 crore each; one carries a 10x amount discrepancy requiring bank confirmation</w:t>
      </w:r>
    </w:p>
    <w:p>
      <w:pPr>
        <w:spacing w:after="60" w:before="0"/>
      </w:pPr>
      <w:r>
        <w:rPr>
          <w:rFonts w:ascii="Calibri" w:cs="Calibri" w:eastAsia="Calibri" w:hAnsi="Calibri"/>
          <w:sz w:val="21"/>
          <w:szCs w:val="21"/>
        </w:rPr>
        <w:t xml:space="preserve">The three largest individual movements in the entire case are: (1) Rs.234,439,310 NEFT to SBI account 44237972083 at Layer 10, tagged as a P2M settlement (01 Jan 2026). (2) Rs.191,622,010 UPI debit to Union Bank account 191622010002244 at Layer 4 (06 Jan 2026). (3) Rs.178,545,941 to SBI account 00000011083986979 at Layer 7 (07 Jan 2026) - but this transaction's own Remarks field states 'Transaction amount is INR 1785459418.66' (Rs.178.55 crore), exactly 10x the value recorded in the structured Transaction Amount column. This is an isolated occurrence (the only row in the dataset with this remark pattern), so it is not a systemic parsing error in this report - but it means the true value of transaction #3 is unresolved between Rs.17.85 crore and Rs.178.55 crore pending verification against the originating bank's own ledger via UTR. This report uses the structured field (Rs.17.85 crore) for all totals, consistent with standard practice, but flags the discrepancy explicitly rather than silently picking a number.</w:t>
      </w:r>
    </w:p>
    <w:p>
      <w:pPr>
        <w:spacing w:after="200" w:before="0"/>
      </w:pPr>
      <w:r>
        <w:rPr>
          <w:rFonts w:ascii="Calibri" w:cs="Calibri" w:eastAsia="Calibri" w:hAnsi="Calibri"/>
          <w:i/>
          <w:iCs/>
          <w:color w:val="595959"/>
          <w:sz w:val="19"/>
          <w:szCs w:val="19"/>
        </w:rPr>
        <w:t xml:space="preserve">Evidence: UTR AXNGG00125628032 (txn 1); Layer-4 UPI/DR narration (txn 2); Remarks text mismatch confirmed on direct inspection (txn 3)</w:t>
      </w:r>
    </w:p>
    <w:p>
      <w:pPr>
        <w:spacing w:after="80" w:before="260"/>
      </w:pPr>
      <w:r>
        <w:rPr>
          <w:rFonts w:ascii="Calibri" w:cs="Calibri" w:eastAsia="Calibri" w:hAnsi="Calibri"/>
          <w:b/>
          <w:bCs/>
          <w:color w:val="D2691E"/>
          <w:sz w:val="24"/>
          <w:szCs w:val="24"/>
        </w:rPr>
        <w:t xml:space="preserve">F-03  [HIGH]  </w:t>
      </w:r>
      <w:r>
        <w:rPr>
          <w:rFonts w:ascii="Calibri" w:cs="Calibri" w:eastAsia="Calibri" w:hAnsi="Calibri"/>
          <w:b/>
          <w:bCs/>
          <w:color w:val="1F3864"/>
          <w:sz w:val="24"/>
          <w:szCs w:val="24"/>
        </w:rPr>
        <w:t xml:space="preserve">Artificial layer-depth inflation via 2-account ping-pong loop (Layers 14-42)</w:t>
      </w:r>
    </w:p>
    <w:p>
      <w:pPr>
        <w:spacing w:after="60" w:before="0"/>
      </w:pPr>
      <w:r>
        <w:rPr>
          <w:rFonts w:ascii="Calibri" w:cs="Calibri" w:eastAsia="Calibri" w:hAnsi="Calibri"/>
          <w:sz w:val="21"/>
          <w:szCs w:val="21"/>
        </w:rPr>
        <w:t xml:space="preserve">From Layer 14 through Layer 42, the same two accounts (918020110872063 - Axis Bank, and 1954104000082846 - IDBI Bank) repeatedly bounce the same Rs.4,000-6,000 back and forth to each other, with a Google Pay self-transfer inserted at each round-trip. This is not genuine deepening of the mule network; it is a single repetitive loop that artificially inflates the apparent layer count from a genuine maximum of 13 to a reported 42. The Axis Bank account in this loop (918020110872063) independently ranks as one of the case's top layering hubs (410 distinct senders, 417 distinct receivers), corroborating its central role.</w:t>
      </w:r>
    </w:p>
    <w:p>
      <w:pPr>
        <w:spacing w:after="200" w:before="0"/>
      </w:pPr>
      <w:r>
        <w:rPr>
          <w:rFonts w:ascii="Calibri" w:cs="Calibri" w:eastAsia="Calibri" w:hAnsi="Calibri"/>
          <w:i/>
          <w:iCs/>
          <w:color w:val="595959"/>
          <w:sz w:val="19"/>
          <w:szCs w:val="19"/>
        </w:rPr>
        <w:t xml:space="preserve">Evidence: 30 transactions confirmed, all between exactly 2 accounts, all within an 08-10 Jan 2026 window</w:t>
      </w:r>
    </w:p>
    <w:p>
      <w:pPr>
        <w:spacing w:after="80" w:before="260"/>
      </w:pPr>
      <w:r>
        <w:rPr>
          <w:rFonts w:ascii="Calibri" w:cs="Calibri" w:eastAsia="Calibri" w:hAnsi="Calibri"/>
          <w:b/>
          <w:bCs/>
          <w:color w:val="D2691E"/>
          <w:sz w:val="24"/>
          <w:szCs w:val="24"/>
        </w:rPr>
        <w:t xml:space="preserve">F-04  [HIGH]  </w:t>
      </w:r>
      <w:r>
        <w:rPr>
          <w:rFonts w:ascii="Calibri" w:cs="Calibri" w:eastAsia="Calibri" w:hAnsi="Calibri"/>
          <w:b/>
          <w:bCs/>
          <w:color w:val="1F3864"/>
          <w:sz w:val="24"/>
          <w:szCs w:val="24"/>
        </w:rPr>
        <w:t xml:space="preserve">Classic structuring/smurfing pattern at Layer 3-4 hub accounts</w:t>
      </w:r>
    </w:p>
    <w:p>
      <w:pPr>
        <w:spacing w:after="60" w:before="0"/>
      </w:pPr>
      <w:r>
        <w:rPr>
          <w:rFonts w:ascii="Calibri" w:cs="Calibri" w:eastAsia="Calibri" w:hAnsi="Calibri"/>
          <w:sz w:val="21"/>
          <w:szCs w:val="21"/>
        </w:rPr>
        <w:t xml:space="preserve">Account 002261100000025 (Yes Bank) received Rs.4,122,725 from 878 distinct senders (1,926 inbound transactions), then forwarded Rs.63,639,858 to 461 distinct receivers across 1,428 outbound transactions with a median value of exactly Rs.1,000. The outbound total (Rs.6.36 crore) is roughly 15x the traced inbound total (Rs.41 lakh) within this case's chain - meaning this account was either also funded from sources outside this case's traced chain, or is a shared mule account also processing other cases' proceeds. Either way, the many-in/many-out small-value fan pattern is consistent with deliberate structuring to stay below transaction-monitoring thresholds.</w:t>
      </w:r>
    </w:p>
    <w:p>
      <w:pPr>
        <w:spacing w:after="200" w:before="0"/>
      </w:pPr>
      <w:r>
        <w:rPr>
          <w:rFonts w:ascii="Calibri" w:cs="Calibri" w:eastAsia="Calibri" w:hAnsi="Calibri"/>
          <w:i/>
          <w:iCs/>
          <w:color w:val="595959"/>
          <w:sz w:val="19"/>
          <w:szCs w:val="19"/>
        </w:rPr>
        <w:t xml:space="preserve">Evidence: Re-verified independently: in_degree=878, out_degree=461, out_count=1428, median outbound=Rs.1,000 exactly</w:t>
      </w:r>
    </w:p>
    <w:p>
      <w:pPr>
        <w:spacing w:after="80" w:before="260"/>
      </w:pPr>
      <w:r>
        <w:rPr>
          <w:rFonts w:ascii="Calibri" w:cs="Calibri" w:eastAsia="Calibri" w:hAnsi="Calibri"/>
          <w:b/>
          <w:bCs/>
          <w:color w:val="D2691E"/>
          <w:sz w:val="24"/>
          <w:szCs w:val="24"/>
        </w:rPr>
        <w:t xml:space="preserve">F-05  [HIGH]  </w:t>
      </w:r>
      <w:r>
        <w:rPr>
          <w:rFonts w:ascii="Calibri" w:cs="Calibri" w:eastAsia="Calibri" w:hAnsi="Calibri"/>
          <w:b/>
          <w:bCs/>
          <w:color w:val="1F3864"/>
          <w:sz w:val="24"/>
          <w:szCs w:val="24"/>
        </w:rPr>
        <w:t xml:space="preserve">Reported case loss figure (Rs.22 crore) does not reconcile with traced Layer-1 disputed amount (Rs.13.04 crore)</w:t>
      </w:r>
    </w:p>
    <w:p>
      <w:pPr>
        <w:spacing w:after="60" w:before="0"/>
      </w:pPr>
      <w:r>
        <w:rPr>
          <w:rFonts w:ascii="Calibri" w:cs="Calibri" w:eastAsia="Calibri" w:hAnsi="Calibri"/>
          <w:sz w:val="21"/>
          <w:szCs w:val="21"/>
        </w:rPr>
        <w:t xml:space="preserve">The Layer-1 disputed amount (the amount that left the two identified origin accounts - 0110104000147200 and 0110104000147194) totals Rs.130,423,420 (~Rs.13.04 crore), not Rs.22 crore. Total disputed amount summed across ALL layers (which double-counts money as it re-circulates through the chain) is Rs.378,895,804 (~Rs.37.89 crore). Neither figure matches Rs.22 crore exactly. This gap should be reconciled against the original FIR/NCRP complaint - it may indicate additional victim accounts or transactions not captured in this export, multiple complainants under this acknowledgement, or a preliminary/estimated figure in the original complaint.</w:t>
      </w:r>
    </w:p>
    <w:p>
      <w:pPr>
        <w:spacing w:after="200" w:before="0"/>
      </w:pPr>
      <w:r>
        <w:rPr>
          <w:rFonts w:ascii="Calibri" w:cs="Calibri" w:eastAsia="Calibri" w:hAnsi="Calibri"/>
          <w:i/>
          <w:iCs/>
          <w:color w:val="595959"/>
          <w:sz w:val="19"/>
          <w:szCs w:val="19"/>
        </w:rPr>
        <w:t xml:space="preserve">Evidence: Layer 1: 33 transactions from 2 source accounts. Figure independently re-derived twice from raw source file, confirmed exact.</w:t>
      </w:r>
    </w:p>
    <w:p>
      <w:pPr>
        <w:spacing w:after="80" w:before="260"/>
      </w:pPr>
      <w:r>
        <w:rPr>
          <w:rFonts w:ascii="Calibri" w:cs="Calibri" w:eastAsia="Calibri" w:hAnsi="Calibri"/>
          <w:b/>
          <w:bCs/>
          <w:color w:val="B8860B"/>
          <w:sz w:val="24"/>
          <w:szCs w:val="24"/>
        </w:rPr>
        <w:t xml:space="preserve">F-06  [MEDIUM]  </w:t>
      </w:r>
      <w:r>
        <w:rPr>
          <w:rFonts w:ascii="Calibri" w:cs="Calibri" w:eastAsia="Calibri" w:hAnsi="Calibri"/>
          <w:b/>
          <w:bCs/>
          <w:color w:val="1F3864"/>
          <w:sz w:val="24"/>
          <w:szCs w:val="24"/>
        </w:rPr>
        <w:t xml:space="preserve">Recovery so far covers a small fraction of traced victim loss</w:t>
      </w:r>
    </w:p>
    <w:p>
      <w:pPr>
        <w:spacing w:after="60" w:before="0"/>
      </w:pPr>
      <w:r>
        <w:rPr>
          <w:rFonts w:ascii="Calibri" w:cs="Calibri" w:eastAsia="Calibri" w:hAnsi="Calibri"/>
          <w:sz w:val="21"/>
          <w:szCs w:val="21"/>
        </w:rPr>
        <w:t xml:space="preserve">Rs.24,075,459 has been placed on hold/frozen and Rs.22,795,319 has already been withdrawn as physical cash (ATM/cheque/AEPS/POS) across 1,646 withdrawal events. Against the Layer-1 traced loss of Rs.13.04 crore, combined hold+cashout represents roughly 36% accounted for (frozen or already gone); against the all-layer disputed total of Rs.37.89 crore, the proportion is much smaller. Time-sensitive freeze action on the remaining top-ranked critical accounts is needed before further cash-out occurs.</w:t>
      </w:r>
    </w:p>
    <w:p>
      <w:pPr>
        <w:spacing w:after="200" w:before="0"/>
      </w:pPr>
      <w:r>
        <w:rPr>
          <w:rFonts w:ascii="Calibri" w:cs="Calibri" w:eastAsia="Calibri" w:hAnsi="Calibri"/>
          <w:i/>
          <w:iCs/>
          <w:color w:val="595959"/>
          <w:sz w:val="19"/>
          <w:szCs w:val="19"/>
        </w:rPr>
        <w:t xml:space="preserve">Evidence: 32,320 hold records (Rs.24,075,458.58, raw sheet total); 1,646 combined ATM/cheque/AEPS/POS withdrawal records (Rs.22,795,319.24, raw sheet total) - both figures verified to match source sheets exactly after a data-pipeline correction (see audit note).</w:t>
      </w:r>
    </w:p>
    <w:p>
      <w:pPr>
        <w:spacing w:after="80" w:before="260"/>
      </w:pPr>
      <w:r>
        <w:rPr>
          <w:rFonts w:ascii="Calibri" w:cs="Calibri" w:eastAsia="Calibri" w:hAnsi="Calibri"/>
          <w:b/>
          <w:bCs/>
          <w:color w:val="B8860B"/>
          <w:sz w:val="24"/>
          <w:szCs w:val="24"/>
        </w:rPr>
        <w:t xml:space="preserve">F-07  [MEDIUM]  </w:t>
      </w:r>
      <w:r>
        <w:rPr>
          <w:rFonts w:ascii="Calibri" w:cs="Calibri" w:eastAsia="Calibri" w:hAnsi="Calibri"/>
          <w:b/>
          <w:bCs/>
          <w:color w:val="1F3864"/>
          <w:sz w:val="24"/>
          <w:szCs w:val="24"/>
        </w:rPr>
        <w:t xml:space="preserve">Extreme fan-out explosion between Layer 3 and Layer 4</w:t>
      </w:r>
    </w:p>
    <w:p>
      <w:pPr>
        <w:spacing w:after="60" w:before="0"/>
      </w:pPr>
      <w:r>
        <w:rPr>
          <w:rFonts w:ascii="Calibri" w:cs="Calibri" w:eastAsia="Calibri" w:hAnsi="Calibri"/>
          <w:sz w:val="21"/>
          <w:szCs w:val="21"/>
        </w:rPr>
        <w:t xml:space="preserve">Layer 3 has only 109 distinct sending accounts but 42,863 distinct receiving accounts; Layer 4 then sees those same accounts re-used as 14,909 distinct senders. This is the single largest dispersal point in the entire network - money entering Layer 3 is being split across tens of thousands of receiving accounts almost immediately, which is the primary mechanism making manual account-by-account tracing impractical without computational aggregation.</w:t>
      </w:r>
    </w:p>
    <w:p>
      <w:pPr>
        <w:spacing w:after="200" w:before="0"/>
      </w:pPr>
      <w:r>
        <w:rPr>
          <w:rFonts w:ascii="Calibri" w:cs="Calibri" w:eastAsia="Calibri" w:hAnsi="Calibri"/>
          <w:i/>
          <w:iCs/>
          <w:color w:val="595959"/>
          <w:sz w:val="19"/>
          <w:szCs w:val="19"/>
        </w:rPr>
        <w:t xml:space="preserve">Evidence: Layer 3: 45,430 transactions / Layer 4: 25,581 transactions</w:t>
      </w:r>
    </w:p>
    <w:p>
      <w:pPr>
        <w:spacing w:after="80" w:before="260"/>
      </w:pPr>
      <w:r>
        <w:rPr>
          <w:rFonts w:ascii="Calibri" w:cs="Calibri" w:eastAsia="Calibri" w:hAnsi="Calibri"/>
          <w:b/>
          <w:bCs/>
          <w:color w:val="2E5984"/>
          <w:sz w:val="24"/>
          <w:szCs w:val="24"/>
        </w:rPr>
        <w:t xml:space="preserve">F-08  [LOW]  </w:t>
      </w:r>
      <w:r>
        <w:rPr>
          <w:rFonts w:ascii="Calibri" w:cs="Calibri" w:eastAsia="Calibri" w:hAnsi="Calibri"/>
          <w:b/>
          <w:bCs/>
          <w:color w:val="1F3864"/>
          <w:sz w:val="24"/>
          <w:szCs w:val="24"/>
        </w:rPr>
        <w:t xml:space="preserve">Multiple fintech/lending-app and wallet brand names recur in transaction narrations</w:t>
      </w:r>
    </w:p>
    <w:p>
      <w:pPr>
        <w:spacing w:after="60" w:before="0"/>
      </w:pPr>
      <w:r>
        <w:rPr>
          <w:rFonts w:ascii="Calibri" w:cs="Calibri" w:eastAsia="Calibri" w:hAnsi="Calibri"/>
          <w:sz w:val="21"/>
          <w:szCs w:val="21"/>
        </w:rPr>
        <w:t xml:space="preserve">Beyond the 8 major gateway-abuse accounts, transaction remarks across the wider dataset repeatedly reference fintech and wallet brand names (MPOKKET Financial Services, MUFINPAY, One Mobikwik Systems, PhonePe, CRED) as well as a literal 'DUMMY NAME' placeholder appearing 9 times in real bank-supplied remarks. This points to broader, lower-value use of wallet/lending-app rails throughout the layering chain, separate from the 8 large gateway-abuse accounts.</w:t>
      </w:r>
    </w:p>
    <w:p>
      <w:pPr>
        <w:spacing w:after="200" w:before="0"/>
      </w:pPr>
      <w:r>
        <w:rPr>
          <w:rFonts w:ascii="Calibri" w:cs="Calibri" w:eastAsia="Calibri" w:hAnsi="Calibri"/>
          <w:i/>
          <w:iCs/>
          <w:color w:val="595959"/>
          <w:sz w:val="19"/>
          <w:szCs w:val="19"/>
        </w:rPr>
        <w:t xml:space="preserve">Evidence: 6,749 of 88,454 transfer rows contain extractable counterparty names in Remarks</w:t>
      </w:r>
    </w:p>
    <w:p>
      <w:pPr>
        <w:spacing w:after="80" w:before="260"/>
      </w:pPr>
      <w:r>
        <w:rPr>
          <w:rFonts w:ascii="Calibri" w:cs="Calibri" w:eastAsia="Calibri" w:hAnsi="Calibri"/>
          <w:b/>
          <w:bCs/>
          <w:color w:val="2E5984"/>
          <w:sz w:val="24"/>
          <w:szCs w:val="24"/>
        </w:rPr>
        <w:t xml:space="preserve">F-09  [LOW]  </w:t>
      </w:r>
      <w:r>
        <w:rPr>
          <w:rFonts w:ascii="Calibri" w:cs="Calibri" w:eastAsia="Calibri" w:hAnsi="Calibri"/>
          <w:b/>
          <w:bCs/>
          <w:color w:val="1F3864"/>
          <w:sz w:val="24"/>
          <w:szCs w:val="24"/>
        </w:rPr>
        <w:t xml:space="preserve">Minor data-quality observations (immaterial to totals, noted for completeness)</w:t>
      </w:r>
    </w:p>
    <w:p>
      <w:pPr>
        <w:spacing w:after="60" w:before="0"/>
      </w:pPr>
      <w:r>
        <w:rPr>
          <w:rFonts w:ascii="Calibri" w:cs="Calibri" w:eastAsia="Calibri" w:hAnsi="Calibri"/>
          <w:sz w:val="21"/>
          <w:szCs w:val="21"/>
        </w:rPr>
        <w:t xml:space="preserve">(1) Two of 88,454 transaction rows carry a '2024' year-date inconsistent with the surrounding pattern - one is a Rs.50 lakh transfer from origin account 0110104000147200 dated 30/12/2024, identical in counterparty and amount to a confirmed genuine 30/12/2025 transaction in the same account's daily pattern, strongly suggesting a one-year data-entry typo rather than a real 2024 transaction. (2) 12 rows across the dataset record a literal Rs.0.00 transaction (likely balance-check or failed-transaction placeholders). (3) 1,030 accounts appear only in the Hold/ATM/POS sheets with no corresponding entry in the Money Transfer sheet, meaning their inflow arrived through a channel not captured in this export (e.g. direct cash deposit) - these are included in the Accounts tab as 'Untraced Receipt' for completeness but contribute no amount to the transfer-volume totals.</w:t>
      </w:r>
    </w:p>
    <w:p>
      <w:pPr>
        <w:spacing w:after="200" w:before="0"/>
      </w:pPr>
      <w:r>
        <w:rPr>
          <w:rFonts w:ascii="Calibri" w:cs="Calibri" w:eastAsia="Calibri" w:hAnsi="Calibri"/>
          <w:i/>
          <w:iCs/>
          <w:color w:val="595959"/>
          <w:sz w:val="19"/>
          <w:szCs w:val="19"/>
        </w:rPr>
        <w:t xml:space="preserve">Evidence: Confirmed by direct row-level inspection during report audit</w:t>
      </w:r>
    </w:p>
    <w:p>
      <w:r>
        <w:br w:type="page"/>
      </w:r>
    </w:p>
    <w:p>
      <w:pPr>
        <w:pStyle w:val="Heading1"/>
        <w:spacing w:after="200" w:before="360"/>
      </w:pPr>
      <w:r>
        <w:rPr>
          <w:rFonts w:ascii="Calibri" w:cs="Calibri" w:eastAsia="Calibri" w:hAnsi="Calibri"/>
          <w:b/>
          <w:bCs/>
          <w:color w:val="1F3864"/>
          <w:sz w:val="30"/>
          <w:szCs w:val="30"/>
        </w:rPr>
        <w:t xml:space="preserve">6. LAYERING &amp; MONEY FLOW ANALYSIS</w:t>
      </w:r>
    </w:p>
    <w:p>
      <w:pPr>
        <w:spacing w:after="120" w:before="0"/>
      </w:pPr>
      <w:r>
        <w:rPr>
          <w:rFonts w:ascii="Calibri" w:cs="Calibri" w:eastAsia="Calibri" w:hAnsi="Calibri"/>
          <w:sz w:val="22"/>
          <w:szCs w:val="22"/>
        </w:rPr>
        <w:t xml:space="preserve">Money entering this network passes through a genuine maximum of 13 distinct layers before the apparent depth becomes an artefact of a single repetitive loop (see Finding F-03). The table below shows the total amount and account counts moving through each layer, computed across the complete transfer ledger.</w:t>
      </w:r>
    </w:p>
    <w:p>
      <w:pPr>
        <w:pStyle w:val="Heading3"/>
        <w:spacing w:after="120" w:before="200"/>
      </w:pPr>
      <w:r>
        <w:rPr>
          <w:rFonts w:ascii="Calibri" w:cs="Calibri" w:eastAsia="Calibri" w:hAnsi="Calibri"/>
          <w:b/>
          <w:bCs/>
          <w:color w:val="C00000"/>
          <w:sz w:val="23"/>
          <w:szCs w:val="23"/>
        </w:rPr>
        <w:t xml:space="preserve">6.1 Layer-by-Layer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rPr>
          <w:tblHeader/>
        </w:trPr>
        <w:tc>
          <w:tcPr>
            <w:tcW w:type="dxa" w:w="24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Layer</w:t>
            </w:r>
          </w:p>
        </w:tc>
        <w:tc>
          <w:tcPr>
            <w:tcW w:type="dxa" w:w="17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Transactions</w:t>
            </w:r>
          </w:p>
        </w:tc>
        <w:tc>
          <w:tcPr>
            <w:tcW w:type="dxa" w:w="17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Distinct Senders</w:t>
            </w:r>
          </w:p>
        </w:tc>
        <w:tc>
          <w:tcPr>
            <w:tcW w:type="dxa" w:w="17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Distinct Receivers</w:t>
            </w:r>
          </w:p>
        </w:tc>
        <w:tc>
          <w:tcPr>
            <w:tcW w:type="dxa" w:w="15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Total Amount</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87,700</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6</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13,04,26,759</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326</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139</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11,38,23,483</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45,430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109</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42,863</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8,84,61,889</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25,581</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14,909</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17,558</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24,85,45,656</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5</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9,942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4,993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5,527</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33,51,38,904</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6</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4,572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1,703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3,059</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54,08,76,328</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7</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1,604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782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1,150</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1,04,02,50,083</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8</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571</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301</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430</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26,90,88,612</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213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118</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163</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69,41,309</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100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83</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24,24,69,490</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11</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31</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10,50,630</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10</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6,00,359</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1,78,921</w:t>
            </w:r>
          </w:p>
        </w:tc>
      </w:tr>
      <w:tr>
        <w:tc>
          <w:tcPr>
            <w:tcW w:type="dxa" w:w="2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14–42 (artificial loop, see F-03)</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30</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w:t>
            </w:r>
          </w:p>
        </w:tc>
        <w:tc>
          <w:tcPr>
            <w:tcW w:type="dxa" w:w="1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2</w:t>
            </w:r>
          </w:p>
        </w:tc>
        <w:tc>
          <w:tcPr>
            <w:tcW w:type="dxa" w:w="15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1,54,900</w:t>
            </w:r>
          </w:p>
        </w:tc>
      </w:tr>
    </w:tbl>
    <w:p>
      <w:pPr>
        <w:spacing w:after="120" w:before="0"/>
      </w:pPr>
      <w:r>
        <w:rPr>
          <w:rFonts w:ascii="Calibri" w:cs="Calibri" w:eastAsia="Calibri" w:hAnsi="Calibri"/>
          <w:sz w:val="22"/>
          <w:szCs w:val="22"/>
        </w:rPr>
        <w:t xml:space="preserve"/>
      </w:r>
    </w:p>
    <w:p>
      <w:pPr>
        <w:spacing w:after="200" w:before="0"/>
      </w:pPr>
      <w:r>
        <w:rPr>
          <w:rFonts w:ascii="Calibri" w:cs="Calibri" w:eastAsia="Calibri" w:hAnsi="Calibri"/>
          <w:sz w:val="22"/>
          <w:szCs w:val="22"/>
        </w:rPr>
        <w:t xml:space="preserve">The single largest dispersal point in the network is the transition from Layer 3 to Layer 4: only 109 accounts at Layer 3 fan out to 42,863 distinct receiving accounts, which then re-appear as 14,909 distinct senders at Layer 4. This sudden explosion in account count is the primary reason manual, row-by-row tracing of this case is impractical without computational aggregation — and is itself evidence of a deliberately engineered structuring step rather than organic transaction activity.</w:t>
      </w:r>
    </w:p>
    <w:p>
      <w:pPr>
        <w:pStyle w:val="Heading3"/>
        <w:spacing w:after="120" w:before="200"/>
      </w:pPr>
      <w:r>
        <w:rPr>
          <w:rFonts w:ascii="Calibri" w:cs="Calibri" w:eastAsia="Calibri" w:hAnsi="Calibri"/>
          <w:b/>
          <w:bCs/>
          <w:color w:val="C00000"/>
          <w:sz w:val="23"/>
          <w:szCs w:val="23"/>
        </w:rPr>
        <w:t xml:space="preserve">6.2 Payment Mode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Payment Mode</w:t>
            </w:r>
          </w:p>
        </w:tc>
        <w:tc>
          <w:tcPr>
            <w:tcW w:type="dxa" w:w="29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Amount (Rs.)</w:t>
            </w:r>
          </w:p>
        </w:tc>
        <w:tc>
          <w:tcPr>
            <w:tcW w:type="dxa" w:w="29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Transaction Count</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UPI</w:t>
            </w:r>
          </w:p>
        </w:tc>
        <w:tc>
          <w:tcPr>
            <w:tcW w:type="dxa" w:w="2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1,38,16,81,640</w:t>
            </w:r>
          </w:p>
        </w:tc>
        <w:tc>
          <w:tcPr>
            <w:tcW w:type="dxa" w:w="2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19,094</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OTHER</w:t>
            </w:r>
          </w:p>
        </w:tc>
        <w:tc>
          <w:tcPr>
            <w:tcW w:type="dxa" w:w="2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83,90,35,095</w:t>
            </w:r>
          </w:p>
        </w:tc>
        <w:tc>
          <w:tcPr>
            <w:tcW w:type="dxa" w:w="2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50,168</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UNKNOWN</w:t>
            </w:r>
          </w:p>
        </w:tc>
        <w:tc>
          <w:tcPr>
            <w:tcW w:type="dxa" w:w="2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36,43,29,332</w:t>
            </w:r>
          </w:p>
        </w:tc>
        <w:tc>
          <w:tcPr>
            <w:tcW w:type="dxa" w:w="2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17,526</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NEFT</w:t>
            </w:r>
          </w:p>
        </w:tc>
        <w:tc>
          <w:tcPr>
            <w:tcW w:type="dxa" w:w="2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33,71,59,184</w:t>
            </w:r>
          </w:p>
        </w:tc>
        <w:tc>
          <w:tcPr>
            <w:tcW w:type="dxa" w:w="2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951</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RTGS</w:t>
            </w:r>
          </w:p>
        </w:tc>
        <w:tc>
          <w:tcPr>
            <w:tcW w:type="dxa" w:w="2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6,61,71,959</w:t>
            </w:r>
          </w:p>
        </w:tc>
        <w:tc>
          <w:tcPr>
            <w:tcW w:type="dxa" w:w="2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157</w:t>
            </w:r>
          </w:p>
        </w:tc>
      </w:tr>
      <w:tr>
        <w:tc>
          <w:tcPr>
            <w:tcW w:type="dxa" w:w="3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IMPS</w:t>
            </w:r>
          </w:p>
        </w:tc>
        <w:tc>
          <w:tcPr>
            <w:tcW w:type="dxa" w:w="2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2,97,17,814</w:t>
            </w:r>
          </w:p>
        </w:tc>
        <w:tc>
          <w:tcPr>
            <w:tcW w:type="dxa" w:w="2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558</w:t>
            </w:r>
          </w:p>
        </w:tc>
      </w:tr>
    </w:tbl>
    <w:p>
      <w:r>
        <w:br w:type="page"/>
      </w:r>
    </w:p>
    <w:p>
      <w:pPr>
        <w:pStyle w:val="Heading1"/>
        <w:spacing w:after="200" w:before="360"/>
      </w:pPr>
      <w:r>
        <w:rPr>
          <w:rFonts w:ascii="Calibri" w:cs="Calibri" w:eastAsia="Calibri" w:hAnsi="Calibri"/>
          <w:b/>
          <w:bCs/>
          <w:color w:val="1F3864"/>
          <w:sz w:val="30"/>
          <w:szCs w:val="30"/>
        </w:rPr>
        <w:t xml:space="preserve">7. CRITICAL ACCOUNTS RECOMMENDED FOR FREEZE ACTION</w:t>
      </w:r>
    </w:p>
    <w:p>
      <w:pPr>
        <w:spacing w:after="120" w:before="0"/>
      </w:pPr>
      <w:r>
        <w:rPr>
          <w:rFonts w:ascii="Calibri" w:cs="Calibri" w:eastAsia="Calibri" w:hAnsi="Calibri"/>
          <w:sz w:val="22"/>
          <w:szCs w:val="22"/>
        </w:rPr>
        <w:t xml:space="preserve">The following 25 accounts are the highest-priority freeze candidates, ranked by a composite score combining inflow size, fan-in, fan-out, hub role, and confirmed physical cash-out activity. This report's accompanying digital FraudLens dashboard contains the complete ranked list of 60 accounts and the full 70,787-account universe; this printed table is limited to the top 25 for brevity.</w:t>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100"/>
        <w:gridCol w:w="1300"/>
        <w:gridCol w:w="1500"/>
        <w:gridCol w:w="1500"/>
        <w:gridCol w:w="1426"/>
      </w:tblGrid>
      <w:tr>
        <w:trPr>
          <w:tblHeader/>
        </w:trPr>
        <w:tc>
          <w:tcPr>
            <w:tcW w:type="dxa" w:w="5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w:t>
            </w:r>
          </w:p>
        </w:tc>
        <w:tc>
          <w:tcPr>
            <w:tcW w:type="dxa" w:w="27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Account No.</w:t>
            </w:r>
          </w:p>
        </w:tc>
        <w:tc>
          <w:tcPr>
            <w:tcW w:type="dxa" w:w="21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Bank</w:t>
            </w:r>
          </w:p>
        </w:tc>
        <w:tc>
          <w:tcPr>
            <w:tcW w:type="dxa" w:w="13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Role</w:t>
            </w:r>
          </w:p>
        </w:tc>
        <w:tc>
          <w:tcPr>
            <w:tcW w:type="dxa" w:w="15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In Amount (Rs.)</w:t>
            </w:r>
          </w:p>
        </w:tc>
        <w:tc>
          <w:tcPr>
            <w:tcW w:type="dxa" w:w="15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Out Amount (Rs.)</w:t>
            </w:r>
          </w:p>
        </w:tc>
        <w:tc>
          <w:tcPr>
            <w:tcW w:type="dxa" w:w="14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Cash-Out (Rs.)</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002261100000025</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Yes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41,22,724</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6,36,39,858</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918020110872063</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Axis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24,95,748</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2,76,15,650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3</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001425000000051</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Yes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23,54,933</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1,88,40,134</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4</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13820200070130</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Federal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3,21,906</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12,17,975</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5</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917020041206002</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Airtel Payments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4,28,435</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39,10,56,575</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6</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44237972083</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State Bank of India</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TERMINAL</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23,44,39,310</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7</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342005000002</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ICICI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TERMINAL</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23,31,04,356</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8</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259217226197</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IndusInd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PASS_THROUGH</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11,24,22,743</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10,64,83,386</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9</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00993564615950</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IndusInd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3,56,398</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2,53,318</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10</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921020038977853</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Axis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9,85,215</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9,65,145</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11</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211071614</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Yes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6,40,669</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5,59,235</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12</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918020055075686</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Axis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3,51,749</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3,52,569</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13</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1092787575</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Airtel Payments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1,67,826</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1,32,424</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14</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010561100000039</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Yes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81,481</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92,23,559</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15</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191622010002244</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Union Bank of India</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PASS_THROUGH</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19,16,23,390</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1,380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16</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2548009900110008</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Ratnakar Bank Limited</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TERMINAL</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18,38,72,606</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17</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1000129101195</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Axis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3,99,732</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64,58,55,422</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18</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9147989544</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Kotak Mahindra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TERMINAL</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18,30,14,310</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19</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00000011083986979</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State Bank of India</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TERMINAL</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17,85,45,941</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20</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922020023871880</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Axis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TERMINAL</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17,63,37,319</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21</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50200073371061</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HDFC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PASS_THROUGH</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2,05,033</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17,964</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22</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50200027864076</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HDFC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4,75,872</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8,66,72,668</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23</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0103SL00IPAY</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ICICI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3,24,473</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4,63,479</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24</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2541109900110151</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TRANSERV PRIVATE LIMITED-Prepaid Bank-PPI</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75,640</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45,940</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r>
        <w:tc>
          <w:tcPr>
            <w:tcW w:type="dxa" w:w="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25</w:t>
            </w:r>
          </w:p>
        </w:tc>
        <w:tc>
          <w:tcPr>
            <w:tcW w:type="dxa" w:w="27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2261100000025</w:t>
            </w:r>
          </w:p>
        </w:tc>
        <w:tc>
          <w:tcPr>
            <w:tcW w:type="dxa" w:w="21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Yes Bank</w:t>
            </w:r>
          </w:p>
        </w:tc>
        <w:tc>
          <w:tcPr>
            <w:tcW w:type="dxa" w:w="1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HUB</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1,36,725</w:t>
            </w:r>
          </w:p>
        </w:tc>
        <w:tc>
          <w:tcPr>
            <w:tcW w:type="dxa" w:w="15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1,25,632</w:t>
            </w:r>
          </w:p>
        </w:tc>
        <w:tc>
          <w:tcPr>
            <w:tcW w:type="dxa" w:w="14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0</w:t>
            </w:r>
          </w:p>
        </w:tc>
      </w:tr>
    </w:tbl>
    <w:p>
      <w:pPr>
        <w:spacing w:after="120" w:before="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C00000"/>
          <w:sz w:val="23"/>
          <w:szCs w:val="23"/>
        </w:rPr>
        <w:t xml:space="preserve">7.1 Notes on the Top 5</w:t>
      </w:r>
    </w:p>
    <w:p>
      <w:pPr>
        <w:spacing w:after="100" w:before="0"/>
      </w:pPr>
      <w:r>
        <w:rPr>
          <w:rFonts w:ascii="Calibri" w:cs="Calibri" w:eastAsia="Calibri" w:hAnsi="Calibri"/>
          <w:sz w:val="20"/>
          <w:szCs w:val="20"/>
        </w:rPr>
        <w:t xml:space="preserve">1. Account 002261100000025 (Yes Bank): Layering hub: received from 878 distinct accounts, forwarded to 461 distinct accounts; Outflow (Rs.63,639,858) far exceeds traced inflow (Rs.4,122,725) - possible external/parallel funding.</w:t>
      </w:r>
    </w:p>
    <w:p>
      <w:pPr>
        <w:spacing w:after="100" w:before="0"/>
      </w:pPr>
      <w:r>
        <w:rPr>
          <w:rFonts w:ascii="Calibri" w:cs="Calibri" w:eastAsia="Calibri" w:hAnsi="Calibri"/>
          <w:sz w:val="20"/>
          <w:szCs w:val="20"/>
        </w:rPr>
        <w:t xml:space="preserve">2. Account 918020110872063 (Axis Bank): Layering hub: received from 410 distinct accounts, forwarded to 417 distinct accounts; Outflow (Rs.27,615,651) far exceeds traced inflow (Rs.2,495,748) - possible external/parallel funding.</w:t>
      </w:r>
    </w:p>
    <w:p>
      <w:pPr>
        <w:spacing w:after="100" w:before="0"/>
      </w:pPr>
      <w:r>
        <w:rPr>
          <w:rFonts w:ascii="Calibri" w:cs="Calibri" w:eastAsia="Calibri" w:hAnsi="Calibri"/>
          <w:sz w:val="20"/>
          <w:szCs w:val="20"/>
        </w:rPr>
        <w:t xml:space="preserve">3. Account 001425000000051 (Yes Bank): Layering hub: received from 691 distinct accounts, forwarded to 504 distinct accounts; Outflow (Rs.18,840,134) far exceeds traced inflow (Rs.2,354,933) - possible external/parallel funding.</w:t>
      </w:r>
    </w:p>
    <w:p>
      <w:pPr>
        <w:spacing w:after="100" w:before="0"/>
      </w:pPr>
      <w:r>
        <w:rPr>
          <w:rFonts w:ascii="Calibri" w:cs="Calibri" w:eastAsia="Calibri" w:hAnsi="Calibri"/>
          <w:sz w:val="20"/>
          <w:szCs w:val="20"/>
        </w:rPr>
        <w:t xml:space="preserve">4. Account 13820200070130 (Federal Bank): Layering hub: received from 89 distinct accounts, forwarded to 56 distinct accounts; Outflow (Rs.1,217,976) far exceeds traced inflow (Rs.321,906) - possible external/parallel funding.</w:t>
      </w:r>
    </w:p>
    <w:p>
      <w:pPr>
        <w:spacing w:after="100" w:before="0"/>
      </w:pPr>
      <w:r>
        <w:rPr>
          <w:rFonts w:ascii="Calibri" w:cs="Calibri" w:eastAsia="Calibri" w:hAnsi="Calibri"/>
          <w:sz w:val="20"/>
          <w:szCs w:val="20"/>
        </w:rPr>
        <w:t xml:space="preserve">5. Account 917020041206002 (Airtel Payments Bank): Layering hub: received from 45 distinct accounts, forwarded to 31 distinct accounts; Outflow (Rs.391,056,576) far exceeds traced inflow (Rs.428,435) - possible external/parallel funding.</w:t>
      </w:r>
    </w:p>
    <w:p>
      <w:r>
        <w:br w:type="page"/>
      </w:r>
    </w:p>
    <w:p>
      <w:pPr>
        <w:pStyle w:val="Heading1"/>
        <w:spacing w:after="200" w:before="360"/>
      </w:pPr>
      <w:r>
        <w:rPr>
          <w:rFonts w:ascii="Calibri" w:cs="Calibri" w:eastAsia="Calibri" w:hAnsi="Calibri"/>
          <w:b/>
          <w:bCs/>
          <w:color w:val="1F3864"/>
          <w:sz w:val="30"/>
          <w:szCs w:val="30"/>
        </w:rPr>
        <w:t xml:space="preserve">8. CASH-OUT TRAIL SUMMARY</w:t>
      </w:r>
    </w:p>
    <w:p>
      <w:pPr>
        <w:spacing w:after="120" w:before="0"/>
      </w:pPr>
      <w:r>
        <w:rPr>
          <w:rFonts w:ascii="Calibri" w:cs="Calibri" w:eastAsia="Calibri" w:hAnsi="Calibri"/>
          <w:sz w:val="22"/>
          <w:szCs w:val="22"/>
        </w:rPr>
        <w:t xml:space="preserve">A combined 1,646 physical withdrawal events, totalling Rs. 2.28 Crore, were identified where layered money was converted to cash. These are the most actionable physical investigation leads in the case — ATM locations have CCTV coverage, cheque withdrawals have a branch and signatory on record, and AEPS withdrawals require biometric authentication at a named agent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26"/>
      </w:tblGrid>
      <w:tr>
        <w:trPr>
          <w:tblHeader/>
        </w:trPr>
        <w:tc>
          <w:tcPr>
            <w:tcW w:type="dxa" w:w="44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Channel</w:t>
            </w:r>
          </w:p>
        </w:tc>
        <w:tc>
          <w:tcPr>
            <w:tcW w:type="dxa" w:w="23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Records</w:t>
            </w:r>
          </w:p>
        </w:tc>
        <w:tc>
          <w:tcPr>
            <w:tcW w:type="dxa" w:w="23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Total Amount (Rs.)</w:t>
            </w:r>
          </w:p>
        </w:tc>
      </w:tr>
      <w:tr>
        <w:tc>
          <w:tcPr>
            <w:tcW w:type="dxa" w:w="4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ATM Withdrawal</w:t>
            </w:r>
          </w:p>
        </w:tc>
        <w:tc>
          <w:tcPr>
            <w:tcW w:type="dxa" w:w="2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1,125</w:t>
            </w:r>
          </w:p>
        </w:tc>
        <w:tc>
          <w:tcPr>
            <w:tcW w:type="dxa" w:w="23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73,41,048</w:t>
            </w:r>
          </w:p>
        </w:tc>
      </w:tr>
      <w:tr>
        <w:tc>
          <w:tcPr>
            <w:tcW w:type="dxa" w:w="4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Cash Withdrawal through Cheque</w:t>
            </w:r>
          </w:p>
        </w:tc>
        <w:tc>
          <w:tcPr>
            <w:tcW w:type="dxa" w:w="2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69</w:t>
            </w:r>
          </w:p>
        </w:tc>
        <w:tc>
          <w:tcPr>
            <w:tcW w:type="dxa" w:w="23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1,37,41,955</w:t>
            </w:r>
          </w:p>
        </w:tc>
      </w:tr>
      <w:tr>
        <w:tc>
          <w:tcPr>
            <w:tcW w:type="dxa" w:w="4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AEPS (Aadhaar-enabled biometric)</w:t>
            </w:r>
          </w:p>
        </w:tc>
        <w:tc>
          <w:tcPr>
            <w:tcW w:type="dxa" w:w="2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415</w:t>
            </w:r>
          </w:p>
        </w:tc>
        <w:tc>
          <w:tcPr>
            <w:tcW w:type="dxa" w:w="23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14,93,190</w:t>
            </w:r>
          </w:p>
        </w:tc>
      </w:tr>
      <w:tr>
        <w:tc>
          <w:tcPr>
            <w:tcW w:type="dxa" w:w="44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Withdrawal through POS</w:t>
            </w:r>
          </w:p>
        </w:tc>
        <w:tc>
          <w:tcPr>
            <w:tcW w:type="dxa" w:w="23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37</w:t>
            </w:r>
          </w:p>
        </w:tc>
        <w:tc>
          <w:tcPr>
            <w:tcW w:type="dxa" w:w="23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right"/>
            </w:pPr>
            <w:r>
              <w:rPr>
                <w:rFonts w:ascii="Calibri" w:cs="Calibri" w:eastAsia="Calibri" w:hAnsi="Calibri"/>
                <w:color w:val="000000"/>
                <w:sz w:val="19"/>
                <w:szCs w:val="19"/>
              </w:rPr>
              <w:t xml:space="preserve">Rs. 2,19,125</w:t>
            </w:r>
          </w:p>
        </w:tc>
      </w:tr>
    </w:tbl>
    <w:p>
      <w:pPr>
        <w:spacing w:after="120" w:before="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C00000"/>
          <w:sz w:val="23"/>
          <w:szCs w:val="23"/>
        </w:rPr>
        <w:t xml:space="preserve">8.1 Recommended Physical Investigation Priority</w:t>
      </w:r>
    </w:p>
    <w:p>
      <w:pPr>
        <w:pStyle w:val="ListParagraph"/>
        <w:numPr>
          <w:ilvl w:val="0"/>
          <w:numId w:val="2"/>
        </w:numPr>
        <w:spacing w:after="90"/>
      </w:pPr>
      <w:r>
        <w:rPr>
          <w:rFonts w:ascii="Calibri" w:cs="Calibri" w:eastAsia="Calibri" w:hAnsi="Calibri"/>
          <w:sz w:val="22"/>
          <w:szCs w:val="22"/>
        </w:rPr>
        <w:t xml:space="preserve">AEPS withdrawals (415 records): require Aadhaar biometric authentication at the point of withdrawal — cross-checking the agent-location biometric logs against the withdrawing account holder's registered biometrics is the single strongest identification lead available in this case.</w:t>
      </w:r>
    </w:p>
    <w:p>
      <w:pPr>
        <w:pStyle w:val="ListParagraph"/>
        <w:numPr>
          <w:ilvl w:val="0"/>
          <w:numId w:val="2"/>
        </w:numPr>
        <w:spacing w:after="90"/>
      </w:pPr>
      <w:r>
        <w:rPr>
          <w:rFonts w:ascii="Calibri" w:cs="Calibri" w:eastAsia="Calibri" w:hAnsi="Calibri"/>
          <w:sz w:val="22"/>
          <w:szCs w:val="22"/>
        </w:rPr>
        <w:t xml:space="preserve">Cheque withdrawals (69 records): each has a named branch and, in most records, a branch manager contact already captured in the source data. These branches should be approached directly for CCTV and signatory verification before footage retention periods lapse.</w:t>
      </w:r>
    </w:p>
    <w:p>
      <w:pPr>
        <w:pStyle w:val="ListParagraph"/>
        <w:numPr>
          <w:ilvl w:val="0"/>
          <w:numId w:val="2"/>
        </w:numPr>
        <w:spacing w:after="90"/>
      </w:pPr>
      <w:r>
        <w:rPr>
          <w:rFonts w:ascii="Calibri" w:cs="Calibri" w:eastAsia="Calibri" w:hAnsi="Calibri"/>
          <w:sz w:val="22"/>
          <w:szCs w:val="22"/>
        </w:rPr>
        <w:t xml:space="preserve">ATM withdrawals (1,125 records): ATM ID and location are recorded for each; standard CCTV-pull procedure applies, prioritised by withdrawal amount and recency.</w:t>
      </w:r>
    </w:p>
    <w:p>
      <w:r>
        <w:br w:type="page"/>
      </w:r>
    </w:p>
    <w:p>
      <w:pPr>
        <w:pStyle w:val="Heading1"/>
        <w:spacing w:after="200" w:before="360"/>
      </w:pPr>
      <w:r>
        <w:rPr>
          <w:rFonts w:ascii="Calibri" w:cs="Calibri" w:eastAsia="Calibri" w:hAnsi="Calibri"/>
          <w:b/>
          <w:bCs/>
          <w:color w:val="1F3864"/>
          <w:sz w:val="30"/>
          <w:szCs w:val="30"/>
        </w:rPr>
        <w:t xml:space="preserve">9. APPLICABLE LEGAL PROVISIONS</w:t>
      </w:r>
    </w:p>
    <w:p>
      <w:pPr>
        <w:spacing w:after="120" w:before="0"/>
      </w:pPr>
      <w:r>
        <w:rPr>
          <w:rFonts w:ascii="Calibri" w:cs="Calibri" w:eastAsia="Calibri" w:hAnsi="Calibri"/>
          <w:sz w:val="22"/>
          <w:szCs w:val="22"/>
        </w:rPr>
        <w:t xml:space="preserve">The following statutory provisions are relevant based on the patterns identified in this report. This is not a legal opinion; final charge selection rests with the investigating officer and prosecuting authority in light of the complete case file.</w:t>
      </w:r>
    </w:p>
    <w:p>
      <w:pPr>
        <w:pStyle w:val="Heading3"/>
        <w:spacing w:after="120" w:before="200"/>
      </w:pPr>
      <w:r>
        <w:rPr>
          <w:rFonts w:ascii="Calibri" w:cs="Calibri" w:eastAsia="Calibri" w:hAnsi="Calibri"/>
          <w:b/>
          <w:bCs/>
          <w:color w:val="C00000"/>
          <w:sz w:val="23"/>
          <w:szCs w:val="23"/>
        </w:rPr>
        <w:t xml:space="preserve">Bharatiya Nyaya Sanhita (BNS), 2023</w:t>
      </w:r>
    </w:p>
    <w:p>
      <w:pPr>
        <w:pStyle w:val="ListParagraph"/>
        <w:numPr>
          <w:ilvl w:val="0"/>
          <w:numId w:val="2"/>
        </w:numPr>
        <w:spacing w:after="90"/>
      </w:pPr>
      <w:r>
        <w:rPr>
          <w:rFonts w:ascii="Calibri" w:cs="Calibri" w:eastAsia="Calibri" w:hAnsi="Calibri"/>
          <w:sz w:val="22"/>
          <w:szCs w:val="22"/>
        </w:rPr>
        <w:t xml:space="preserve">Section 318 — Cheating: Applies to the original inducement of the victim to transfer Rs. 13,04,23,420 from the two origin accounts; the predicate offence underlying the entire laundering chain traced in this report.</w:t>
      </w:r>
    </w:p>
    <w:p>
      <w:pPr>
        <w:pStyle w:val="ListParagraph"/>
        <w:numPr>
          <w:ilvl w:val="0"/>
          <w:numId w:val="2"/>
        </w:numPr>
        <w:spacing w:after="90"/>
      </w:pPr>
      <w:r>
        <w:rPr>
          <w:rFonts w:ascii="Calibri" w:cs="Calibri" w:eastAsia="Calibri" w:hAnsi="Calibri"/>
          <w:sz w:val="22"/>
          <w:szCs w:val="22"/>
        </w:rPr>
        <w:t xml:space="preserve">Section 319 — Cheating by Personation: Relevant if the fraud involved impersonation (e.g. a "digital arrest" or authority-impersonation script) to induce the transfer — to be confirmed against the FIR narrative.</w:t>
      </w:r>
    </w:p>
    <w:p>
      <w:pPr>
        <w:pStyle w:val="ListParagraph"/>
        <w:numPr>
          <w:ilvl w:val="0"/>
          <w:numId w:val="2"/>
        </w:numPr>
        <w:spacing w:after="90"/>
      </w:pPr>
      <w:r>
        <w:rPr>
          <w:rFonts w:ascii="Calibri" w:cs="Calibri" w:eastAsia="Calibri" w:hAnsi="Calibri"/>
          <w:sz w:val="22"/>
          <w:szCs w:val="22"/>
        </w:rPr>
        <w:t xml:space="preserve">Section 316 — Criminal Breach of Trust: Potentially applicable to mule account holders who knowingly allowed their accounts to be used for layering in exchange for commission, particularly the 82 identified Hub accounts.</w:t>
      </w:r>
    </w:p>
    <w:p>
      <w:pPr>
        <w:pStyle w:val="ListParagraph"/>
        <w:numPr>
          <w:ilvl w:val="0"/>
          <w:numId w:val="2"/>
        </w:numPr>
        <w:spacing w:after="90"/>
      </w:pPr>
      <w:r>
        <w:rPr>
          <w:rFonts w:ascii="Calibri" w:cs="Calibri" w:eastAsia="Calibri" w:hAnsi="Calibri"/>
          <w:sz w:val="22"/>
          <w:szCs w:val="22"/>
        </w:rPr>
        <w:t xml:space="preserve">Section 351 — Criminal Intimidation: Applicable if coercive tactics were used against the victim to extract the Layer-1 transfers.</w:t>
      </w:r>
    </w:p>
    <w:p>
      <w:pPr>
        <w:pStyle w:val="Heading3"/>
        <w:spacing w:after="120" w:before="200"/>
      </w:pPr>
      <w:r>
        <w:rPr>
          <w:rFonts w:ascii="Calibri" w:cs="Calibri" w:eastAsia="Calibri" w:hAnsi="Calibri"/>
          <w:b/>
          <w:bCs/>
          <w:color w:val="C00000"/>
          <w:sz w:val="23"/>
          <w:szCs w:val="23"/>
        </w:rPr>
        <w:t xml:space="preserve">Information Technology Act, 2000</w:t>
      </w:r>
    </w:p>
    <w:p>
      <w:pPr>
        <w:pStyle w:val="ListParagraph"/>
        <w:numPr>
          <w:ilvl w:val="0"/>
          <w:numId w:val="2"/>
        </w:numPr>
        <w:spacing w:after="90"/>
      </w:pPr>
      <w:r>
        <w:rPr>
          <w:rFonts w:ascii="Calibri" w:cs="Calibri" w:eastAsia="Calibri" w:hAnsi="Calibri"/>
          <w:sz w:val="22"/>
          <w:szCs w:val="22"/>
        </w:rPr>
        <w:t xml:space="preserve">Section 66C — Identity Theft: Applicable to the payment-gateway settlement abuse in Finding F-01, where merchant identities (Meesho, Cholamandalam Finance, Five-Star Business Finance and others) were misused as cover for Rs. 1,13,95,86,716.</w:t>
      </w:r>
    </w:p>
    <w:p>
      <w:pPr>
        <w:pStyle w:val="ListParagraph"/>
        <w:numPr>
          <w:ilvl w:val="0"/>
          <w:numId w:val="2"/>
        </w:numPr>
        <w:spacing w:after="90"/>
      </w:pPr>
      <w:r>
        <w:rPr>
          <w:rFonts w:ascii="Calibri" w:cs="Calibri" w:eastAsia="Calibri" w:hAnsi="Calibri"/>
          <w:sz w:val="22"/>
          <w:szCs w:val="22"/>
        </w:rPr>
        <w:t xml:space="preserve">Section 66D — Cheating by Personation Using a Computer Resource: Applicable to the digital/UPI-based mechanics of the fraud and subsequent layering.</w:t>
      </w:r>
    </w:p>
    <w:p>
      <w:pPr>
        <w:pStyle w:val="ListParagraph"/>
        <w:numPr>
          <w:ilvl w:val="0"/>
          <w:numId w:val="2"/>
        </w:numPr>
        <w:spacing w:after="90"/>
      </w:pPr>
      <w:r>
        <w:rPr>
          <w:rFonts w:ascii="Calibri" w:cs="Calibri" w:eastAsia="Calibri" w:hAnsi="Calibri"/>
          <w:sz w:val="22"/>
          <w:szCs w:val="22"/>
        </w:rPr>
        <w:t xml:space="preserve">Section 43 — Unauthorised Access/Damage to Computer System: Relevant if any account credentials were compromised to facilitate unauthorised transfers, rather than the account holder knowingly participating.</w:t>
      </w:r>
    </w:p>
    <w:p>
      <w:pPr>
        <w:pStyle w:val="Heading3"/>
        <w:spacing w:after="120" w:before="200"/>
      </w:pPr>
      <w:r>
        <w:rPr>
          <w:rFonts w:ascii="Calibri" w:cs="Calibri" w:eastAsia="Calibri" w:hAnsi="Calibri"/>
          <w:b/>
          <w:bCs/>
          <w:color w:val="C00000"/>
          <w:sz w:val="23"/>
          <w:szCs w:val="23"/>
        </w:rPr>
        <w:t xml:space="preserve">Prevention of Money Laundering Act (PMLA), 2002</w:t>
      </w:r>
    </w:p>
    <w:p>
      <w:pPr>
        <w:pStyle w:val="ListParagraph"/>
        <w:numPr>
          <w:ilvl w:val="0"/>
          <w:numId w:val="2"/>
        </w:numPr>
        <w:spacing w:after="90"/>
      </w:pPr>
      <w:r>
        <w:rPr>
          <w:rFonts w:ascii="Calibri" w:cs="Calibri" w:eastAsia="Calibri" w:hAnsi="Calibri"/>
          <w:sz w:val="22"/>
          <w:szCs w:val="22"/>
        </w:rPr>
        <w:t xml:space="preserve">Sections 3 &amp; 4 — Money Laundering: Directly applicable. The layered structure (13 genuine layers across 70,787 accounts, plus the deliberate structuring pattern in Finding F-04) is a textbook instance of "layering" under PMLA's definition of money laundering. The proceeds-of-crime trail from the two origin accounts through the 82 Hub accounts to the cash-out points documented in Section 8 should anchor the PMLA case.</w:t>
      </w:r>
    </w:p>
    <w:p>
      <w:pPr>
        <w:pStyle w:val="Heading3"/>
        <w:spacing w:after="120" w:before="200"/>
      </w:pPr>
      <w:r>
        <w:rPr>
          <w:rFonts w:ascii="Calibri" w:cs="Calibri" w:eastAsia="Calibri" w:hAnsi="Calibri"/>
          <w:b/>
          <w:bCs/>
          <w:color w:val="C00000"/>
          <w:sz w:val="23"/>
          <w:szCs w:val="23"/>
        </w:rPr>
        <w:t xml:space="preserve">Foreign Exchange Management Act (FEMA), 1999</w:t>
      </w:r>
    </w:p>
    <w:p>
      <w:pPr>
        <w:pStyle w:val="ListParagraph"/>
        <w:numPr>
          <w:ilvl w:val="0"/>
          <w:numId w:val="2"/>
        </w:numPr>
        <w:spacing w:after="90"/>
      </w:pPr>
      <w:r>
        <w:rPr>
          <w:rFonts w:ascii="Calibri" w:cs="Calibri" w:eastAsia="Calibri" w:hAnsi="Calibri"/>
          <w:sz w:val="22"/>
          <w:szCs w:val="22"/>
        </w:rPr>
        <w:t xml:space="preserve">To be assessed if any leg of the fund flow crossed into foreign exchange transactions or offshore accounts. Not directly evidenced in this dataset, but should be checked against any crypto off-ramp or international wallet activity referenced in the original FIR.</w:t>
      </w:r>
    </w:p>
    <w:p>
      <w:r>
        <w:br w:type="page"/>
      </w:r>
    </w:p>
    <w:p>
      <w:pPr>
        <w:pStyle w:val="Heading1"/>
        <w:spacing w:after="200" w:before="360"/>
      </w:pPr>
      <w:r>
        <w:rPr>
          <w:rFonts w:ascii="Calibri" w:cs="Calibri" w:eastAsia="Calibri" w:hAnsi="Calibri"/>
          <w:b/>
          <w:bCs/>
          <w:color w:val="1F3864"/>
          <w:sz w:val="30"/>
          <w:szCs w:val="30"/>
        </w:rPr>
        <w:t xml:space="preserve">10. RECOMMENDED ACTION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tblHeader/>
        </w:trPr>
        <w:tc>
          <w:tcPr>
            <w:tcW w:type="dxa" w:w="9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Priority</w:t>
            </w:r>
          </w:p>
        </w:tc>
        <w:tc>
          <w:tcPr>
            <w:tcW w:type="dxa" w:w="4200"/>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Action</w:t>
            </w:r>
          </w:p>
        </w:tc>
        <w:tc>
          <w:tcPr>
            <w:tcW w:type="dxa" w:w="3926"/>
            <w:tcBorders>
              <w:top w:val="single" w:color="B7C3D0" w:sz="2"/>
              <w:left w:val="single" w:color="B7C3D0" w:sz="2"/>
              <w:bottom w:val="single" w:color="B7C3D0" w:sz="2"/>
              <w:right w:val="single" w:color="B7C3D0" w:sz="2"/>
            </w:tcBorders>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Rationale</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P1</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Issue freeze requests for the 60 critical accounts (Section 7 / digital report)</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Maximises recovery per freeze action — ranked by realistic recoverable value and network centrality</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P1</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Issue a preservation/production notice to the payment gateway behind the 8 settlement-abuse accounts</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Rs. 1,13,95,86,716 moved through this single channel — gateway KYC/onboarding records will likely identify the real operators</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P2</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Pull subscriber/KYC details for the 2 accounts forming the Layer 14-42 ping-pong loop</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Both accounts independently rank as Hubs; the loop is itself evidence of a deliberate evasion technique for the chargesheet narrative</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P2</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Send branch-manager follow-up to the cheque cash-out branches identified in Section 8</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Physical cash withdrawal sites are the most actionable recovery/identification points (CCTV, signatory ID) before retention periods lapse</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P3</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Reconcile the Rs. 22 Crore intake figure against this report's Rs. 13.04 Crore traced figure with the original complainant/FIR</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Needed before finalising the chargesheet amount; the gap may indicate additional un-traced victim accounts</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P3</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Cross-check the 415 AEPS transactions against Aadhaar-linked biometric logs at the named agent locations</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AEPS withdrawals require biometric authentication — the strongest single identification lead for cash-out mules</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P3</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Seek direct confirmation from the originating bank on the Rs. 17.85cr / Rs. 178.55cr discrepancy (Finding F-02)</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A 10x error either way materially changes the total proceeds-of-crime figure for the chargesheet</w:t>
            </w:r>
          </w:p>
        </w:tc>
      </w:tr>
      <w:tr>
        <w:tc>
          <w:tcPr>
            <w:tcW w:type="dxa" w:w="9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center"/>
            </w:pPr>
            <w:r>
              <w:rPr>
                <w:rFonts w:ascii="Calibri" w:cs="Calibri" w:eastAsia="Calibri" w:hAnsi="Calibri"/>
                <w:color w:val="000000"/>
                <w:sz w:val="19"/>
                <w:szCs w:val="19"/>
              </w:rPr>
              <w:t xml:space="preserve">P4</w:t>
            </w:r>
          </w:p>
        </w:tc>
        <w:tc>
          <w:tcPr>
            <w:tcW w:type="dxa" w:w="4200"/>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Cross-reference this account universe against other open cases for the recurring fintech/wallet brand names noted in Finding F-08</w:t>
            </w:r>
          </w:p>
        </w:tc>
        <w:tc>
          <w:tcPr>
            <w:tcW w:type="dxa" w:w="3926"/>
            <w:tcBorders>
              <w:top w:val="single" w:color="B7C3D0" w:sz="2"/>
              <w:left w:val="single" w:color="B7C3D0" w:sz="2"/>
              <w:bottom w:val="single" w:color="B7C3D0" w:sz="2"/>
              <w:right w:val="single" w:color="B7C3D0" w:sz="2"/>
            </w:tcBorders>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May reveal shared mule infrastructure used across multiple unrelated FIRs</w:t>
            </w:r>
          </w:p>
        </w:tc>
      </w:tr>
    </w:tbl>
    <w:p>
      <w:r>
        <w:br w:type="page"/>
      </w:r>
    </w:p>
    <w:p>
      <w:pPr>
        <w:pStyle w:val="Heading1"/>
        <w:spacing w:after="200" w:before="360"/>
      </w:pPr>
      <w:r>
        <w:rPr>
          <w:rFonts w:ascii="Calibri" w:cs="Calibri" w:eastAsia="Calibri" w:hAnsi="Calibri"/>
          <w:b/>
          <w:bCs/>
          <w:color w:val="1F3864"/>
          <w:sz w:val="30"/>
          <w:szCs w:val="30"/>
        </w:rPr>
        <w:t xml:space="preserve">11. LIMITATIONS &amp; DISCLAIMERS</w:t>
      </w:r>
    </w:p>
    <w:p>
      <w:pPr>
        <w:pStyle w:val="Heading3"/>
        <w:spacing w:after="120" w:before="200"/>
      </w:pPr>
      <w:r>
        <w:rPr>
          <w:rFonts w:ascii="Calibri" w:cs="Calibri" w:eastAsia="Calibri" w:hAnsi="Calibri"/>
          <w:b/>
          <w:bCs/>
          <w:color w:val="C00000"/>
          <w:sz w:val="23"/>
          <w:szCs w:val="23"/>
        </w:rPr>
        <w:t xml:space="preserve">11.1 Scope of Analysis</w:t>
      </w:r>
    </w:p>
    <w:p>
      <w:pPr>
        <w:spacing w:after="120" w:before="0"/>
      </w:pPr>
      <w:r>
        <w:rPr>
          <w:rFonts w:ascii="Calibri" w:cs="Calibri" w:eastAsia="Calibri" w:hAnsi="Calibri"/>
          <w:sz w:val="22"/>
          <w:szCs w:val="22"/>
        </w:rPr>
        <w:t xml:space="preserve">This report is a computational forensic analysis of the transaction data supplied in the case export. It identifies patterns, ranks accounts by risk, and traces money flow — it does not constitute a legal determination of guilt, intent, or knowledge on the part of any account holder. Account holders flagged in this report (including those labelled "Hub" or recommended for freeze action) may include both knowing participants and victims of identity theft or account takeover; this distinction requires investigation beyond transaction-pattern analysis.</w:t>
      </w:r>
    </w:p>
    <w:p>
      <w:pPr>
        <w:pStyle w:val="Heading3"/>
        <w:spacing w:after="120" w:before="200"/>
      </w:pPr>
      <w:r>
        <w:rPr>
          <w:rFonts w:ascii="Calibri" w:cs="Calibri" w:eastAsia="Calibri" w:hAnsi="Calibri"/>
          <w:b/>
          <w:bCs/>
          <w:color w:val="C00000"/>
          <w:sz w:val="23"/>
          <w:szCs w:val="23"/>
        </w:rPr>
        <w:t xml:space="preserve">11.2 Unverified Information</w:t>
      </w:r>
    </w:p>
    <w:p>
      <w:pPr>
        <w:pStyle w:val="ListParagraph"/>
        <w:numPr>
          <w:ilvl w:val="0"/>
          <w:numId w:val="2"/>
        </w:numPr>
        <w:spacing w:after="90"/>
      </w:pPr>
      <w:r>
        <w:rPr>
          <w:rFonts w:ascii="Calibri" w:cs="Calibri" w:eastAsia="Calibri" w:hAnsi="Calibri"/>
          <w:sz w:val="22"/>
          <w:szCs w:val="22"/>
        </w:rPr>
        <w:t xml:space="preserve">"Likely name" fields shown for some accounts are extracted automatically from free-text transaction narration (UPI/RTGS/NEFT remarks) using pattern matching. These are investigative leads only and must be confirmed against bank KYC records before being relied upon for identification.</w:t>
      </w:r>
    </w:p>
    <w:p>
      <w:pPr>
        <w:pStyle w:val="ListParagraph"/>
        <w:numPr>
          <w:ilvl w:val="0"/>
          <w:numId w:val="2"/>
        </w:numPr>
        <w:spacing w:after="90"/>
      </w:pPr>
      <w:r>
        <w:rPr>
          <w:rFonts w:ascii="Calibri" w:cs="Calibri" w:eastAsia="Calibri" w:hAnsi="Calibri"/>
          <w:sz w:val="22"/>
          <w:szCs w:val="22"/>
        </w:rPr>
        <w:t xml:space="preserve">The discrepancy noted in Finding F-02 (Rs. 17.85 Crore vs. Rs. 178.55 Crore on a single transaction) is reported as found in the source data; this report does not assert which figure is correct and recommends direct verification with the originating bank via the transaction UTR.</w:t>
      </w:r>
    </w:p>
    <w:p>
      <w:pPr>
        <w:pStyle w:val="Heading3"/>
        <w:spacing w:after="120" w:before="200"/>
      </w:pPr>
      <w:r>
        <w:rPr>
          <w:rFonts w:ascii="Calibri" w:cs="Calibri" w:eastAsia="Calibri" w:hAnsi="Calibri"/>
          <w:b/>
          <w:bCs/>
          <w:color w:val="C00000"/>
          <w:sz w:val="23"/>
          <w:szCs w:val="23"/>
        </w:rPr>
        <w:t xml:space="preserve">11.3 Data-Quality Observations in the Source Records</w:t>
      </w:r>
    </w:p>
    <w:p>
      <w:pPr>
        <w:spacing w:after="120" w:before="0"/>
      </w:pPr>
      <w:r>
        <w:rPr>
          <w:rFonts w:ascii="Calibri" w:cs="Calibri" w:eastAsia="Calibri" w:hAnsi="Calibri"/>
          <w:sz w:val="22"/>
          <w:szCs w:val="22"/>
        </w:rPr>
        <w:t xml:space="preserve">The following anomalies were found in the bank-supplied source data itself during verification. They are disclosed for completeness; none materially affect the totals in this report.</w:t>
      </w:r>
    </w:p>
    <w:p>
      <w:pPr>
        <w:pStyle w:val="ListParagraph"/>
        <w:numPr>
          <w:ilvl w:val="0"/>
          <w:numId w:val="2"/>
        </w:numPr>
        <w:spacing w:after="90"/>
      </w:pPr>
      <w:r>
        <w:rPr>
          <w:rFonts w:ascii="Calibri" w:cs="Calibri" w:eastAsia="Calibri" w:hAnsi="Calibri"/>
          <w:sz w:val="22"/>
          <w:szCs w:val="22"/>
        </w:rPr>
        <w:t xml:space="preserve">Two of 88,454 transaction rows carry a "2024" year-date inconsistent with the surrounding pattern. One — a Rs. 50 lakh transfer from origin account 0110104000147200 dated 30/12/2024 — is identical in counterparty and amount to a confirmed genuine 30/12/2025 transaction in the same account's daily transfer pattern, strongly suggesting a one-year data-entry typo rather than an actual 2024 transaction.</w:t>
      </w:r>
    </w:p>
    <w:p>
      <w:pPr>
        <w:pStyle w:val="ListParagraph"/>
        <w:numPr>
          <w:ilvl w:val="0"/>
          <w:numId w:val="2"/>
        </w:numPr>
        <w:spacing w:after="90"/>
      </w:pPr>
      <w:r>
        <w:rPr>
          <w:rFonts w:ascii="Calibri" w:cs="Calibri" w:eastAsia="Calibri" w:hAnsi="Calibri"/>
          <w:sz w:val="22"/>
          <w:szCs w:val="22"/>
        </w:rPr>
        <w:t xml:space="preserve">Twelve rows across the dataset record a literal Rs. 0.00 transaction, consistent with balance-check or failed-transaction placeholders rather than genuine fund movement.</w:t>
      </w:r>
    </w:p>
    <w:p>
      <w:pPr>
        <w:pStyle w:val="ListParagraph"/>
        <w:numPr>
          <w:ilvl w:val="0"/>
          <w:numId w:val="2"/>
        </w:numPr>
        <w:spacing w:after="90"/>
      </w:pPr>
      <w:r>
        <w:rPr>
          <w:rFonts w:ascii="Calibri" w:cs="Calibri" w:eastAsia="Calibri" w:hAnsi="Calibri"/>
          <w:sz w:val="22"/>
          <w:szCs w:val="22"/>
        </w:rPr>
        <w:t xml:space="preserve">1,031 accounts appear only in the Hold/ATM/POS sheets with no corresponding entry in the Money Transfer sheet, indicating their inflow arrived through a channel not captured in this export (for example, a direct cash deposit). These are included in the account universe as "Untraced Receipt" for completeness but contribute no amount to the transfer-volume totals in Section 4.</w:t>
      </w:r>
    </w:p>
    <w:p>
      <w:pPr>
        <w:pStyle w:val="Heading3"/>
        <w:spacing w:after="120" w:before="200"/>
      </w:pPr>
      <w:r>
        <w:rPr>
          <w:rFonts w:ascii="Calibri" w:cs="Calibri" w:eastAsia="Calibri" w:hAnsi="Calibri"/>
          <w:b/>
          <w:bCs/>
          <w:color w:val="C00000"/>
          <w:sz w:val="23"/>
          <w:szCs w:val="23"/>
        </w:rPr>
        <w:t xml:space="preserve">11.4 Currency and Rounding</w:t>
      </w:r>
    </w:p>
    <w:p>
      <w:pPr>
        <w:spacing w:after="120" w:before="0"/>
      </w:pPr>
      <w:r>
        <w:rPr>
          <w:rFonts w:ascii="Calibri" w:cs="Calibri" w:eastAsia="Calibri" w:hAnsi="Calibri"/>
          <w:sz w:val="22"/>
          <w:szCs w:val="22"/>
        </w:rPr>
        <w:t xml:space="preserve">All figures are stated in Indian Rupees as recorded in the source bank data. Minor rounding differences (under Rs. 1) may appear between this document and the accompanying digital report due to independent rounding at different stages of computation; no such difference exceeds Rs. 1 for any figure in this report.</w:t>
      </w:r>
    </w:p>
    <w:p>
      <w:r>
        <w:br w:type="page"/>
      </w:r>
    </w:p>
    <w:p>
      <w:pPr>
        <w:pStyle w:val="Heading1"/>
        <w:spacing w:after="200" w:before="360"/>
      </w:pPr>
      <w:r>
        <w:rPr>
          <w:rFonts w:ascii="Calibri" w:cs="Calibri" w:eastAsia="Calibri" w:hAnsi="Calibri"/>
          <w:b/>
          <w:bCs/>
          <w:color w:val="1F3864"/>
          <w:sz w:val="30"/>
          <w:szCs w:val="30"/>
        </w:rPr>
        <w:t xml:space="preserve">12. ANNEXURES</w:t>
      </w:r>
    </w:p>
    <w:p>
      <w:pPr>
        <w:spacing w:after="120" w:before="0"/>
      </w:pPr>
      <w:r>
        <w:rPr>
          <w:rFonts w:ascii="Calibri" w:cs="Calibri" w:eastAsia="Calibri" w:hAnsi="Calibri"/>
          <w:sz w:val="22"/>
          <w:szCs w:val="22"/>
        </w:rPr>
        <w:t xml:space="preserve">The following supporting materials accompany this report and are available digitally:</w:t>
      </w:r>
    </w:p>
    <w:p>
      <w:pPr>
        <w:pStyle w:val="ListParagraph"/>
        <w:numPr>
          <w:ilvl w:val="0"/>
          <w:numId w:val="3"/>
        </w:numPr>
        <w:spacing w:after="90"/>
      </w:pPr>
      <w:r>
        <w:rPr>
          <w:rFonts w:ascii="Calibri" w:cs="Calibri" w:eastAsia="Calibri" w:hAnsi="Calibri"/>
          <w:sz w:val="22"/>
          <w:szCs w:val="22"/>
        </w:rPr>
        <w:t xml:space="preserve">FraudLens Interactive Digital Report (HTML) — the complete dashboard underlying this document, including: the full 70,787-account searchable table; the complete 1,646-record cash-out trail with branch manager contacts; the full ranked list of 60 critical accounts; the complete transaction ledger across all 10 source sheets; an interactive draggable network graph of the top 60 accounts; and a full layer-by-layer network visualisation covering every one of the 69,744 chain accounts and all 78,456 account-to-account relationships in the case, each clickable for its complete individual transaction history.</w:t>
      </w:r>
    </w:p>
    <w:p>
      <w:pPr>
        <w:pStyle w:val="ListParagraph"/>
        <w:numPr>
          <w:ilvl w:val="0"/>
          <w:numId w:val="3"/>
        </w:numPr>
        <w:spacing w:after="90"/>
      </w:pPr>
      <w:r>
        <w:rPr>
          <w:rFonts w:ascii="Calibri" w:cs="Calibri" w:eastAsia="Calibri" w:hAnsi="Calibri"/>
          <w:sz w:val="22"/>
          <w:szCs w:val="22"/>
        </w:rPr>
        <w:t xml:space="preserve">Original case export (Excel) — the unmodified source file as supplied by the case data contact, retained for chain-of-custody purposes.</w:t>
      </w:r>
    </w:p>
    <w:p>
      <w:pPr>
        <w:spacing w:after="300" w:before="0"/>
      </w:pPr>
      <w:r>
        <w:rPr>
          <w:rFonts w:ascii="Calibri" w:cs="Calibri" w:eastAsia="Calibri" w:hAnsi="Calibri"/>
          <w:sz w:val="22"/>
          <w:szCs w:val="22"/>
        </w:rPr>
        <w:t xml:space="preserve">Investigating officers requiring any specific transaction, account, or sub-set of this data not reproduced in this printed report should request it from the FraudLens analysis team referencing the relevant account number(s) or Finding ID(s) above; the complete underlying dataset remains available for targeted extraction.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right"/>
    </w:pPr>
    <w:r>
      <w:rPr>
        <w:rFonts w:ascii="Calibri" w:cs="Calibri" w:eastAsia="Calibri" w:hAnsi="Calibri"/>
        <w:color w:val="595959"/>
        <w:sz w:val="16"/>
        <w:szCs w:val="16"/>
      </w:rPr>
      <w:t xml:space="preserve">FraudLens Forensic Report — Case 31901260013198 — For Official / Law Enforcement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Financial Intelligence Report - Case 31901260013198</dc:title>
  <dc:creator>FraudLens Forensic Analysis</dc:creator>
  <dc:description>Cyber Financial Fraud Investigation - Money Trail, Layering &amp; Mule Account Analysis</dc:description>
  <cp:lastModifiedBy>Un-named</cp:lastModifiedBy>
  <cp:revision>1</cp:revision>
  <dcterms:created xsi:type="dcterms:W3CDTF">2026-06-23T00:20:50.912Z</dcterms:created>
  <dcterms:modified xsi:type="dcterms:W3CDTF">2026-06-23T00:20:50.913Z</dcterms:modified>
</cp:coreProperties>
</file>

<file path=docProps/custom.xml><?xml version="1.0" encoding="utf-8"?>
<Properties xmlns="http://schemas.openxmlformats.org/officeDocument/2006/custom-properties" xmlns:vt="http://schemas.openxmlformats.org/officeDocument/2006/docPropsVTypes"/>
</file>