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CTVD — Introduction citations [1]–[20]</w:t>
      </w:r>
    </w:p>
    <w:p>
      <w:pPr>
        <w:pStyle w:val="BodyText"/>
      </w:pPr>
      <w:r>
        <w:rPr>
          <w:bCs/>
          <w:b/>
        </w:rPr>
        <w:t xml:space="preserve">Introduction (paragraphs 1–2) with citations</w:t>
      </w:r>
    </w:p>
    <w:p>
      <w:pPr>
        <w:pStyle w:val="BodyText"/>
      </w:pPr>
      <w:r>
        <w:t xml:space="preserve">Solar drying lowers the energy cost and carbon intensity of agricultural processing [1,2], but intermittent irradiance makes it difficult to hold the air conditions a product needs through the day and into the night [3]. Cascaded phase change thermal storage, in which several phase change materials (PCMs) with staggered melting points are charged in series, improves the thermal match between collector and store and extends the period of useful heat [4–6]. For a three-stage store with melting points of 80, 70 and 60 °C coupled to a forced-convection dryer, Li et al. [7] reported up to 8.64% more storage capacity than a single-stage store and, after optimising the operating strategy, an 8.61% increase in moisture evaporation, a 13.05% gain in system efficiency and a 35.7% reduction in inlet-air temperature fluctuation. The same study records the limitation that motivates this work: over one summer cycle the store released 2119.8 kJ after the moisture ratio had stopped falling, so stored solar heat was discharged when it no longer removed water.</w:t>
      </w:r>
    </w:p>
    <w:p>
      <w:pPr>
        <w:pStyle w:val="BodyText"/>
      </w:pPr>
      <w:r>
        <w:t xml:space="preserve">This is a problem of how stored heat is spent, not how much is stored. Heat in a cascaded store differs by grade: 80 °C heat can do the work of 60 °C heat, but not the reverse [8]. Its value changes over a batch, because the moisture removed by one more degree of air temperature first rises and then decays as the product approaches its target [9–11]. Heat left when a batch ends is useful only if it is carried into the next batch, so reload timing is itself a decision on the store. Set-point control [12], rule-based switching and model predictive control (MPC) [13–15] respond to air temperature or to an energy objective over a forecast horizon; none assigns a value to a unit of heat at a given grade and drying stage. Two further difficulties follow once dispatch depends on that value. On the phase plateau a PCM’s temperature barely changes while its enthalpy changes substantially, so the liquid fraction of each stage is poorly observed [16–19], yet an estimation error matters only if it changes the dispatch decision. And the failure that matters, missing the target moisture by the deadline, is a property of the whole closed-loop episode, not of one-step prediction error [20].</w:t>
      </w:r>
    </w:p>
    <w:p>
      <w:pPr>
        <w:pStyle w:val="BodyText"/>
      </w:pPr>
      <w:r>
        <w:rPr>
          <w:bCs/>
          <w:b/>
        </w:rPr>
        <w:t xml:space="preserve">References</w:t>
      </w:r>
    </w:p>
    <w:p>
      <w:pPr>
        <w:pStyle w:val="BodyText"/>
      </w:pPr>
      <w:r>
        <w:t xml:space="preserve">[1] A. Kumar, S. Biswas, R. Kumar, A. Mandal, Experimental appraisal &amp; dual efficiency optimization of a modified indirect solar dryer: Heat &amp; mass transfer analysis with a hybrid ANN approach, Renew. Energy 249 (2025) 123098. https://doi.org/10.1016/j.renene.2025.123098 — Elsevier</w:t>
      </w:r>
    </w:p>
    <w:p>
      <w:pPr>
        <w:pStyle w:val="BodyText"/>
      </w:pPr>
      <w:r>
        <w:t xml:space="preserve">[2] A.D. Dhass, N. Beemkumar, M. Sunil Kumar, G. Subbiah, R.P. Singh, K. Kamakshi Priya, Enhancing solar drying systems through integrated thermal energy storage and solar-assisted heat pump technologies: A pathway to sustainable food processing, Results Eng. 28 (2025) 107125. https://doi.org/10.1016/j.rineng.2025.107125 — Elsevier, open access (CC BY-NC-ND)</w:t>
      </w:r>
    </w:p>
    <w:p>
      <w:pPr>
        <w:pStyle w:val="BodyText"/>
      </w:pPr>
      <w:r>
        <w:t xml:space="preserve">[3] V.S. Krishna, S.K. Jain, N.L. Panwar, R. Sree, An overview on phase change material incorporated in convective solar dryers, J. Energy Storage 131 (2025) 117486. https://doi.org/10.1016/j.est.2025.117486 — Elsevier</w:t>
      </w:r>
    </w:p>
    <w:p>
      <w:pPr>
        <w:pStyle w:val="BodyText"/>
      </w:pPr>
      <w:r>
        <w:t xml:space="preserve">[4] J. Wu, J. Fan, T. Ma, W. Kong, Z. Chang, X. Li, Identifying driving factors in cascaded packed bed latent thermal energy storage: An experimental validation, Renew. Energy 224 (2024) 120191. https://doi.org/10.1016/j.renene.2024.120191 — Elsevier</w:t>
      </w:r>
    </w:p>
    <w:p>
      <w:pPr>
        <w:pStyle w:val="BodyText"/>
      </w:pPr>
      <w:r>
        <w:t xml:space="preserve">[5] X. He, W. Wang, Y. Shuai, Y. Hou, J. Qiu, Dynamic thermal performance analysis and experimental study of cascaded packed-bed latent thermal energy storage integrated solar trough collectors, Renew. Energy 232 (2024) 121043. https://doi.org/10.1016/j.renene.2024.121043 — Elsevier</w:t>
      </w:r>
    </w:p>
    <w:p>
      <w:pPr>
        <w:pStyle w:val="BodyText"/>
      </w:pPr>
      <w:r>
        <w:t xml:space="preserve">[6] M.S. Kabasa, S. Biira, P. Tumutegyereize, Numerical investigation of cascaded phase-change material mass ratios for latent heat thermal energy storage in solar crop drying, Discov. Energy 6 (2026) 66. https://doi.org/10.1007/s43937-026-00167-y — Springer, open access</w:t>
      </w:r>
    </w:p>
    <w:p>
      <w:pPr>
        <w:pStyle w:val="BodyText"/>
      </w:pPr>
      <w:r>
        <w:t xml:space="preserve">[7] X. Li, Y. Gao, G. Yuan, X. Guo, J. Li, Performance optimization of a solar drying system with cascaded phase change thermal storage based on dynamic drying model, Renew. Energy 263 (2026) 125444. https://doi.org/10.1016/j.renene.2026.125444 — Elsevier</w:t>
      </w:r>
    </w:p>
    <w:p>
      <w:pPr>
        <w:pStyle w:val="BodyText"/>
      </w:pPr>
      <w:r>
        <w:t xml:space="preserve">[8] Y. Gao, X. Sun, Z. Zhang, T. He, Z. Dai, X. Dong, C. Wang, X. She, G. Yin, Thermal grade regulation of cascaded packed-bed thermal storage for liquid air energy storage coupled with coal-fired power plants, Appl. Therm. Eng. 306 (2026) 133239. https://doi.org/10.1016/j.applthermaleng.2026.133239 — Elsevier</w:t>
      </w:r>
    </w:p>
    <w:p>
      <w:pPr>
        <w:pStyle w:val="BodyText"/>
      </w:pPr>
      <w:r>
        <w:t xml:space="preserve">[9] M. Efendi, Influence of glazing type on the drying kinetics and thermal performance of indirect solar dryer for jelly candy, Renew. Energy 231 (2024) 120950. https://doi.org/10.1016/j.renene.2024.120950 — Elsevier</w:t>
      </w:r>
    </w:p>
    <w:p>
      <w:pPr>
        <w:pStyle w:val="BodyText"/>
      </w:pPr>
      <w:r>
        <w:t xml:space="preserve">[10] D. Rodríguez-Ortiz, A.Y. Alanis, Á. Tlatelpa Becerro, J. Escobedo Bretado, J.D. Rios, E.C. López-Vidaña, Prediction of drying kinetics and microclimate conditions in a tunnel-type solar dryer using multilayer perceptron neural networks, Processes 14 (2026) 675. https://doi.org/10.3390/pr14040675 — MDPI, open access</w:t>
      </w:r>
    </w:p>
    <w:p>
      <w:pPr>
        <w:pStyle w:val="BodyText"/>
      </w:pPr>
      <w:r>
        <w:t xml:space="preserve">[11] A.A. Alhashmi, C. Sureshkumar, G. Aldehim, M.H. Alghamdi, R. Alabdan, M.M. Alnfia, A. Munimathan, S. Vivek, Thermodynamic optimization of active and passive indirect solar dryers through hybrid ANN–RSM energy modeling, J. Therm. Anal. Calorim. 151 (2026) 11091–11114. https://doi.org/10.1007/s10973-026-15672-4 — Springer</w:t>
      </w:r>
    </w:p>
    <w:p>
      <w:pPr>
        <w:pStyle w:val="BodyText"/>
      </w:pPr>
      <w:r>
        <w:t xml:space="preserve">[12] S. Rejabov, B.S. Usmonov, K. Usmanov, J. Eshbobaev, M. Yusupov, Development of a temperature regulation system for solar dryers based on artificial neural network-driven intelligent control, Eng. Proc. 117 (2025) 53. https://doi.org/10.3390/engproc2025117053 — MDPI, open access</w:t>
      </w:r>
    </w:p>
    <w:p>
      <w:pPr>
        <w:pStyle w:val="BodyText"/>
      </w:pPr>
      <w:r>
        <w:t xml:space="preserve">[13] S. Tarvainen, E. Hirvijoki, T. Laukkanen, Evaluation of reinforcement learning and model predictive control for apartment heating with heat pump and water storage tank, J. Energy Storage 152 (2026) 120509. https://doi.org/10.1016/j.est.2026.120509 — Elsevier</w:t>
      </w:r>
    </w:p>
    <w:p>
      <w:pPr>
        <w:pStyle w:val="BodyText"/>
      </w:pPr>
      <w:r>
        <w:t xml:space="preserve">[14] A.C. Nunna, O. Galteland, L. Georges, Y. Zong, Optimal control of a bio-based phase change material thermal energy storage for demand response, Energy Convers. Manag. 326 (2025) 119476. https://doi.org/10.1016/j.enconman.2024.119476 — Elsevier, open access (CC BY)</w:t>
      </w:r>
    </w:p>
    <w:p>
      <w:pPr>
        <w:pStyle w:val="BodyText"/>
      </w:pPr>
      <w:r>
        <w:t xml:space="preserve">[15] Y. Chen, I. Marotta, V. Palomba, T. Ohlson Timoudas, Q. Wang, Model predictive control guided imitation learning for optimal control of PCM thermal energy storage, Appl. Therm. Eng. 295 (2026) 130741. https://doi.org/10.1016/j.applthermaleng.2026.130741 — Elsevier</w:t>
      </w:r>
    </w:p>
    <w:p>
      <w:pPr>
        <w:pStyle w:val="BodyText"/>
      </w:pPr>
      <w:r>
        <w:t xml:space="preserve">[16] H. Bastida, I. De la Cruz-Loredo, P. Saikia, C.E. Ugalde-Loo, Discrete-time state-of-charge estimator for latent heat thermal energy storage units based on a recurrent neural network, Appl. Energy 371 (2024) 123526. https://doi.org/10.1016/j.apenergy.2024.123526 — Elsevier, open access (CC BY)</w:t>
      </w:r>
    </w:p>
    <w:p>
      <w:pPr>
        <w:pStyle w:val="BodyText"/>
      </w:pPr>
      <w:r>
        <w:t xml:space="preserve">[17] J. Wilson, R.J. Barthorpe, F. Terzioglu, Alternative sensing for state-of-charge estimation of latent heat thermal energy storage, Energies 18 (2025) 2853. https://doi.org/10.3390/en18112853 — MDPI, open access</w:t>
      </w:r>
    </w:p>
    <w:p>
      <w:pPr>
        <w:pStyle w:val="BodyText"/>
      </w:pPr>
      <w:r>
        <w:t xml:space="preserve">[18] M. Habib, Y. Elomari, F. Hochwallner, A. Buruzs, T. Barz, Q. Wang, Extended Kalman filter on sparse identification of nonlinear systems: application to the SoC estimation of a phase change material-based energy storage, Energy Convers. Manag. X 27 (2025) 101199. https://doi.org/10.1016/j.ecmx.2025.101199 — Elsevier, open access (CC BY)</w:t>
      </w:r>
    </w:p>
    <w:p>
      <w:pPr>
        <w:pStyle w:val="BodyText"/>
      </w:pPr>
      <w:r>
        <w:t xml:space="preserve">[19] C. Pan, Y. Li, State of charge estimation for latent-heat thermal energy storage using data-driven hysteresis modeling and Koopman state observer, J. Energy Storage 153 (2026) 120954. https://doi.org/10.1016/j.est.2026.120954 — Elsevier</w:t>
      </w:r>
    </w:p>
    <w:p>
      <w:pPr>
        <w:pStyle w:val="BodyText"/>
      </w:pPr>
      <w:r>
        <w:t xml:space="preserve">[20] B.Y. Ekren, D. Huo, N. Balta-Ozkan, Comfort-aware distributionally robust chance-constrained scheduling of PV-assisted heat pumps under dynamic tariffs: A DOE–ANOVA interaction analysis, Appl. Therm. Eng. 298 (2026) 130832. https://doi.org/10.1016/j.applthermaleng.2026.130832 — Elsevier, open access (CC BY)</w:t>
      </w:r>
    </w:p>
    <w:p>
      <w:pPr>
        <w:pStyle w:val="BodyText"/>
      </w:pPr>
      <w:r>
        <w:rPr>
          <w:bCs/>
          <w:b/>
        </w:rPr>
        <w:t xml:space="preserve">Renumbering required in the rest of the manuscript</w:t>
      </w:r>
    </w:p>
    <w:p>
      <w:pPr>
        <w:pStyle w:val="BodyText"/>
      </w:pPr>
      <w:r>
        <w:t xml:space="preserve">Li et al. is now [7]. Because the Introduction uses [1]–[20], the Related Work citations change as follows: Vigneshkumar [20]→[21], Das [21]→[22], Abuelnuor [22]→[23], Atsbeha [23]→[24], Meneceur [24]→[25], Li et al. [25]→[7]. All other numbers ([26]–[34]) are unchanged.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2026-10-14T10:34:53Z</dcterms:created>
  <dcterms:modified xsi:type="dcterms:W3CDTF">2026-10-14T10:34:53Z</dcterms:modified>
</cp:coreProperties>
</file>

<file path=docProps/custom.xml><?xml version="1.0" encoding="utf-8"?>
<Properties xmlns="http://schemas.openxmlformats.org/officeDocument/2006/custom-properties" xmlns:vt="http://schemas.openxmlformats.org/officeDocument/2006/docPropsVTypes"/>
</file>