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60"/>
      </w:pPr>
      <w:r>
        <w:rPr>
          <w:rFonts w:ascii="Aptos" w:hAnsi="Aptos"/>
          <w:b/>
          <w:color w:val="2563EB"/>
          <w:sz w:val="22"/>
        </w:rPr>
        <w:t>SQL PORTFOLIO CASE STUDY</w:t>
      </w:r>
    </w:p>
    <w:p>
      <w:pPr>
        <w:spacing w:after="60"/>
      </w:pPr>
      <w:r>
        <w:rPr>
          <w:rFonts w:ascii="Aptos Display" w:hAnsi="Aptos Display"/>
          <w:b/>
          <w:color w:val="0B1F3A"/>
          <w:sz w:val="60"/>
        </w:rPr>
        <w:t>Data Analyst Salary</w:t>
        <w:br/>
        <w:t>Analysis</w:t>
      </w:r>
    </w:p>
    <w:p>
      <w:pPr>
        <w:spacing w:after="360"/>
      </w:pPr>
      <w:r>
        <w:rPr>
          <w:rFonts w:ascii="Aptos" w:hAnsi="Aptos"/>
          <w:color w:val="64748B"/>
          <w:sz w:val="24"/>
        </w:rPr>
        <w:t>Exploring salary patterns by role, experience, employment type, geography, and year using SQL.</w:t>
      </w:r>
    </w:p>
    <w:tbl>
      <w:tblPr>
        <w:tblW w:type="auto" w:w="0"/>
        <w:jc w:val="center"/>
        <w:tblLayout w:type="fixed"/>
        <w:tblLook w:firstColumn="1" w:firstRow="1" w:lastColumn="0" w:lastRow="0" w:noHBand="0" w:noVBand="1" w:val="04A0"/>
      </w:tblPr>
      <w:tblGrid>
        <w:gridCol w:w="9864"/>
      </w:tblGrid>
      <w:tr>
        <w:trPr>
          <w:cantSplit/>
        </w:trPr>
        <w:tc>
          <w:tcPr>
            <w:tcW w:type="dxa" w:w="10166"/>
            <w:shd w:fill="EEF4FF"/>
          </w:tcPr>
          <w:p>
            <w:pPr>
              <w:spacing w:after="40"/>
            </w:pPr>
            <w:r>
              <w:rPr>
                <w:rFonts w:ascii="Aptos" w:hAnsi="Aptos"/>
                <w:b/>
                <w:color w:val="2563EB"/>
                <w:sz w:val="19"/>
              </w:rPr>
              <w:t>PROJECT SNAPSHOT</w:t>
            </w:r>
          </w:p>
          <w:p>
            <w:pPr>
              <w:spacing w:after="0"/>
            </w:pPr>
            <w:r>
              <w:rPr>
                <w:rFonts w:ascii="Aptos" w:hAnsi="Aptos"/>
                <w:color w:val="111827"/>
                <w:sz w:val="18"/>
              </w:rPr>
              <w:t>Dataset: ds_salaries (source document)  |  Focus: Data Analyst roles  |  SQL techniques: NULL check, DISTINCT, LIKE, AVG, GROUP BY, HAVING, CTE, JOIN</w:t>
            </w:r>
          </w:p>
        </w:tc>
      </w:tr>
    </w:tbl>
    <w:p>
      <w:pPr>
        <w:spacing w:after="20"/>
      </w:pPr>
    </w:p>
    <w:tbl>
      <w:tblPr>
        <w:tblStyle w:val="TableGrid"/>
        <w:tblW w:type="auto" w:w="0"/>
        <w:jc w:val="center"/>
        <w:tblLook w:firstColumn="1" w:firstRow="1" w:lastColumn="0" w:lastRow="0" w:noHBand="0" w:noVBand="1" w:val="04A0"/>
      </w:tblPr>
      <w:tblGrid>
        <w:gridCol w:w="2088"/>
        <w:gridCol w:w="7488"/>
      </w:tblGrid>
      <w:tr>
        <w:trPr>
          <w:tblHeader w:val="true"/>
          <w:cantSplit/>
        </w:trPr>
        <w:tc>
          <w:tcPr>
            <w:tcW w:type="dxa" w:w="5083"/>
            <w:shd w:fill="0B1F3A"/>
            <w:vAlign w:val="center"/>
          </w:tcPr>
          <w:p>
            <w:pPr>
              <w:spacing w:after="0"/>
            </w:pPr>
            <w:r/>
            <w:r>
              <w:rPr>
                <w:rFonts w:ascii="Aptos" w:hAnsi="Aptos"/>
                <w:b/>
                <w:color w:val="FFFFFF"/>
                <w:sz w:val="17"/>
              </w:rPr>
              <w:t>Area</w:t>
            </w:r>
          </w:p>
        </w:tc>
        <w:tc>
          <w:tcPr>
            <w:tcW w:type="dxa" w:w="5083"/>
            <w:shd w:fill="0B1F3A"/>
            <w:vAlign w:val="center"/>
          </w:tcPr>
          <w:p>
            <w:pPr>
              <w:spacing w:after="0"/>
            </w:pPr>
            <w:r/>
            <w:r>
              <w:rPr>
                <w:rFonts w:ascii="Aptos" w:hAnsi="Aptos"/>
                <w:b/>
                <w:color w:val="FFFFFF"/>
                <w:sz w:val="17"/>
              </w:rPr>
              <w:t>What was analyzed</w:t>
            </w:r>
          </w:p>
        </w:tc>
      </w:tr>
      <w:tr>
        <w:trPr>
          <w:cantSplit/>
        </w:trPr>
        <w:tc>
          <w:tcPr>
            <w:tcW w:type="dxa" w:w="5083"/>
            <w:shd w:fill="F8FAFC"/>
            <w:vAlign w:val="center"/>
          </w:tcPr>
          <w:p>
            <w:pPr>
              <w:spacing w:after="0"/>
            </w:pPr>
            <w:r/>
            <w:r>
              <w:rPr>
                <w:rFonts w:ascii="Aptos" w:hAnsi="Aptos"/>
                <w:b w:val="0"/>
                <w:color w:val="111827"/>
                <w:sz w:val="17"/>
              </w:rPr>
              <w:t>Data Quality</w:t>
            </w:r>
          </w:p>
        </w:tc>
        <w:tc>
          <w:tcPr>
            <w:tcW w:type="dxa" w:w="5083"/>
            <w:shd w:fill="F8FAFC"/>
            <w:vAlign w:val="center"/>
          </w:tcPr>
          <w:p>
            <w:pPr>
              <w:spacing w:after="0"/>
            </w:pPr>
            <w:r/>
            <w:r>
              <w:rPr>
                <w:rFonts w:ascii="Aptos" w:hAnsi="Aptos"/>
                <w:b w:val="0"/>
                <w:color w:val="111827"/>
                <w:sz w:val="17"/>
              </w:rPr>
              <w:t>Completeness check across key salary and job attributes</w:t>
            </w:r>
          </w:p>
        </w:tc>
      </w:tr>
      <w:tr>
        <w:trPr>
          <w:cantSplit/>
        </w:trPr>
        <w:tc>
          <w:tcPr>
            <w:tcW w:type="dxa" w:w="5083"/>
            <w:vAlign w:val="center"/>
          </w:tcPr>
          <w:p>
            <w:pPr>
              <w:spacing w:after="0"/>
            </w:pPr>
            <w:r/>
            <w:r>
              <w:rPr>
                <w:rFonts w:ascii="Aptos" w:hAnsi="Aptos"/>
                <w:b w:val="0"/>
                <w:color w:val="111827"/>
                <w:sz w:val="17"/>
              </w:rPr>
              <w:t>Role Exploration</w:t>
            </w:r>
          </w:p>
        </w:tc>
        <w:tc>
          <w:tcPr>
            <w:tcW w:type="dxa" w:w="5083"/>
            <w:vAlign w:val="center"/>
          </w:tcPr>
          <w:p>
            <w:pPr>
              <w:spacing w:after="0"/>
            </w:pPr>
            <w:r/>
            <w:r>
              <w:rPr>
                <w:rFonts w:ascii="Aptos" w:hAnsi="Aptos"/>
                <w:b w:val="0"/>
                <w:color w:val="111827"/>
                <w:sz w:val="17"/>
              </w:rPr>
              <w:t>Distinct job titles and titles containing "data analyst"</w:t>
            </w:r>
          </w:p>
        </w:tc>
      </w:tr>
      <w:tr>
        <w:trPr>
          <w:cantSplit/>
        </w:trPr>
        <w:tc>
          <w:tcPr>
            <w:tcW w:type="dxa" w:w="5083"/>
            <w:shd w:fill="F8FAFC"/>
            <w:vAlign w:val="center"/>
          </w:tcPr>
          <w:p>
            <w:pPr>
              <w:spacing w:after="0"/>
            </w:pPr>
            <w:r/>
            <w:r>
              <w:rPr>
                <w:rFonts w:ascii="Aptos" w:hAnsi="Aptos"/>
                <w:b w:val="0"/>
                <w:color w:val="111827"/>
                <w:sz w:val="17"/>
              </w:rPr>
              <w:t>Compensation</w:t>
            </w:r>
          </w:p>
        </w:tc>
        <w:tc>
          <w:tcPr>
            <w:tcW w:type="dxa" w:w="5083"/>
            <w:shd w:fill="F8FAFC"/>
            <w:vAlign w:val="center"/>
          </w:tcPr>
          <w:p>
            <w:pPr>
              <w:spacing w:after="0"/>
            </w:pPr>
            <w:r/>
            <w:r>
              <w:rPr>
                <w:rFonts w:ascii="Aptos" w:hAnsi="Aptos"/>
                <w:b w:val="0"/>
                <w:color w:val="111827"/>
                <w:sz w:val="17"/>
              </w:rPr>
              <w:t>Average salary overall, by experience, and by employment type</w:t>
            </w:r>
          </w:p>
        </w:tc>
      </w:tr>
      <w:tr>
        <w:trPr>
          <w:cantSplit/>
        </w:trPr>
        <w:tc>
          <w:tcPr>
            <w:tcW w:type="dxa" w:w="5083"/>
            <w:vAlign w:val="center"/>
          </w:tcPr>
          <w:p>
            <w:pPr>
              <w:spacing w:after="0"/>
            </w:pPr>
            <w:r/>
            <w:r>
              <w:rPr>
                <w:rFonts w:ascii="Aptos" w:hAnsi="Aptos"/>
                <w:b w:val="0"/>
                <w:color w:val="111827"/>
                <w:sz w:val="17"/>
              </w:rPr>
              <w:t>Geography</w:t>
            </w:r>
          </w:p>
        </w:tc>
        <w:tc>
          <w:tcPr>
            <w:tcW w:type="dxa" w:w="5083"/>
            <w:vAlign w:val="center"/>
          </w:tcPr>
          <w:p>
            <w:pPr>
              <w:spacing w:after="0"/>
            </w:pPr>
            <w:r/>
            <w:r>
              <w:rPr>
                <w:rFonts w:ascii="Aptos" w:hAnsi="Aptos"/>
                <w:b w:val="0"/>
                <w:color w:val="111827"/>
                <w:sz w:val="17"/>
              </w:rPr>
              <w:t>Countries with attractive average salaries for FT Entry/Mid roles</w:t>
            </w:r>
          </w:p>
        </w:tc>
      </w:tr>
      <w:tr>
        <w:trPr>
          <w:cantSplit/>
        </w:trPr>
        <w:tc>
          <w:tcPr>
            <w:tcW w:type="dxa" w:w="5083"/>
            <w:shd w:fill="F8FAFC"/>
            <w:vAlign w:val="center"/>
          </w:tcPr>
          <w:p>
            <w:pPr>
              <w:spacing w:after="0"/>
            </w:pPr>
            <w:r/>
            <w:r>
              <w:rPr>
                <w:rFonts w:ascii="Aptos" w:hAnsi="Aptos"/>
                <w:b w:val="0"/>
                <w:color w:val="111827"/>
                <w:sz w:val="17"/>
              </w:rPr>
              <w:t>Year-over-Year</w:t>
            </w:r>
          </w:p>
        </w:tc>
        <w:tc>
          <w:tcPr>
            <w:tcW w:type="dxa" w:w="5083"/>
            <w:shd w:fill="F8FAFC"/>
            <w:vAlign w:val="center"/>
          </w:tcPr>
          <w:p>
            <w:pPr>
              <w:spacing w:after="0"/>
            </w:pPr>
            <w:r/>
            <w:r>
              <w:rPr>
                <w:rFonts w:ascii="Aptos" w:hAnsi="Aptos"/>
                <w:b w:val="0"/>
                <w:color w:val="111827"/>
                <w:sz w:val="17"/>
              </w:rPr>
              <w:t>Executive vs Mid salary gap by year (as implemented in source SQL)</w:t>
            </w:r>
          </w:p>
        </w:tc>
      </w:tr>
    </w:tbl>
    <w:p>
      <w:pPr>
        <w:spacing w:after="20"/>
      </w:pPr>
    </w:p>
    <w:p>
      <w:pPr>
        <w:spacing w:after="100" w:line="259" w:lineRule="auto"/>
      </w:pPr>
      <w:r>
        <w:rPr>
          <w:rFonts w:ascii="Aptos" w:hAnsi="Aptos"/>
          <w:color w:val="111827"/>
          <w:sz w:val="19"/>
        </w:rPr>
        <w:t>Portfolio objective: demonstrate how raw salary data can be transformed into decision-oriented insights with readable, reproducible SQL. The analysis intentionally separates data-quality validation from business questions.</w:t>
      </w:r>
    </w:p>
    <w:p>
      <w:pPr>
        <w:spacing w:before="200" w:after="100"/>
        <w:pBdr>
          <w:bottom w:val="single" w:sz="8" w:space="1" w:color="0B1F3A"/>
        </w:pBdr>
      </w:pPr>
      <w:r>
        <w:rPr>
          <w:rFonts w:ascii="Aptos Display" w:hAnsi="Aptos Display"/>
          <w:b/>
          <w:color w:val="0B1F3A"/>
          <w:sz w:val="32"/>
        </w:rPr>
        <w:t>1. Business Questions</w:t>
      </w:r>
    </w:p>
    <w:p>
      <w:pPr>
        <w:spacing w:after="100" w:line="259" w:lineRule="auto"/>
      </w:pPr>
      <w:r>
        <w:rPr>
          <w:rFonts w:ascii="Aptos" w:hAnsi="Aptos"/>
          <w:color w:val="111827"/>
          <w:sz w:val="19"/>
        </w:rPr>
        <w:t>The project is structured around six practical questions:</w:t>
      </w:r>
    </w:p>
    <w:p>
      <w:pPr>
        <w:spacing w:after="60"/>
        <w:ind w:left="259"/>
      </w:pPr>
      <w:r>
        <w:rPr>
          <w:rFonts w:ascii="Aptos" w:hAnsi="Aptos"/>
          <w:sz w:val="19"/>
        </w:rPr>
        <w:t>• Is the dataset complete enough for salary analysis?</w:t>
      </w:r>
    </w:p>
    <w:p>
      <w:pPr>
        <w:spacing w:after="60"/>
        <w:ind w:left="259"/>
      </w:pPr>
      <w:r>
        <w:rPr>
          <w:rFonts w:ascii="Aptos" w:hAnsi="Aptos"/>
          <w:sz w:val="19"/>
        </w:rPr>
        <w:t>• What job titles appear in the source data, and which are related to Data Analyst?</w:t>
      </w:r>
    </w:p>
    <w:p>
      <w:pPr>
        <w:spacing w:after="60"/>
        <w:ind w:left="259"/>
      </w:pPr>
      <w:r>
        <w:rPr>
          <w:rFonts w:ascii="Aptos" w:hAnsi="Aptos"/>
          <w:sz w:val="19"/>
        </w:rPr>
        <w:t>• What is the average salary for Data Analyst roles, and how does it vary by experience?</w:t>
      </w:r>
    </w:p>
    <w:p>
      <w:pPr>
        <w:spacing w:after="60"/>
        <w:ind w:left="259"/>
      </w:pPr>
      <w:r>
        <w:rPr>
          <w:rFonts w:ascii="Aptos" w:hAnsi="Aptos"/>
          <w:sz w:val="19"/>
        </w:rPr>
        <w:t>• How does compensation differ across employment types and experience levels?</w:t>
      </w:r>
    </w:p>
    <w:p>
      <w:pPr>
        <w:spacing w:after="60"/>
        <w:ind w:left="259"/>
      </w:pPr>
      <w:r>
        <w:rPr>
          <w:rFonts w:ascii="Aptos" w:hAnsi="Aptos"/>
          <w:sz w:val="19"/>
        </w:rPr>
        <w:t>• Which company-location countries show relatively high average salaries for full-time Entry/Mid Data Analyst roles?</w:t>
      </w:r>
    </w:p>
    <w:p>
      <w:pPr>
        <w:spacing w:after="60"/>
        <w:ind w:left="259"/>
      </w:pPr>
      <w:r>
        <w:rPr>
          <w:rFonts w:ascii="Aptos" w:hAnsi="Aptos"/>
          <w:sz w:val="19"/>
        </w:rPr>
        <w:t>• How large is the annual salary gap between Executive and Mid-level Data Analyst roles?</w:t>
      </w:r>
    </w:p>
    <w:p>
      <w:pPr>
        <w:spacing w:before="200" w:after="100"/>
        <w:pBdr>
          <w:bottom w:val="single" w:sz="8" w:space="1" w:color="0B1F3A"/>
        </w:pBdr>
        <w:pageBreakBefore/>
      </w:pPr>
      <w:r>
        <w:rPr>
          <w:rFonts w:ascii="Aptos Display" w:hAnsi="Aptos Display"/>
          <w:b/>
        </w:rPr>
        <w:t>01  Data Quality Check</w:t>
      </w:r>
    </w:p>
    <w:p>
      <w:pPr>
        <w:spacing w:after="100" w:line="259" w:lineRule="auto"/>
      </w:pPr>
      <w:r>
        <w:rPr>
          <w:rFonts w:ascii="Aptos" w:hAnsi="Aptos"/>
          <w:color w:val="111827"/>
          <w:sz w:val="19"/>
        </w:rPr>
        <w:t>Before computing salary metrics, the source document checks whether any critical fields are NULL. This is a standard first step because missing salary, role, experience, or location values can distort grouped averages and comparisons.</w:t>
      </w:r>
    </w:p>
    <w:tbl>
      <w:tblPr>
        <w:tblW w:type="auto" w:w="0"/>
        <w:jc w:val="center"/>
        <w:tblLayout w:type="fixed"/>
        <w:tblLook w:firstColumn="1" w:firstRow="1" w:lastColumn="0" w:lastRow="0" w:noHBand="0" w:noVBand="1" w:val="04A0"/>
      </w:tblPr>
      <w:tblGrid>
        <w:gridCol w:w="9936"/>
      </w:tblGrid>
      <w:tr>
        <w:trPr>
          <w:cantSplit/>
        </w:trPr>
        <w:tc>
          <w:tcPr>
            <w:tcW w:type="dxa" w:w="10166"/>
            <w:shd w:fill="F3F6FA"/>
          </w:tcPr>
          <w:p>
            <w:pPr>
              <w:spacing w:after="0" w:line="240" w:lineRule="auto"/>
            </w:pPr>
            <w:r>
              <w:rPr>
                <w:rFonts w:ascii="Consolas" w:hAnsi="Consolas"/>
                <w:color w:val="111827"/>
                <w:sz w:val="16"/>
              </w:rPr>
              <w:t>SELECT *</w:t>
              <w:br/>
              <w:t>FROM `ds_salaries (tugas besar data analisis)`</w:t>
              <w:br/>
              <w:t>WHERE work_year IS NULL</w:t>
              <w:br/>
              <w:t xml:space="preserve">   OR experience_level IS NULL</w:t>
              <w:br/>
              <w:t xml:space="preserve">   OR employment_type IS NULL</w:t>
              <w:br/>
              <w:t xml:space="preserve">   OR job_title IS NULL</w:t>
              <w:br/>
              <w:t xml:space="preserve">   OR salary IS NULL</w:t>
              <w:br/>
              <w:t xml:space="preserve">   OR salary_currency IS NULL</w:t>
              <w:br/>
              <w:t xml:space="preserve">   OR salary_in_usd IS NULL</w:t>
              <w:br/>
              <w:t xml:space="preserve">   OR employee_residence IS NULL</w:t>
              <w:br/>
              <w:t xml:space="preserve">   OR remote_ratio IS NULL</w:t>
              <w:br/>
              <w:t xml:space="preserve">   OR company_location IS NULL</w:t>
              <w:br/>
              <w:t xml:space="preserve">   OR company_size IS NULL;</w:t>
            </w:r>
          </w:p>
        </w:tc>
      </w:tr>
    </w:tbl>
    <w:p>
      <w:pPr>
        <w:spacing w:after="20"/>
      </w:pPr>
    </w:p>
    <w:tbl>
      <w:tblPr>
        <w:tblW w:type="auto" w:w="0"/>
        <w:jc w:val="center"/>
        <w:tblLayout w:type="fixed"/>
        <w:tblLook w:firstColumn="1" w:firstRow="1" w:lastColumn="0" w:lastRow="0" w:noHBand="0" w:noVBand="1" w:val="04A0"/>
      </w:tblPr>
      <w:tblGrid>
        <w:gridCol w:w="9864"/>
      </w:tblGrid>
      <w:tr>
        <w:trPr>
          <w:cantSplit/>
        </w:trPr>
        <w:tc>
          <w:tcPr>
            <w:tcW w:type="dxa" w:w="10166"/>
            <w:shd w:fill="ECFDF5"/>
          </w:tcPr>
          <w:p>
            <w:pPr>
              <w:spacing w:after="40"/>
            </w:pPr>
            <w:r>
              <w:rPr>
                <w:rFonts w:ascii="Aptos" w:hAnsi="Aptos"/>
                <w:b/>
                <w:color w:val="0F766E"/>
                <w:sz w:val="19"/>
              </w:rPr>
              <w:t>RESULT</w:t>
            </w:r>
          </w:p>
          <w:p>
            <w:pPr>
              <w:spacing w:after="0"/>
            </w:pPr>
            <w:r>
              <w:rPr>
                <w:rFonts w:ascii="Aptos" w:hAnsi="Aptos"/>
                <w:color w:val="111827"/>
                <w:sz w:val="18"/>
              </w:rPr>
              <w:t>The source document reports no NULL rows returned by this validation query.</w:t>
            </w:r>
          </w:p>
        </w:tc>
      </w:tr>
    </w:tbl>
    <w:p>
      <w:pPr>
        <w:spacing w:after="20"/>
      </w:pPr>
    </w:p>
    <w:p>
      <w:pPr>
        <w:spacing w:after="100" w:line="259" w:lineRule="auto"/>
      </w:pPr>
      <w:r>
        <w:rPr>
          <w:rFonts w:ascii="Aptos" w:hAnsi="Aptos"/>
          <w:color w:val="111827"/>
          <w:sz w:val="19"/>
        </w:rPr>
        <w:t>Why it matters: salary analysis can proceed without an explicit NULL-handling step for these fields, based on the result documented in the source.</w:t>
      </w:r>
    </w:p>
    <w:p>
      <w:pPr>
        <w:spacing w:before="200" w:after="100"/>
        <w:pBdr>
          <w:bottom w:val="single" w:sz="8" w:space="1" w:color="0B1F3A"/>
        </w:pBdr>
      </w:pPr>
      <w:r>
        <w:rPr>
          <w:rFonts w:ascii="Aptos Display" w:hAnsi="Aptos Display"/>
          <w:b/>
        </w:rPr>
        <w:t>02  Role Exploration &amp; Data Analyst Filtering</w:t>
      </w:r>
    </w:p>
    <w:p>
      <w:pPr>
        <w:spacing w:after="100" w:line="259" w:lineRule="auto"/>
      </w:pPr>
      <w:r>
        <w:rPr>
          <w:rFonts w:ascii="Aptos" w:hAnsi="Aptos"/>
          <w:color w:val="111827"/>
          <w:sz w:val="19"/>
        </w:rPr>
        <w:t>The next step is exploratory: identify distinct job titles, then narrow the dataset to titles containing the phrase "data analyst". The LIKE filter is useful for a quick portfolio analysis because it captures several naming variants without hard-coding each title.</w:t>
      </w:r>
    </w:p>
    <w:tbl>
      <w:tblPr>
        <w:tblW w:type="auto" w:w="0"/>
        <w:jc w:val="center"/>
        <w:tblLayout w:type="fixed"/>
        <w:tblLook w:firstColumn="1" w:firstRow="1" w:lastColumn="0" w:lastRow="0" w:noHBand="0" w:noVBand="1" w:val="04A0"/>
      </w:tblPr>
      <w:tblGrid>
        <w:gridCol w:w="9936"/>
      </w:tblGrid>
      <w:tr>
        <w:trPr>
          <w:cantSplit/>
        </w:trPr>
        <w:tc>
          <w:tcPr>
            <w:tcW w:type="dxa" w:w="10166"/>
            <w:shd w:fill="F3F6FA"/>
          </w:tcPr>
          <w:p>
            <w:pPr>
              <w:spacing w:after="0" w:line="240" w:lineRule="auto"/>
            </w:pPr>
            <w:r>
              <w:rPr>
                <w:rFonts w:ascii="Consolas" w:hAnsi="Consolas"/>
                <w:color w:val="111827"/>
                <w:sz w:val="16"/>
              </w:rPr>
              <w:t>SELECT DISTINCT job_title</w:t>
              <w:br/>
              <w:t>FROM `ds_salaries (tugas besar data analisis)`</w:t>
              <w:br/>
              <w:t>ORDER BY job_title;</w:t>
            </w:r>
          </w:p>
        </w:tc>
      </w:tr>
    </w:tbl>
    <w:p>
      <w:pPr>
        <w:spacing w:after="20"/>
      </w:pPr>
    </w:p>
    <w:p>
      <w:pPr>
        <w:spacing w:after="100" w:line="259" w:lineRule="auto"/>
      </w:pPr>
      <w:r>
        <w:rPr>
          <w:rFonts w:ascii="Aptos" w:hAnsi="Aptos"/>
          <w:color w:val="111827"/>
          <w:sz w:val="19"/>
        </w:rPr>
        <w:t>The source document notes roughly six Data Science-related job titles, while the screenshot shows only part of the output. For portfolio accuracy, this statement should be read as a note about the captured output rather than a verified count of the full dataset.</w:t>
      </w:r>
    </w:p>
    <w:tbl>
      <w:tblPr>
        <w:tblW w:type="auto" w:w="0"/>
        <w:jc w:val="center"/>
        <w:tblLayout w:type="fixed"/>
        <w:tblLook w:firstColumn="1" w:firstRow="1" w:lastColumn="0" w:lastRow="0" w:noHBand="0" w:noVBand="1" w:val="04A0"/>
      </w:tblPr>
      <w:tblGrid>
        <w:gridCol w:w="9936"/>
      </w:tblGrid>
      <w:tr>
        <w:trPr>
          <w:cantSplit/>
        </w:trPr>
        <w:tc>
          <w:tcPr>
            <w:tcW w:type="dxa" w:w="10166"/>
            <w:shd w:fill="F3F6FA"/>
          </w:tcPr>
          <w:p>
            <w:pPr>
              <w:spacing w:after="0" w:line="240" w:lineRule="auto"/>
            </w:pPr>
            <w:r>
              <w:rPr>
                <w:rFonts w:ascii="Consolas" w:hAnsi="Consolas"/>
                <w:color w:val="111827"/>
                <w:sz w:val="16"/>
              </w:rPr>
              <w:t>SELECT DISTINCT job_title</w:t>
              <w:br/>
              <w:t>FROM `ds_salaries (tugas besar data analisis)`</w:t>
              <w:br/>
              <w:t>WHERE job_title LIKE '%data analyst%'</w:t>
              <w:br/>
              <w:t>ORDER BY job_title;</w:t>
            </w:r>
          </w:p>
        </w:tc>
      </w:tr>
    </w:tbl>
    <w:p>
      <w:pPr>
        <w:spacing w:after="20"/>
      </w:pPr>
    </w:p>
    <w:tbl>
      <w:tblPr>
        <w:tblStyle w:val="TableGrid"/>
        <w:tblW w:type="auto" w:w="0"/>
        <w:jc w:val="center"/>
        <w:tblLook w:firstColumn="1" w:firstRow="1" w:lastColumn="0" w:lastRow="0" w:noHBand="0" w:noVBand="1" w:val="04A0"/>
      </w:tblPr>
      <w:tblGrid>
        <w:gridCol w:w="4032"/>
        <w:gridCol w:w="5544"/>
      </w:tblGrid>
      <w:tr>
        <w:trPr>
          <w:tblHeader w:val="true"/>
          <w:cantSplit/>
        </w:trPr>
        <w:tc>
          <w:tcPr>
            <w:tcW w:type="dxa" w:w="5083"/>
            <w:shd w:fill="0B1F3A"/>
            <w:vAlign w:val="center"/>
          </w:tcPr>
          <w:p>
            <w:pPr>
              <w:spacing w:after="0"/>
            </w:pPr>
            <w:r/>
            <w:r>
              <w:rPr>
                <w:rFonts w:ascii="Aptos" w:hAnsi="Aptos"/>
                <w:b/>
                <w:color w:val="FFFFFF"/>
                <w:sz w:val="17"/>
              </w:rPr>
              <w:t>Data Analyst-related titles captured in source</w:t>
            </w:r>
          </w:p>
        </w:tc>
        <w:tc>
          <w:tcPr>
            <w:tcW w:type="dxa" w:w="5083"/>
            <w:shd w:fill="0B1F3A"/>
            <w:vAlign w:val="center"/>
          </w:tcPr>
          <w:p>
            <w:pPr>
              <w:spacing w:after="0"/>
            </w:pPr>
            <w:r/>
            <w:r>
              <w:rPr>
                <w:rFonts w:ascii="Aptos" w:hAnsi="Aptos"/>
                <w:b/>
                <w:color w:val="FFFFFF"/>
                <w:sz w:val="17"/>
              </w:rPr>
              <w:t>Role positioning</w:t>
            </w:r>
          </w:p>
        </w:tc>
      </w:tr>
      <w:tr>
        <w:trPr>
          <w:cantSplit/>
        </w:trPr>
        <w:tc>
          <w:tcPr>
            <w:tcW w:type="dxa" w:w="5083"/>
            <w:shd w:fill="F8FAFC"/>
            <w:vAlign w:val="center"/>
          </w:tcPr>
          <w:p>
            <w:pPr>
              <w:spacing w:after="0"/>
            </w:pPr>
            <w:r/>
            <w:r>
              <w:rPr>
                <w:rFonts w:ascii="Aptos" w:hAnsi="Aptos"/>
                <w:b w:val="0"/>
                <w:color w:val="111827"/>
                <w:sz w:val="17"/>
              </w:rPr>
              <w:t>BI Data Analyst</w:t>
            </w:r>
          </w:p>
        </w:tc>
        <w:tc>
          <w:tcPr>
            <w:tcW w:type="dxa" w:w="5083"/>
            <w:shd w:fill="F8FAFC"/>
            <w:vAlign w:val="center"/>
          </w:tcPr>
          <w:p>
            <w:pPr>
              <w:spacing w:after="0"/>
            </w:pPr>
            <w:r/>
            <w:r>
              <w:rPr>
                <w:rFonts w:ascii="Aptos" w:hAnsi="Aptos"/>
                <w:b w:val="0"/>
                <w:color w:val="111827"/>
                <w:sz w:val="17"/>
              </w:rPr>
              <w:t>Analytics / BI reporting</w:t>
            </w:r>
          </w:p>
        </w:tc>
      </w:tr>
      <w:tr>
        <w:trPr>
          <w:cantSplit/>
        </w:trPr>
        <w:tc>
          <w:tcPr>
            <w:tcW w:type="dxa" w:w="5083"/>
            <w:vAlign w:val="center"/>
          </w:tcPr>
          <w:p>
            <w:pPr>
              <w:spacing w:after="0"/>
            </w:pPr>
            <w:r/>
            <w:r>
              <w:rPr>
                <w:rFonts w:ascii="Aptos" w:hAnsi="Aptos"/>
                <w:b w:val="0"/>
                <w:color w:val="111827"/>
                <w:sz w:val="17"/>
              </w:rPr>
              <w:t>Business Data Analyst</w:t>
            </w:r>
          </w:p>
        </w:tc>
        <w:tc>
          <w:tcPr>
            <w:tcW w:type="dxa" w:w="5083"/>
            <w:vAlign w:val="center"/>
          </w:tcPr>
          <w:p>
            <w:pPr>
              <w:spacing w:after="0"/>
            </w:pPr>
            <w:r/>
            <w:r>
              <w:rPr>
                <w:rFonts w:ascii="Aptos" w:hAnsi="Aptos"/>
                <w:b w:val="0"/>
                <w:color w:val="111827"/>
                <w:sz w:val="17"/>
              </w:rPr>
              <w:t>Business-facing analytics</w:t>
            </w:r>
          </w:p>
        </w:tc>
      </w:tr>
      <w:tr>
        <w:trPr>
          <w:cantSplit/>
        </w:trPr>
        <w:tc>
          <w:tcPr>
            <w:tcW w:type="dxa" w:w="5083"/>
            <w:shd w:fill="F8FAFC"/>
            <w:vAlign w:val="center"/>
          </w:tcPr>
          <w:p>
            <w:pPr>
              <w:spacing w:after="0"/>
            </w:pPr>
            <w:r/>
            <w:r>
              <w:rPr>
                <w:rFonts w:ascii="Aptos" w:hAnsi="Aptos"/>
                <w:b w:val="0"/>
                <w:color w:val="111827"/>
                <w:sz w:val="17"/>
              </w:rPr>
              <w:t>Data Analyst</w:t>
            </w:r>
          </w:p>
        </w:tc>
        <w:tc>
          <w:tcPr>
            <w:tcW w:type="dxa" w:w="5083"/>
            <w:shd w:fill="F8FAFC"/>
            <w:vAlign w:val="center"/>
          </w:tcPr>
          <w:p>
            <w:pPr>
              <w:spacing w:after="0"/>
            </w:pPr>
            <w:r/>
            <w:r>
              <w:rPr>
                <w:rFonts w:ascii="Aptos" w:hAnsi="Aptos"/>
                <w:b w:val="0"/>
                <w:color w:val="111827"/>
                <w:sz w:val="17"/>
              </w:rPr>
              <w:t>Generalist analytics</w:t>
            </w:r>
          </w:p>
        </w:tc>
      </w:tr>
      <w:tr>
        <w:trPr>
          <w:cantSplit/>
        </w:trPr>
        <w:tc>
          <w:tcPr>
            <w:tcW w:type="dxa" w:w="5083"/>
            <w:vAlign w:val="center"/>
          </w:tcPr>
          <w:p>
            <w:pPr>
              <w:spacing w:after="0"/>
            </w:pPr>
            <w:r/>
            <w:r>
              <w:rPr>
                <w:rFonts w:ascii="Aptos" w:hAnsi="Aptos"/>
                <w:b w:val="0"/>
                <w:color w:val="111827"/>
                <w:sz w:val="17"/>
              </w:rPr>
              <w:t>Finance Data Analyst</w:t>
            </w:r>
          </w:p>
        </w:tc>
        <w:tc>
          <w:tcPr>
            <w:tcW w:type="dxa" w:w="5083"/>
            <w:vAlign w:val="center"/>
          </w:tcPr>
          <w:p>
            <w:pPr>
              <w:spacing w:after="0"/>
            </w:pPr>
            <w:r/>
            <w:r>
              <w:rPr>
                <w:rFonts w:ascii="Aptos" w:hAnsi="Aptos"/>
                <w:b w:val="0"/>
                <w:color w:val="111827"/>
                <w:sz w:val="17"/>
              </w:rPr>
              <w:t>Finance-focused analytics</w:t>
            </w:r>
          </w:p>
        </w:tc>
      </w:tr>
      <w:tr>
        <w:trPr>
          <w:cantSplit/>
        </w:trPr>
        <w:tc>
          <w:tcPr>
            <w:tcW w:type="dxa" w:w="5083"/>
            <w:shd w:fill="F8FAFC"/>
            <w:vAlign w:val="center"/>
          </w:tcPr>
          <w:p>
            <w:pPr>
              <w:spacing w:after="0"/>
            </w:pPr>
            <w:r/>
            <w:r>
              <w:rPr>
                <w:rFonts w:ascii="Aptos" w:hAnsi="Aptos"/>
                <w:b w:val="0"/>
                <w:color w:val="111827"/>
                <w:sz w:val="17"/>
              </w:rPr>
              <w:t>Financial Data Analyst</w:t>
            </w:r>
          </w:p>
        </w:tc>
        <w:tc>
          <w:tcPr>
            <w:tcW w:type="dxa" w:w="5083"/>
            <w:shd w:fill="F8FAFC"/>
            <w:vAlign w:val="center"/>
          </w:tcPr>
          <w:p>
            <w:pPr>
              <w:spacing w:after="0"/>
            </w:pPr>
            <w:r/>
            <w:r>
              <w:rPr>
                <w:rFonts w:ascii="Aptos" w:hAnsi="Aptos"/>
                <w:b w:val="0"/>
                <w:color w:val="111827"/>
                <w:sz w:val="17"/>
              </w:rPr>
              <w:t>Finance-focused analytics</w:t>
            </w:r>
          </w:p>
        </w:tc>
      </w:tr>
      <w:tr>
        <w:trPr>
          <w:cantSplit/>
        </w:trPr>
        <w:tc>
          <w:tcPr>
            <w:tcW w:type="dxa" w:w="5083"/>
            <w:vAlign w:val="center"/>
          </w:tcPr>
          <w:p>
            <w:pPr>
              <w:spacing w:after="0"/>
            </w:pPr>
            <w:r/>
            <w:r>
              <w:rPr>
                <w:rFonts w:ascii="Aptos" w:hAnsi="Aptos"/>
                <w:b w:val="0"/>
                <w:color w:val="111827"/>
                <w:sz w:val="17"/>
              </w:rPr>
              <w:t>Lead Data Analyst</w:t>
            </w:r>
          </w:p>
        </w:tc>
        <w:tc>
          <w:tcPr>
            <w:tcW w:type="dxa" w:w="5083"/>
            <w:vAlign w:val="center"/>
          </w:tcPr>
          <w:p>
            <w:pPr>
              <w:spacing w:after="0"/>
            </w:pPr>
            <w:r/>
            <w:r>
              <w:rPr>
                <w:rFonts w:ascii="Aptos" w:hAnsi="Aptos"/>
                <w:b w:val="0"/>
                <w:color w:val="111827"/>
                <w:sz w:val="17"/>
              </w:rPr>
              <w:t>Senior / lead analytics</w:t>
            </w:r>
          </w:p>
        </w:tc>
      </w:tr>
    </w:tbl>
    <w:p>
      <w:pPr>
        <w:spacing w:after="20"/>
      </w:pPr>
    </w:p>
    <w:p>
      <w:pPr>
        <w:spacing w:after="20"/>
      </w:pPr>
    </w:p>
    <w:p>
      <w:pPr>
        <w:spacing w:before="200" w:after="100"/>
        <w:pBdr>
          <w:bottom w:val="single" w:sz="8" w:space="1" w:color="0B1F3A"/>
        </w:pBdr>
        <w:pageBreakBefore/>
      </w:pPr>
      <w:r>
        <w:rPr>
          <w:rFonts w:ascii="Aptos Display" w:hAnsi="Aptos Display"/>
          <w:b/>
        </w:rPr>
        <w:t>03  Average Salary for Data Analyst</w:t>
      </w:r>
    </w:p>
    <w:p>
      <w:pPr>
        <w:spacing w:after="100" w:line="259" w:lineRule="auto"/>
      </w:pPr>
      <w:r>
        <w:rPr>
          <w:rFonts w:ascii="Aptos" w:hAnsi="Aptos"/>
          <w:color w:val="111827"/>
          <w:sz w:val="19"/>
        </w:rPr>
        <w:t>Using salary_in_usd as the common comparison field, the source calculates the average annual salary for titles matching "%data analyst%".</w:t>
      </w:r>
    </w:p>
    <w:tbl>
      <w:tblPr>
        <w:tblW w:type="auto" w:w="0"/>
        <w:jc w:val="center"/>
        <w:tblLayout w:type="fixed"/>
        <w:tblLook w:firstColumn="1" w:firstRow="1" w:lastColumn="0" w:lastRow="0" w:noHBand="0" w:noVBand="1" w:val="04A0"/>
      </w:tblPr>
      <w:tblGrid>
        <w:gridCol w:w="9936"/>
      </w:tblGrid>
      <w:tr>
        <w:trPr>
          <w:cantSplit/>
        </w:trPr>
        <w:tc>
          <w:tcPr>
            <w:tcW w:type="dxa" w:w="10166"/>
            <w:shd w:fill="F3F6FA"/>
          </w:tcPr>
          <w:p>
            <w:pPr>
              <w:spacing w:after="0" w:line="240" w:lineRule="auto"/>
            </w:pPr>
            <w:r>
              <w:rPr>
                <w:rFonts w:ascii="Consolas" w:hAnsi="Consolas"/>
                <w:color w:val="111827"/>
                <w:sz w:val="16"/>
              </w:rPr>
              <w:t>SELECT AVG(salary_in_usd) AS avg_salary_in_usd</w:t>
              <w:br/>
              <w:t>FROM `ds_salaries (tugas besar data analisis)`</w:t>
              <w:br/>
              <w:t>WHERE job_title LIKE '%data analyst%';</w:t>
            </w:r>
          </w:p>
        </w:tc>
      </w:tr>
    </w:tbl>
    <w:p>
      <w:pPr>
        <w:spacing w:after="20"/>
      </w:pPr>
    </w:p>
    <w:tbl>
      <w:tblPr>
        <w:tblStyle w:val="TableGrid"/>
        <w:tblW w:type="auto" w:w="0"/>
        <w:jc w:val="center"/>
        <w:tblLook w:firstColumn="1" w:firstRow="1" w:lastColumn="0" w:lastRow="0" w:noHBand="0" w:noVBand="1" w:val="04A0"/>
      </w:tblPr>
      <w:tblGrid>
        <w:gridCol w:w="4320"/>
        <w:gridCol w:w="5256"/>
      </w:tblGrid>
      <w:tr>
        <w:trPr>
          <w:tblHeader w:val="true"/>
          <w:cantSplit/>
        </w:trPr>
        <w:tc>
          <w:tcPr>
            <w:tcW w:type="dxa" w:w="5083"/>
            <w:shd w:fill="0B1F3A"/>
            <w:vAlign w:val="center"/>
          </w:tcPr>
          <w:p>
            <w:pPr>
              <w:spacing w:after="0"/>
            </w:pPr>
            <w:r/>
            <w:r>
              <w:rPr>
                <w:rFonts w:ascii="Aptos" w:hAnsi="Aptos"/>
                <w:b/>
                <w:color w:val="FFFFFF"/>
                <w:sz w:val="17"/>
              </w:rPr>
              <w:t>Metric</w:t>
            </w:r>
          </w:p>
        </w:tc>
        <w:tc>
          <w:tcPr>
            <w:tcW w:type="dxa" w:w="5083"/>
            <w:shd w:fill="0B1F3A"/>
            <w:vAlign w:val="center"/>
          </w:tcPr>
          <w:p>
            <w:pPr>
              <w:spacing w:after="0"/>
            </w:pPr>
            <w:r/>
            <w:r>
              <w:rPr>
                <w:rFonts w:ascii="Aptos" w:hAnsi="Aptos"/>
                <w:b/>
                <w:color w:val="FFFFFF"/>
                <w:sz w:val="17"/>
              </w:rPr>
              <w:t>Source result</w:t>
            </w:r>
          </w:p>
        </w:tc>
      </w:tr>
      <w:tr>
        <w:trPr>
          <w:cantSplit/>
        </w:trPr>
        <w:tc>
          <w:tcPr>
            <w:tcW w:type="dxa" w:w="5083"/>
            <w:shd w:fill="F8FAFC"/>
            <w:vAlign w:val="center"/>
          </w:tcPr>
          <w:p>
            <w:pPr>
              <w:spacing w:after="0"/>
            </w:pPr>
            <w:r/>
            <w:r>
              <w:rPr>
                <w:rFonts w:ascii="Aptos" w:hAnsi="Aptos"/>
                <w:b w:val="0"/>
                <w:color w:val="111827"/>
                <w:sz w:val="17"/>
              </w:rPr>
              <w:t>Average Data Analyst salary</w:t>
            </w:r>
          </w:p>
        </w:tc>
        <w:tc>
          <w:tcPr>
            <w:tcW w:type="dxa" w:w="5083"/>
            <w:shd w:fill="F8FAFC"/>
            <w:vAlign w:val="center"/>
          </w:tcPr>
          <w:p>
            <w:pPr>
              <w:spacing w:after="0"/>
            </w:pPr>
            <w:r/>
            <w:r>
              <w:rPr>
                <w:rFonts w:ascii="Aptos" w:hAnsi="Aptos"/>
                <w:b w:val="0"/>
                <w:color w:val="111827"/>
                <w:sz w:val="17"/>
              </w:rPr>
              <w:t>$93,200.38 USD / year</w:t>
            </w:r>
          </w:p>
        </w:tc>
      </w:tr>
    </w:tbl>
    <w:p>
      <w:pPr>
        <w:spacing w:after="20"/>
      </w:pPr>
    </w:p>
    <w:p>
      <w:pPr>
        <w:spacing w:after="100" w:line="259" w:lineRule="auto"/>
      </w:pPr>
      <w:r>
        <w:rPr>
          <w:rFonts w:ascii="Aptos" w:hAnsi="Aptos"/>
          <w:color w:val="111827"/>
          <w:sz w:val="19"/>
        </w:rPr>
        <w:t>Interpretation: across the filtered Data Analyst population, the documented mean annual salary is approximately $93.2K. This is an overall average and should not be interpreted as a market benchmark without considering country, experience, employment type, and year.</w:t>
      </w:r>
    </w:p>
    <w:p>
      <w:pPr>
        <w:spacing w:before="200" w:after="100"/>
        <w:pBdr>
          <w:bottom w:val="single" w:sz="8" w:space="1" w:color="0B1F3A"/>
        </w:pBdr>
      </w:pPr>
      <w:r>
        <w:rPr>
          <w:rFonts w:ascii="Aptos Display" w:hAnsi="Aptos Display"/>
          <w:b/>
        </w:rPr>
        <w:t>04  Salary by Experience Level</w:t>
      </w:r>
    </w:p>
    <w:p>
      <w:pPr>
        <w:spacing w:after="100" w:line="259" w:lineRule="auto"/>
      </w:pPr>
      <w:r>
        <w:rPr>
          <w:rFonts w:ascii="Aptos" w:hAnsi="Aptos"/>
          <w:color w:val="111827"/>
          <w:sz w:val="19"/>
        </w:rPr>
        <w:t>The source converts the USD average into a monthly IDR estimate using the explicit assumption Rp15,000 per USD and division by 12. This makes the result easier to read for an Indonesian audience while retaining a transparent conversion rule.</w:t>
      </w:r>
    </w:p>
    <w:tbl>
      <w:tblPr>
        <w:tblW w:type="auto" w:w="0"/>
        <w:jc w:val="center"/>
        <w:tblLayout w:type="fixed"/>
        <w:tblLook w:firstColumn="1" w:firstRow="1" w:lastColumn="0" w:lastRow="0" w:noHBand="0" w:noVBand="1" w:val="04A0"/>
      </w:tblPr>
      <w:tblGrid>
        <w:gridCol w:w="9936"/>
      </w:tblGrid>
      <w:tr>
        <w:trPr>
          <w:cantSplit/>
        </w:trPr>
        <w:tc>
          <w:tcPr>
            <w:tcW w:type="dxa" w:w="10166"/>
            <w:shd w:fill="F3F6FA"/>
          </w:tcPr>
          <w:p>
            <w:pPr>
              <w:spacing w:after="0" w:line="240" w:lineRule="auto"/>
            </w:pPr>
            <w:r>
              <w:rPr>
                <w:rFonts w:ascii="Consolas" w:hAnsi="Consolas"/>
                <w:color w:val="111827"/>
                <w:sz w:val="16"/>
              </w:rPr>
              <w:t>SELECT experience_level,</w:t>
              <w:br/>
              <w:t xml:space="preserve">       (AVG(salary_in_usd) * 15000) / 12 AS avg_sal_rp_monthly</w:t>
              <w:br/>
              <w:t>FROM `ds_salaries (tugas besar data analisis)`</w:t>
              <w:br/>
              <w:t>WHERE job_title LIKE '%data analyst%'</w:t>
              <w:br/>
              <w:t>GROUP BY experience_level;</w:t>
            </w:r>
          </w:p>
        </w:tc>
      </w:tr>
    </w:tbl>
    <w:p>
      <w:pPr>
        <w:spacing w:after="20"/>
      </w:pPr>
    </w:p>
    <w:tbl>
      <w:tblPr>
        <w:tblStyle w:val="TableGrid"/>
        <w:tblW w:type="auto" w:w="0"/>
        <w:jc w:val="center"/>
        <w:tblLook w:firstColumn="1" w:firstRow="1" w:lastColumn="0" w:lastRow="0" w:noHBand="0" w:noVBand="1" w:val="04A0"/>
      </w:tblPr>
      <w:tblGrid>
        <w:gridCol w:w="1152"/>
        <w:gridCol w:w="3744"/>
        <w:gridCol w:w="3888"/>
      </w:tblGrid>
      <w:tr>
        <w:trPr>
          <w:tblHeader w:val="true"/>
          <w:cantSplit/>
        </w:trPr>
        <w:tc>
          <w:tcPr>
            <w:tcW w:type="dxa" w:w="3389"/>
            <w:shd w:fill="0B1F3A"/>
            <w:vAlign w:val="center"/>
          </w:tcPr>
          <w:p>
            <w:pPr>
              <w:spacing w:after="0"/>
            </w:pPr>
            <w:r/>
            <w:r>
              <w:rPr>
                <w:rFonts w:ascii="Aptos" w:hAnsi="Aptos"/>
                <w:b/>
                <w:color w:val="FFFFFF"/>
                <w:sz w:val="17"/>
              </w:rPr>
              <w:t>Level</w:t>
            </w:r>
          </w:p>
        </w:tc>
        <w:tc>
          <w:tcPr>
            <w:tcW w:type="dxa" w:w="3389"/>
            <w:shd w:fill="0B1F3A"/>
            <w:vAlign w:val="center"/>
          </w:tcPr>
          <w:p>
            <w:pPr>
              <w:spacing w:after="0"/>
            </w:pPr>
            <w:r/>
            <w:r>
              <w:rPr>
                <w:rFonts w:ascii="Aptos" w:hAnsi="Aptos"/>
                <w:b/>
                <w:color w:val="FFFFFF"/>
                <w:sz w:val="17"/>
              </w:rPr>
              <w:t>Description</w:t>
            </w:r>
          </w:p>
        </w:tc>
        <w:tc>
          <w:tcPr>
            <w:tcW w:type="dxa" w:w="3389"/>
            <w:shd w:fill="0B1F3A"/>
            <w:vAlign w:val="center"/>
          </w:tcPr>
          <w:p>
            <w:pPr>
              <w:spacing w:after="0"/>
            </w:pPr>
            <w:r/>
            <w:r>
              <w:rPr>
                <w:rFonts w:ascii="Aptos" w:hAnsi="Aptos"/>
                <w:b/>
                <w:color w:val="FFFFFF"/>
                <w:sz w:val="17"/>
              </w:rPr>
              <w:t>Avg. salary / month (source)</w:t>
            </w:r>
          </w:p>
        </w:tc>
      </w:tr>
      <w:tr>
        <w:trPr>
          <w:cantSplit/>
        </w:trPr>
        <w:tc>
          <w:tcPr>
            <w:tcW w:type="dxa" w:w="3389"/>
            <w:shd w:fill="F8FAFC"/>
            <w:vAlign w:val="center"/>
          </w:tcPr>
          <w:p>
            <w:pPr>
              <w:spacing w:after="0"/>
            </w:pPr>
            <w:r/>
            <w:r>
              <w:rPr>
                <w:rFonts w:ascii="Aptos" w:hAnsi="Aptos"/>
                <w:b w:val="0"/>
                <w:color w:val="111827"/>
                <w:sz w:val="17"/>
              </w:rPr>
              <w:t>EN</w:t>
            </w:r>
          </w:p>
        </w:tc>
        <w:tc>
          <w:tcPr>
            <w:tcW w:type="dxa" w:w="3389"/>
            <w:shd w:fill="F8FAFC"/>
            <w:vAlign w:val="center"/>
          </w:tcPr>
          <w:p>
            <w:pPr>
              <w:spacing w:after="0"/>
            </w:pPr>
            <w:r/>
            <w:r>
              <w:rPr>
                <w:rFonts w:ascii="Aptos" w:hAnsi="Aptos"/>
                <w:b w:val="0"/>
                <w:color w:val="111827"/>
                <w:sz w:val="17"/>
              </w:rPr>
              <w:t>Entry / beginner</w:t>
            </w:r>
          </w:p>
        </w:tc>
        <w:tc>
          <w:tcPr>
            <w:tcW w:type="dxa" w:w="3389"/>
            <w:shd w:fill="F8FAFC"/>
            <w:vAlign w:val="center"/>
          </w:tcPr>
          <w:p>
            <w:pPr>
              <w:spacing w:after="0"/>
            </w:pPr>
            <w:r/>
            <w:r>
              <w:rPr>
                <w:rFonts w:ascii="Aptos" w:hAnsi="Aptos"/>
                <w:b w:val="0"/>
                <w:color w:val="111827"/>
                <w:sz w:val="17"/>
              </w:rPr>
              <w:t>Rp71,389,852.94</w:t>
            </w:r>
          </w:p>
        </w:tc>
      </w:tr>
      <w:tr>
        <w:trPr>
          <w:cantSplit/>
        </w:trPr>
        <w:tc>
          <w:tcPr>
            <w:tcW w:type="dxa" w:w="3389"/>
            <w:vAlign w:val="center"/>
          </w:tcPr>
          <w:p>
            <w:pPr>
              <w:spacing w:after="0"/>
            </w:pPr>
            <w:r/>
            <w:r>
              <w:rPr>
                <w:rFonts w:ascii="Aptos" w:hAnsi="Aptos"/>
                <w:b w:val="0"/>
                <w:color w:val="111827"/>
                <w:sz w:val="17"/>
              </w:rPr>
              <w:t>MI</w:t>
            </w:r>
          </w:p>
        </w:tc>
        <w:tc>
          <w:tcPr>
            <w:tcW w:type="dxa" w:w="3389"/>
            <w:vAlign w:val="center"/>
          </w:tcPr>
          <w:p>
            <w:pPr>
              <w:spacing w:after="0"/>
            </w:pPr>
            <w:r/>
            <w:r>
              <w:rPr>
                <w:rFonts w:ascii="Aptos" w:hAnsi="Aptos"/>
                <w:b w:val="0"/>
                <w:color w:val="111827"/>
                <w:sz w:val="17"/>
              </w:rPr>
              <w:t>Mid level</w:t>
            </w:r>
          </w:p>
        </w:tc>
        <w:tc>
          <w:tcPr>
            <w:tcW w:type="dxa" w:w="3389"/>
            <w:vAlign w:val="center"/>
          </w:tcPr>
          <w:p>
            <w:pPr>
              <w:spacing w:after="0"/>
            </w:pPr>
            <w:r/>
            <w:r>
              <w:rPr>
                <w:rFonts w:ascii="Aptos" w:hAnsi="Aptos"/>
                <w:b w:val="0"/>
                <w:color w:val="111827"/>
                <w:sz w:val="17"/>
              </w:rPr>
              <w:t>Rp97,425,945.12</w:t>
            </w:r>
          </w:p>
        </w:tc>
      </w:tr>
      <w:tr>
        <w:trPr>
          <w:cantSplit/>
        </w:trPr>
        <w:tc>
          <w:tcPr>
            <w:tcW w:type="dxa" w:w="3389"/>
            <w:shd w:fill="F8FAFC"/>
            <w:vAlign w:val="center"/>
          </w:tcPr>
          <w:p>
            <w:pPr>
              <w:spacing w:after="0"/>
            </w:pPr>
            <w:r/>
            <w:r>
              <w:rPr>
                <w:rFonts w:ascii="Aptos" w:hAnsi="Aptos"/>
                <w:b w:val="0"/>
                <w:color w:val="111827"/>
                <w:sz w:val="17"/>
              </w:rPr>
              <w:t>SE</w:t>
            </w:r>
          </w:p>
        </w:tc>
        <w:tc>
          <w:tcPr>
            <w:tcW w:type="dxa" w:w="3389"/>
            <w:shd w:fill="F8FAFC"/>
            <w:vAlign w:val="center"/>
          </w:tcPr>
          <w:p>
            <w:pPr>
              <w:spacing w:after="0"/>
            </w:pPr>
            <w:r/>
            <w:r>
              <w:rPr>
                <w:rFonts w:ascii="Aptos" w:hAnsi="Aptos"/>
                <w:b w:val="0"/>
                <w:color w:val="111827"/>
                <w:sz w:val="17"/>
              </w:rPr>
              <w:t>Senior level</w:t>
            </w:r>
          </w:p>
        </w:tc>
        <w:tc>
          <w:tcPr>
            <w:tcW w:type="dxa" w:w="3389"/>
            <w:shd w:fill="F8FAFC"/>
            <w:vAlign w:val="center"/>
          </w:tcPr>
          <w:p>
            <w:pPr>
              <w:spacing w:after="0"/>
            </w:pPr>
            <w:r/>
            <w:r>
              <w:rPr>
                <w:rFonts w:ascii="Aptos" w:hAnsi="Aptos"/>
                <w:b w:val="0"/>
                <w:color w:val="111827"/>
                <w:sz w:val="17"/>
              </w:rPr>
              <w:t>Rp140,826,982.76</w:t>
            </w:r>
          </w:p>
        </w:tc>
      </w:tr>
      <w:tr>
        <w:trPr>
          <w:cantSplit/>
        </w:trPr>
        <w:tc>
          <w:tcPr>
            <w:tcW w:type="dxa" w:w="3389"/>
            <w:vAlign w:val="center"/>
          </w:tcPr>
          <w:p>
            <w:pPr>
              <w:spacing w:after="0"/>
            </w:pPr>
            <w:r/>
            <w:r>
              <w:rPr>
                <w:rFonts w:ascii="Aptos" w:hAnsi="Aptos"/>
                <w:b w:val="0"/>
                <w:color w:val="111827"/>
                <w:sz w:val="17"/>
              </w:rPr>
              <w:t>EX</w:t>
            </w:r>
          </w:p>
        </w:tc>
        <w:tc>
          <w:tcPr>
            <w:tcW w:type="dxa" w:w="3389"/>
            <w:vAlign w:val="center"/>
          </w:tcPr>
          <w:p>
            <w:pPr>
              <w:spacing w:after="0"/>
            </w:pPr>
            <w:r/>
            <w:r>
              <w:rPr>
                <w:rFonts w:ascii="Aptos" w:hAnsi="Aptos"/>
                <w:b w:val="0"/>
                <w:color w:val="111827"/>
                <w:sz w:val="17"/>
              </w:rPr>
              <w:t>Executive level</w:t>
            </w:r>
          </w:p>
        </w:tc>
        <w:tc>
          <w:tcPr>
            <w:tcW w:type="dxa" w:w="3389"/>
            <w:vAlign w:val="center"/>
          </w:tcPr>
          <w:p>
            <w:pPr>
              <w:spacing w:after="0"/>
            </w:pPr>
            <w:r/>
            <w:r>
              <w:rPr>
                <w:rFonts w:ascii="Aptos" w:hAnsi="Aptos"/>
                <w:b w:val="0"/>
                <w:color w:val="111827"/>
                <w:sz w:val="17"/>
              </w:rPr>
              <w:t>Rp162,500,000.00</w:t>
            </w:r>
          </w:p>
        </w:tc>
      </w:tr>
    </w:tbl>
    <w:p>
      <w:pPr>
        <w:spacing w:after="20"/>
      </w:pPr>
    </w:p>
    <w:p>
      <w:pPr>
        <w:spacing w:after="100" w:line="259" w:lineRule="auto"/>
      </w:pPr>
      <w:r>
        <w:rPr>
          <w:rFonts w:ascii="Aptos" w:hAnsi="Aptos"/>
          <w:color w:val="111827"/>
          <w:sz w:val="19"/>
        </w:rPr>
        <w:t>Pattern: the documented average increases as experience level rises from Entry to Executive. Because the result is derived from a fixed exchange-rate assumption, the IDR values are best treated as illustrative conversions rather than historical currency-adjusted salaries.</w:t>
      </w:r>
    </w:p>
    <w:p>
      <w:pPr>
        <w:spacing w:before="200" w:after="100"/>
        <w:pBdr>
          <w:bottom w:val="single" w:sz="8" w:space="1" w:color="0B1F3A"/>
        </w:pBdr>
      </w:pPr>
      <w:r>
        <w:rPr>
          <w:rFonts w:ascii="Aptos Display" w:hAnsi="Aptos Display"/>
          <w:b/>
        </w:rPr>
        <w:t>05  Salary by Experience + Employment Type</w:t>
      </w:r>
    </w:p>
    <w:p>
      <w:pPr>
        <w:spacing w:after="100" w:line="259" w:lineRule="auto"/>
      </w:pPr>
      <w:r>
        <w:rPr>
          <w:rFonts w:ascii="Aptos" w:hAnsi="Aptos"/>
          <w:color w:val="111827"/>
          <w:sz w:val="19"/>
        </w:rPr>
        <w:t>This query adds employment type to the grouping, allowing the analysis to distinguish Full-Time (FT), Contract (CT), Part-Time (PT), and Freelance (FL) observations where present in the source.</w:t>
      </w:r>
    </w:p>
    <w:tbl>
      <w:tblPr>
        <w:tblW w:type="auto" w:w="0"/>
        <w:jc w:val="center"/>
        <w:tblLayout w:type="fixed"/>
        <w:tblLook w:firstColumn="1" w:firstRow="1" w:lastColumn="0" w:lastRow="0" w:noHBand="0" w:noVBand="1" w:val="04A0"/>
      </w:tblPr>
      <w:tblGrid>
        <w:gridCol w:w="9936"/>
      </w:tblGrid>
      <w:tr>
        <w:trPr>
          <w:cantSplit/>
        </w:trPr>
        <w:tc>
          <w:tcPr>
            <w:tcW w:type="dxa" w:w="10166"/>
            <w:shd w:fill="F3F6FA"/>
          </w:tcPr>
          <w:p>
            <w:pPr>
              <w:spacing w:after="0" w:line="240" w:lineRule="auto"/>
            </w:pPr>
            <w:r>
              <w:rPr>
                <w:rFonts w:ascii="Consolas" w:hAnsi="Consolas"/>
                <w:color w:val="111827"/>
                <w:sz w:val="16"/>
              </w:rPr>
              <w:t>SELECT experience_level,</w:t>
              <w:br/>
              <w:t xml:space="preserve">       employment_type,</w:t>
              <w:br/>
              <w:t xml:space="preserve">       (AVG(salary_in_usd) * 15000) / 12 AS avg_sal_rp_monthly</w:t>
              <w:br/>
              <w:t>FROM `ds_salaries (tugas besar data analisis)`</w:t>
              <w:br/>
              <w:t>WHERE job_title LIKE '%data analyst%'</w:t>
              <w:br/>
              <w:t>GROUP BY experience_level, employment_type</w:t>
              <w:br/>
              <w:t>ORDER BY experience_level, employment_type;</w:t>
            </w:r>
          </w:p>
        </w:tc>
      </w:tr>
    </w:tbl>
    <w:p>
      <w:pPr>
        <w:spacing w:after="20"/>
      </w:pPr>
    </w:p>
    <w:tbl>
      <w:tblPr>
        <w:tblStyle w:val="TableGrid"/>
        <w:tblW w:type="auto" w:w="0"/>
        <w:jc w:val="center"/>
        <w:tblLook w:firstColumn="1" w:firstRow="1" w:lastColumn="0" w:lastRow="0" w:noHBand="0" w:noVBand="1" w:val="04A0"/>
      </w:tblPr>
      <w:tblGrid>
        <w:gridCol w:w="1152"/>
        <w:gridCol w:w="1872"/>
        <w:gridCol w:w="3600"/>
      </w:tblGrid>
      <w:tr>
        <w:trPr>
          <w:tblHeader w:val="true"/>
          <w:cantSplit/>
        </w:trPr>
        <w:tc>
          <w:tcPr>
            <w:tcW w:type="dxa" w:w="3389"/>
            <w:shd w:fill="0B1F3A"/>
            <w:vAlign w:val="center"/>
          </w:tcPr>
          <w:p>
            <w:pPr>
              <w:spacing w:after="0"/>
            </w:pPr>
            <w:r/>
            <w:r>
              <w:rPr>
                <w:rFonts w:ascii="Aptos" w:hAnsi="Aptos"/>
                <w:b/>
                <w:color w:val="FFFFFF"/>
                <w:sz w:val="17"/>
              </w:rPr>
              <w:t>Level</w:t>
            </w:r>
          </w:p>
        </w:tc>
        <w:tc>
          <w:tcPr>
            <w:tcW w:type="dxa" w:w="3389"/>
            <w:shd w:fill="0B1F3A"/>
            <w:vAlign w:val="center"/>
          </w:tcPr>
          <w:p>
            <w:pPr>
              <w:spacing w:after="0"/>
            </w:pPr>
            <w:r/>
            <w:r>
              <w:rPr>
                <w:rFonts w:ascii="Aptos" w:hAnsi="Aptos"/>
                <w:b/>
                <w:color w:val="FFFFFF"/>
                <w:sz w:val="17"/>
              </w:rPr>
              <w:t>Employment type</w:t>
            </w:r>
          </w:p>
        </w:tc>
        <w:tc>
          <w:tcPr>
            <w:tcW w:type="dxa" w:w="3389"/>
            <w:shd w:fill="0B1F3A"/>
            <w:vAlign w:val="center"/>
          </w:tcPr>
          <w:p>
            <w:pPr>
              <w:spacing w:after="0"/>
            </w:pPr>
            <w:r/>
            <w:r>
              <w:rPr>
                <w:rFonts w:ascii="Aptos" w:hAnsi="Aptos"/>
                <w:b/>
                <w:color w:val="FFFFFF"/>
                <w:sz w:val="17"/>
              </w:rPr>
              <w:t>Avg. salary / month</w:t>
            </w:r>
          </w:p>
        </w:tc>
      </w:tr>
      <w:tr>
        <w:trPr>
          <w:cantSplit/>
        </w:trPr>
        <w:tc>
          <w:tcPr>
            <w:tcW w:type="dxa" w:w="3389"/>
            <w:shd w:fill="F8FAFC"/>
            <w:vAlign w:val="center"/>
          </w:tcPr>
          <w:p>
            <w:pPr>
              <w:spacing w:after="0"/>
            </w:pPr>
            <w:r/>
            <w:r>
              <w:rPr>
                <w:rFonts w:ascii="Aptos" w:hAnsi="Aptos"/>
                <w:b w:val="0"/>
                <w:color w:val="111827"/>
                <w:sz w:val="17"/>
              </w:rPr>
              <w:t>EN</w:t>
            </w:r>
          </w:p>
        </w:tc>
        <w:tc>
          <w:tcPr>
            <w:tcW w:type="dxa" w:w="3389"/>
            <w:shd w:fill="F8FAFC"/>
            <w:vAlign w:val="center"/>
          </w:tcPr>
          <w:p>
            <w:pPr>
              <w:spacing w:after="0"/>
            </w:pPr>
            <w:r/>
            <w:r>
              <w:rPr>
                <w:rFonts w:ascii="Aptos" w:hAnsi="Aptos"/>
                <w:b w:val="0"/>
                <w:color w:val="111827"/>
                <w:sz w:val="17"/>
              </w:rPr>
              <w:t>CT</w:t>
            </w:r>
          </w:p>
        </w:tc>
        <w:tc>
          <w:tcPr>
            <w:tcW w:type="dxa" w:w="3389"/>
            <w:shd w:fill="F8FAFC"/>
            <w:vAlign w:val="center"/>
          </w:tcPr>
          <w:p>
            <w:pPr>
              <w:spacing w:after="0"/>
            </w:pPr>
            <w:r/>
            <w:r>
              <w:rPr>
                <w:rFonts w:ascii="Aptos" w:hAnsi="Aptos"/>
                <w:b w:val="0"/>
                <w:color w:val="111827"/>
                <w:sz w:val="17"/>
              </w:rPr>
              <w:t>Rp82,421,875.00</w:t>
            </w:r>
          </w:p>
        </w:tc>
      </w:tr>
      <w:tr>
        <w:trPr>
          <w:cantSplit/>
        </w:trPr>
        <w:tc>
          <w:tcPr>
            <w:tcW w:type="dxa" w:w="3389"/>
            <w:vAlign w:val="center"/>
          </w:tcPr>
          <w:p>
            <w:pPr>
              <w:spacing w:after="0"/>
            </w:pPr>
            <w:r/>
            <w:r>
              <w:rPr>
                <w:rFonts w:ascii="Aptos" w:hAnsi="Aptos"/>
                <w:b w:val="0"/>
                <w:color w:val="111827"/>
                <w:sz w:val="17"/>
              </w:rPr>
              <w:t>EN</w:t>
            </w:r>
          </w:p>
        </w:tc>
        <w:tc>
          <w:tcPr>
            <w:tcW w:type="dxa" w:w="3389"/>
            <w:vAlign w:val="center"/>
          </w:tcPr>
          <w:p>
            <w:pPr>
              <w:spacing w:after="0"/>
            </w:pPr>
            <w:r/>
            <w:r>
              <w:rPr>
                <w:rFonts w:ascii="Aptos" w:hAnsi="Aptos"/>
                <w:b w:val="0"/>
                <w:color w:val="111827"/>
                <w:sz w:val="17"/>
              </w:rPr>
              <w:t>FT</w:t>
            </w:r>
          </w:p>
        </w:tc>
        <w:tc>
          <w:tcPr>
            <w:tcW w:type="dxa" w:w="3389"/>
            <w:vAlign w:val="center"/>
          </w:tcPr>
          <w:p>
            <w:pPr>
              <w:spacing w:after="0"/>
            </w:pPr>
            <w:r/>
            <w:r>
              <w:rPr>
                <w:rFonts w:ascii="Aptos" w:hAnsi="Aptos"/>
                <w:b w:val="0"/>
                <w:color w:val="111827"/>
                <w:sz w:val="17"/>
              </w:rPr>
              <w:t>Rp80,571,819.62</w:t>
            </w:r>
          </w:p>
        </w:tc>
      </w:tr>
      <w:tr>
        <w:trPr>
          <w:cantSplit/>
        </w:trPr>
        <w:tc>
          <w:tcPr>
            <w:tcW w:type="dxa" w:w="3389"/>
            <w:shd w:fill="F8FAFC"/>
            <w:vAlign w:val="center"/>
          </w:tcPr>
          <w:p>
            <w:pPr>
              <w:spacing w:after="0"/>
            </w:pPr>
            <w:r/>
            <w:r>
              <w:rPr>
                <w:rFonts w:ascii="Aptos" w:hAnsi="Aptos"/>
                <w:b w:val="0"/>
                <w:color w:val="111827"/>
                <w:sz w:val="17"/>
              </w:rPr>
              <w:t>EN</w:t>
            </w:r>
          </w:p>
        </w:tc>
        <w:tc>
          <w:tcPr>
            <w:tcW w:type="dxa" w:w="3389"/>
            <w:shd w:fill="F8FAFC"/>
            <w:vAlign w:val="center"/>
          </w:tcPr>
          <w:p>
            <w:pPr>
              <w:spacing w:after="0"/>
            </w:pPr>
            <w:r/>
            <w:r>
              <w:rPr>
                <w:rFonts w:ascii="Aptos" w:hAnsi="Aptos"/>
                <w:b w:val="0"/>
                <w:color w:val="111827"/>
                <w:sz w:val="17"/>
              </w:rPr>
              <w:t>PT</w:t>
            </w:r>
          </w:p>
        </w:tc>
        <w:tc>
          <w:tcPr>
            <w:tcW w:type="dxa" w:w="3389"/>
            <w:shd w:fill="F8FAFC"/>
            <w:vAlign w:val="center"/>
          </w:tcPr>
          <w:p>
            <w:pPr>
              <w:spacing w:after="0"/>
            </w:pPr>
            <w:r/>
            <w:r>
              <w:rPr>
                <w:rFonts w:ascii="Aptos" w:hAnsi="Aptos"/>
                <w:b w:val="0"/>
                <w:color w:val="111827"/>
                <w:sz w:val="17"/>
              </w:rPr>
              <w:t>Rp35,821,071.43</w:t>
            </w:r>
          </w:p>
        </w:tc>
      </w:tr>
      <w:tr>
        <w:trPr>
          <w:cantSplit/>
        </w:trPr>
        <w:tc>
          <w:tcPr>
            <w:tcW w:type="dxa" w:w="3389"/>
            <w:vAlign w:val="center"/>
          </w:tcPr>
          <w:p>
            <w:pPr>
              <w:spacing w:after="0"/>
            </w:pPr>
            <w:r/>
            <w:r>
              <w:rPr>
                <w:rFonts w:ascii="Aptos" w:hAnsi="Aptos"/>
                <w:b w:val="0"/>
                <w:color w:val="111827"/>
                <w:sz w:val="17"/>
              </w:rPr>
              <w:t>EX</w:t>
            </w:r>
          </w:p>
        </w:tc>
        <w:tc>
          <w:tcPr>
            <w:tcW w:type="dxa" w:w="3389"/>
            <w:vAlign w:val="center"/>
          </w:tcPr>
          <w:p>
            <w:pPr>
              <w:spacing w:after="0"/>
            </w:pPr>
            <w:r/>
            <w:r>
              <w:rPr>
                <w:rFonts w:ascii="Aptos" w:hAnsi="Aptos"/>
                <w:b w:val="0"/>
                <w:color w:val="111827"/>
                <w:sz w:val="17"/>
              </w:rPr>
              <w:t>CT</w:t>
            </w:r>
          </w:p>
        </w:tc>
        <w:tc>
          <w:tcPr>
            <w:tcW w:type="dxa" w:w="3389"/>
            <w:vAlign w:val="center"/>
          </w:tcPr>
          <w:p>
            <w:pPr>
              <w:spacing w:after="0"/>
            </w:pPr>
            <w:r/>
            <w:r>
              <w:rPr>
                <w:rFonts w:ascii="Aptos" w:hAnsi="Aptos"/>
                <w:b w:val="0"/>
                <w:color w:val="111827"/>
                <w:sz w:val="17"/>
              </w:rPr>
              <w:t>Rp520,000,000.00</w:t>
            </w:r>
          </w:p>
        </w:tc>
      </w:tr>
      <w:tr>
        <w:trPr>
          <w:cantSplit/>
        </w:trPr>
        <w:tc>
          <w:tcPr>
            <w:tcW w:type="dxa" w:w="3389"/>
            <w:shd w:fill="F8FAFC"/>
            <w:vAlign w:val="center"/>
          </w:tcPr>
          <w:p>
            <w:pPr>
              <w:spacing w:after="0"/>
            </w:pPr>
            <w:r/>
            <w:r>
              <w:rPr>
                <w:rFonts w:ascii="Aptos" w:hAnsi="Aptos"/>
                <w:b w:val="0"/>
                <w:color w:val="111827"/>
                <w:sz w:val="17"/>
              </w:rPr>
              <w:t>EX</w:t>
            </w:r>
          </w:p>
        </w:tc>
        <w:tc>
          <w:tcPr>
            <w:tcW w:type="dxa" w:w="3389"/>
            <w:shd w:fill="F8FAFC"/>
            <w:vAlign w:val="center"/>
          </w:tcPr>
          <w:p>
            <w:pPr>
              <w:spacing w:after="0"/>
            </w:pPr>
            <w:r/>
            <w:r>
              <w:rPr>
                <w:rFonts w:ascii="Aptos" w:hAnsi="Aptos"/>
                <w:b w:val="0"/>
                <w:color w:val="111827"/>
                <w:sz w:val="17"/>
              </w:rPr>
              <w:t>FT</w:t>
            </w:r>
          </w:p>
        </w:tc>
        <w:tc>
          <w:tcPr>
            <w:tcW w:type="dxa" w:w="3389"/>
            <w:shd w:fill="F8FAFC"/>
            <w:vAlign w:val="center"/>
          </w:tcPr>
          <w:p>
            <w:pPr>
              <w:spacing w:after="0"/>
            </w:pPr>
            <w:r/>
            <w:r>
              <w:rPr>
                <w:rFonts w:ascii="Aptos" w:hAnsi="Aptos"/>
                <w:b w:val="0"/>
                <w:color w:val="111827"/>
                <w:sz w:val="17"/>
              </w:rPr>
              <w:t>Rp238,409,650.00</w:t>
            </w:r>
          </w:p>
        </w:tc>
      </w:tr>
      <w:tr>
        <w:trPr>
          <w:cantSplit/>
        </w:trPr>
        <w:tc>
          <w:tcPr>
            <w:tcW w:type="dxa" w:w="3389"/>
            <w:vAlign w:val="center"/>
          </w:tcPr>
          <w:p>
            <w:pPr>
              <w:spacing w:after="0"/>
            </w:pPr>
            <w:r/>
            <w:r>
              <w:rPr>
                <w:rFonts w:ascii="Aptos" w:hAnsi="Aptos"/>
                <w:b w:val="0"/>
                <w:color w:val="111827"/>
                <w:sz w:val="17"/>
              </w:rPr>
              <w:t>MI</w:t>
            </w:r>
          </w:p>
        </w:tc>
        <w:tc>
          <w:tcPr>
            <w:tcW w:type="dxa" w:w="3389"/>
            <w:vAlign w:val="center"/>
          </w:tcPr>
          <w:p>
            <w:pPr>
              <w:spacing w:after="0"/>
            </w:pPr>
            <w:r/>
            <w:r>
              <w:rPr>
                <w:rFonts w:ascii="Aptos" w:hAnsi="Aptos"/>
                <w:b w:val="0"/>
                <w:color w:val="111827"/>
                <w:sz w:val="17"/>
              </w:rPr>
              <w:t>CT</w:t>
            </w:r>
          </w:p>
        </w:tc>
        <w:tc>
          <w:tcPr>
            <w:tcW w:type="dxa" w:w="3389"/>
            <w:vAlign w:val="center"/>
          </w:tcPr>
          <w:p>
            <w:pPr>
              <w:spacing w:after="0"/>
            </w:pPr>
            <w:r/>
            <w:r>
              <w:rPr>
                <w:rFonts w:ascii="Aptos" w:hAnsi="Aptos"/>
                <w:b w:val="0"/>
                <w:color w:val="111827"/>
                <w:sz w:val="17"/>
              </w:rPr>
              <w:t>Rp337,500,000.00</w:t>
            </w:r>
          </w:p>
        </w:tc>
      </w:tr>
      <w:tr>
        <w:trPr>
          <w:cantSplit/>
        </w:trPr>
        <w:tc>
          <w:tcPr>
            <w:tcW w:type="dxa" w:w="3389"/>
            <w:shd w:fill="F8FAFC"/>
            <w:vAlign w:val="center"/>
          </w:tcPr>
          <w:p>
            <w:pPr>
              <w:spacing w:after="0"/>
            </w:pPr>
            <w:r/>
            <w:r>
              <w:rPr>
                <w:rFonts w:ascii="Aptos" w:hAnsi="Aptos"/>
                <w:b w:val="0"/>
                <w:color w:val="111827"/>
                <w:sz w:val="17"/>
              </w:rPr>
              <w:t>MI</w:t>
            </w:r>
          </w:p>
        </w:tc>
        <w:tc>
          <w:tcPr>
            <w:tcW w:type="dxa" w:w="3389"/>
            <w:shd w:fill="F8FAFC"/>
            <w:vAlign w:val="center"/>
          </w:tcPr>
          <w:p>
            <w:pPr>
              <w:spacing w:after="0"/>
            </w:pPr>
            <w:r/>
            <w:r>
              <w:rPr>
                <w:rFonts w:ascii="Aptos" w:hAnsi="Aptos"/>
                <w:b w:val="0"/>
                <w:color w:val="111827"/>
                <w:sz w:val="17"/>
              </w:rPr>
              <w:t>FL</w:t>
            </w:r>
          </w:p>
        </w:tc>
        <w:tc>
          <w:tcPr>
            <w:tcW w:type="dxa" w:w="3389"/>
            <w:shd w:fill="F8FAFC"/>
            <w:vAlign w:val="center"/>
          </w:tcPr>
          <w:p>
            <w:pPr>
              <w:spacing w:after="0"/>
            </w:pPr>
            <w:r/>
            <w:r>
              <w:rPr>
                <w:rFonts w:ascii="Aptos" w:hAnsi="Aptos"/>
                <w:b w:val="0"/>
                <w:color w:val="111827"/>
                <w:sz w:val="17"/>
              </w:rPr>
              <w:t>Rp55,000,000.00</w:t>
            </w:r>
          </w:p>
        </w:tc>
      </w:tr>
      <w:tr>
        <w:trPr>
          <w:cantSplit/>
        </w:trPr>
        <w:tc>
          <w:tcPr>
            <w:tcW w:type="dxa" w:w="3389"/>
            <w:vAlign w:val="center"/>
          </w:tcPr>
          <w:p>
            <w:pPr>
              <w:spacing w:after="0"/>
            </w:pPr>
            <w:r/>
            <w:r>
              <w:rPr>
                <w:rFonts w:ascii="Aptos" w:hAnsi="Aptos"/>
                <w:b w:val="0"/>
                <w:color w:val="111827"/>
                <w:sz w:val="17"/>
              </w:rPr>
              <w:t>MI</w:t>
            </w:r>
          </w:p>
        </w:tc>
        <w:tc>
          <w:tcPr>
            <w:tcW w:type="dxa" w:w="3389"/>
            <w:vAlign w:val="center"/>
          </w:tcPr>
          <w:p>
            <w:pPr>
              <w:spacing w:after="0"/>
            </w:pPr>
            <w:r/>
            <w:r>
              <w:rPr>
                <w:rFonts w:ascii="Aptos" w:hAnsi="Aptos"/>
                <w:b w:val="0"/>
                <w:color w:val="111827"/>
                <w:sz w:val="17"/>
              </w:rPr>
              <w:t>FT</w:t>
            </w:r>
          </w:p>
        </w:tc>
        <w:tc>
          <w:tcPr>
            <w:tcW w:type="dxa" w:w="3389"/>
            <w:vAlign w:val="center"/>
          </w:tcPr>
          <w:p>
            <w:pPr>
              <w:spacing w:after="0"/>
            </w:pPr>
            <w:r/>
            <w:r>
              <w:rPr>
                <w:rFonts w:ascii="Aptos" w:hAnsi="Aptos"/>
                <w:b w:val="0"/>
                <w:color w:val="111827"/>
                <w:sz w:val="17"/>
              </w:rPr>
              <w:t>Rp110,503,962.38</w:t>
            </w:r>
          </w:p>
        </w:tc>
      </w:tr>
      <w:tr>
        <w:trPr>
          <w:cantSplit/>
        </w:trPr>
        <w:tc>
          <w:tcPr>
            <w:tcW w:type="dxa" w:w="3389"/>
            <w:shd w:fill="F8FAFC"/>
            <w:vAlign w:val="center"/>
          </w:tcPr>
          <w:p>
            <w:pPr>
              <w:spacing w:after="0"/>
            </w:pPr>
            <w:r/>
            <w:r>
              <w:rPr>
                <w:rFonts w:ascii="Aptos" w:hAnsi="Aptos"/>
                <w:b w:val="0"/>
                <w:color w:val="111827"/>
                <w:sz w:val="17"/>
              </w:rPr>
              <w:t>MI</w:t>
            </w:r>
          </w:p>
        </w:tc>
        <w:tc>
          <w:tcPr>
            <w:tcW w:type="dxa" w:w="3389"/>
            <w:shd w:fill="F8FAFC"/>
            <w:vAlign w:val="center"/>
          </w:tcPr>
          <w:p>
            <w:pPr>
              <w:spacing w:after="0"/>
            </w:pPr>
            <w:r/>
            <w:r>
              <w:rPr>
                <w:rFonts w:ascii="Aptos" w:hAnsi="Aptos"/>
                <w:b w:val="0"/>
                <w:color w:val="111827"/>
                <w:sz w:val="17"/>
              </w:rPr>
              <w:t>PT</w:t>
            </w:r>
          </w:p>
        </w:tc>
        <w:tc>
          <w:tcPr>
            <w:tcW w:type="dxa" w:w="3389"/>
            <w:shd w:fill="F8FAFC"/>
            <w:vAlign w:val="center"/>
          </w:tcPr>
          <w:p>
            <w:pPr>
              <w:spacing w:after="0"/>
            </w:pPr>
            <w:r/>
            <w:r>
              <w:rPr>
                <w:rFonts w:ascii="Aptos" w:hAnsi="Aptos"/>
                <w:b w:val="0"/>
                <w:color w:val="111827"/>
                <w:sz w:val="17"/>
              </w:rPr>
              <w:t>Rp54,211,250.00</w:t>
            </w:r>
          </w:p>
        </w:tc>
      </w:tr>
      <w:tr>
        <w:trPr>
          <w:cantSplit/>
        </w:trPr>
        <w:tc>
          <w:tcPr>
            <w:tcW w:type="dxa" w:w="3389"/>
            <w:vAlign w:val="center"/>
          </w:tcPr>
          <w:p>
            <w:pPr>
              <w:spacing w:after="0"/>
            </w:pPr>
            <w:r/>
            <w:r>
              <w:rPr>
                <w:rFonts w:ascii="Aptos" w:hAnsi="Aptos"/>
                <w:b w:val="0"/>
                <w:color w:val="111827"/>
                <w:sz w:val="17"/>
              </w:rPr>
              <w:t>SE</w:t>
            </w:r>
          </w:p>
        </w:tc>
        <w:tc>
          <w:tcPr>
            <w:tcW w:type="dxa" w:w="3389"/>
            <w:vAlign w:val="center"/>
          </w:tcPr>
          <w:p>
            <w:pPr>
              <w:spacing w:after="0"/>
            </w:pPr>
            <w:r/>
            <w:r>
              <w:rPr>
                <w:rFonts w:ascii="Aptos" w:hAnsi="Aptos"/>
                <w:b w:val="0"/>
                <w:color w:val="111827"/>
                <w:sz w:val="17"/>
              </w:rPr>
              <w:t>CT</w:t>
            </w:r>
          </w:p>
        </w:tc>
        <w:tc>
          <w:tcPr>
            <w:tcW w:type="dxa" w:w="3389"/>
            <w:vAlign w:val="center"/>
          </w:tcPr>
          <w:p>
            <w:pPr>
              <w:spacing w:after="0"/>
            </w:pPr>
            <w:r/>
            <w:r>
              <w:rPr>
                <w:rFonts w:ascii="Aptos" w:hAnsi="Aptos"/>
                <w:b w:val="0"/>
                <w:color w:val="111827"/>
                <w:sz w:val="17"/>
              </w:rPr>
              <w:t>Rp131,250,000.00</w:t>
            </w:r>
          </w:p>
        </w:tc>
      </w:tr>
      <w:tr>
        <w:trPr>
          <w:cantSplit/>
        </w:trPr>
        <w:tc>
          <w:tcPr>
            <w:tcW w:type="dxa" w:w="3389"/>
            <w:shd w:fill="F8FAFC"/>
            <w:vAlign w:val="center"/>
          </w:tcPr>
          <w:p>
            <w:pPr>
              <w:spacing w:after="0"/>
            </w:pPr>
            <w:r/>
            <w:r>
              <w:rPr>
                <w:rFonts w:ascii="Aptos" w:hAnsi="Aptos"/>
                <w:b w:val="0"/>
                <w:color w:val="111827"/>
                <w:sz w:val="17"/>
              </w:rPr>
              <w:t>SE</w:t>
            </w:r>
          </w:p>
        </w:tc>
        <w:tc>
          <w:tcPr>
            <w:tcW w:type="dxa" w:w="3389"/>
            <w:shd w:fill="F8FAFC"/>
            <w:vAlign w:val="center"/>
          </w:tcPr>
          <w:p>
            <w:pPr>
              <w:spacing w:after="0"/>
            </w:pPr>
            <w:r/>
            <w:r>
              <w:rPr>
                <w:rFonts w:ascii="Aptos" w:hAnsi="Aptos"/>
                <w:b w:val="0"/>
                <w:color w:val="111827"/>
                <w:sz w:val="17"/>
              </w:rPr>
              <w:t>FL</w:t>
            </w:r>
          </w:p>
        </w:tc>
        <w:tc>
          <w:tcPr>
            <w:tcW w:type="dxa" w:w="3389"/>
            <w:shd w:fill="F8FAFC"/>
            <w:vAlign w:val="center"/>
          </w:tcPr>
          <w:p>
            <w:pPr>
              <w:spacing w:after="0"/>
            </w:pPr>
            <w:r/>
            <w:r>
              <w:rPr>
                <w:rFonts w:ascii="Aptos" w:hAnsi="Aptos"/>
                <w:b w:val="0"/>
                <w:color w:val="111827"/>
                <w:sz w:val="17"/>
              </w:rPr>
              <w:t>Rp75,000,000.00</w:t>
            </w:r>
          </w:p>
        </w:tc>
      </w:tr>
      <w:tr>
        <w:trPr>
          <w:cantSplit/>
        </w:trPr>
        <w:tc>
          <w:tcPr>
            <w:tcW w:type="dxa" w:w="3389"/>
            <w:vAlign w:val="center"/>
          </w:tcPr>
          <w:p>
            <w:pPr>
              <w:spacing w:after="0"/>
            </w:pPr>
            <w:r/>
            <w:r>
              <w:rPr>
                <w:rFonts w:ascii="Aptos" w:hAnsi="Aptos"/>
                <w:b w:val="0"/>
                <w:color w:val="111827"/>
                <w:sz w:val="17"/>
              </w:rPr>
              <w:t>SE</w:t>
            </w:r>
          </w:p>
        </w:tc>
        <w:tc>
          <w:tcPr>
            <w:tcW w:type="dxa" w:w="3389"/>
            <w:vAlign w:val="center"/>
          </w:tcPr>
          <w:p>
            <w:pPr>
              <w:spacing w:after="0"/>
            </w:pPr>
            <w:r/>
            <w:r>
              <w:rPr>
                <w:rFonts w:ascii="Aptos" w:hAnsi="Aptos"/>
                <w:b w:val="0"/>
                <w:color w:val="111827"/>
                <w:sz w:val="17"/>
              </w:rPr>
              <w:t>FT</w:t>
            </w:r>
          </w:p>
        </w:tc>
        <w:tc>
          <w:tcPr>
            <w:tcW w:type="dxa" w:w="3389"/>
            <w:vAlign w:val="center"/>
          </w:tcPr>
          <w:p>
            <w:pPr>
              <w:spacing w:after="0"/>
            </w:pPr>
            <w:r/>
            <w:r>
              <w:rPr>
                <w:rFonts w:ascii="Aptos" w:hAnsi="Aptos"/>
                <w:b w:val="0"/>
                <w:color w:val="111827"/>
                <w:sz w:val="17"/>
              </w:rPr>
              <w:t>Rp173,776,267.99</w:t>
            </w:r>
          </w:p>
        </w:tc>
      </w:tr>
    </w:tbl>
    <w:p>
      <w:pPr>
        <w:spacing w:after="20"/>
      </w:pPr>
    </w:p>
    <w:tbl>
      <w:tblPr>
        <w:tblW w:type="auto" w:w="0"/>
        <w:jc w:val="center"/>
        <w:tblLayout w:type="fixed"/>
        <w:tblLook w:firstColumn="1" w:firstRow="1" w:lastColumn="0" w:lastRow="0" w:noHBand="0" w:noVBand="1" w:val="04A0"/>
      </w:tblPr>
      <w:tblGrid>
        <w:gridCol w:w="9864"/>
      </w:tblGrid>
      <w:tr>
        <w:trPr>
          <w:cantSplit/>
        </w:trPr>
        <w:tc>
          <w:tcPr>
            <w:tcW w:type="dxa" w:w="10166"/>
            <w:shd w:fill="FFF7ED"/>
          </w:tcPr>
          <w:p>
            <w:pPr>
              <w:spacing w:after="40"/>
            </w:pPr>
            <w:r>
              <w:rPr>
                <w:rFonts w:ascii="Aptos" w:hAnsi="Aptos"/>
                <w:b/>
                <w:color w:val="B45309"/>
                <w:sz w:val="19"/>
              </w:rPr>
              <w:t>BUSINESS READING</w:t>
            </w:r>
          </w:p>
          <w:p>
            <w:pPr>
              <w:spacing w:after="0"/>
            </w:pPr>
            <w:r>
              <w:rPr>
                <w:rFonts w:ascii="Aptos" w:hAnsi="Aptos"/>
                <w:color w:val="111827"/>
                <w:sz w:val="18"/>
              </w:rPr>
              <w:t>Employment type appears to materially affect the average salary within several experience groups. However, some groups have very small representation, so unusually high values - especially contract roles - should be interpreted cautiously.</w:t>
            </w:r>
          </w:p>
        </w:tc>
      </w:tr>
    </w:tbl>
    <w:p>
      <w:pPr>
        <w:spacing w:after="20"/>
      </w:pPr>
    </w:p>
    <w:p>
      <w:pPr>
        <w:spacing w:before="200" w:after="100"/>
        <w:pBdr>
          <w:bottom w:val="single" w:sz="8" w:space="1" w:color="0B1F3A"/>
        </w:pBdr>
      </w:pPr>
      <w:r>
        <w:rPr>
          <w:rFonts w:ascii="Aptos Display" w:hAnsi="Aptos Display"/>
          <w:b/>
        </w:rPr>
        <w:t>06  Geographic Salary Opportunity</w:t>
      </w:r>
    </w:p>
    <w:p>
      <w:pPr>
        <w:spacing w:after="100" w:line="259" w:lineRule="auto"/>
      </w:pPr>
      <w:r>
        <w:rPr>
          <w:rFonts w:ascii="Aptos" w:hAnsi="Aptos"/>
          <w:color w:val="111827"/>
          <w:sz w:val="19"/>
        </w:rPr>
        <w:t>The source filters for Data Analyst roles that are Full-Time and either Entry or Mid level, then keeps company locations with an average salary_in_usd of at least $20,000.</w:t>
      </w:r>
    </w:p>
    <w:tbl>
      <w:tblPr>
        <w:tblW w:type="auto" w:w="0"/>
        <w:jc w:val="center"/>
        <w:tblLayout w:type="fixed"/>
        <w:tblLook w:firstColumn="1" w:firstRow="1" w:lastColumn="0" w:lastRow="0" w:noHBand="0" w:noVBand="1" w:val="04A0"/>
      </w:tblPr>
      <w:tblGrid>
        <w:gridCol w:w="9936"/>
      </w:tblGrid>
      <w:tr>
        <w:trPr>
          <w:cantSplit/>
        </w:trPr>
        <w:tc>
          <w:tcPr>
            <w:tcW w:type="dxa" w:w="10166"/>
            <w:shd w:fill="F3F6FA"/>
          </w:tcPr>
          <w:p>
            <w:pPr>
              <w:spacing w:after="0" w:line="240" w:lineRule="auto"/>
            </w:pPr>
            <w:r>
              <w:rPr>
                <w:rFonts w:ascii="Consolas" w:hAnsi="Consolas"/>
                <w:color w:val="111827"/>
                <w:sz w:val="16"/>
              </w:rPr>
              <w:t>SELECT company_location,</w:t>
              <w:br/>
              <w:t xml:space="preserve">       AVG(salary_in_usd) AS avg_sal_in_usd</w:t>
              <w:br/>
              <w:t>FROM `ds_salaries (tugas besar data analisis)`</w:t>
              <w:br/>
              <w:t>WHERE job_title LIKE '%data analyst%'</w:t>
              <w:br/>
              <w:t xml:space="preserve">  AND employment_type = 'FT'</w:t>
              <w:br/>
              <w:t xml:space="preserve">  AND experience_level IN ('MI', 'EN')</w:t>
              <w:br/>
              <w:t>GROUP BY company_location</w:t>
              <w:br/>
              <w:t>HAVING avg_sal_in_usd &gt;= 20000;</w:t>
            </w:r>
          </w:p>
        </w:tc>
      </w:tr>
    </w:tbl>
    <w:p>
      <w:pPr>
        <w:spacing w:after="20"/>
      </w:pPr>
    </w:p>
    <w:tbl>
      <w:tblPr>
        <w:tblStyle w:val="TableGrid"/>
        <w:tblW w:type="auto" w:w="0"/>
        <w:jc w:val="center"/>
        <w:tblLook w:firstColumn="1" w:firstRow="1" w:lastColumn="0" w:lastRow="0" w:noHBand="0" w:noVBand="1" w:val="04A0"/>
      </w:tblPr>
      <w:tblGrid>
        <w:gridCol w:w="3168"/>
        <w:gridCol w:w="4320"/>
      </w:tblGrid>
      <w:tr>
        <w:trPr>
          <w:tblHeader w:val="true"/>
          <w:cantSplit/>
        </w:trPr>
        <w:tc>
          <w:tcPr>
            <w:tcW w:type="dxa" w:w="5083"/>
            <w:shd w:fill="0B1F3A"/>
            <w:vAlign w:val="center"/>
          </w:tcPr>
          <w:p>
            <w:pPr>
              <w:spacing w:after="0"/>
            </w:pPr>
            <w:r/>
            <w:r>
              <w:rPr>
                <w:rFonts w:ascii="Aptos" w:hAnsi="Aptos"/>
                <w:b/>
                <w:color w:val="FFFFFF"/>
                <w:sz w:val="17"/>
              </w:rPr>
              <w:t>Company location</w:t>
            </w:r>
          </w:p>
        </w:tc>
        <w:tc>
          <w:tcPr>
            <w:tcW w:type="dxa" w:w="5083"/>
            <w:shd w:fill="0B1F3A"/>
            <w:vAlign w:val="center"/>
          </w:tcPr>
          <w:p>
            <w:pPr>
              <w:spacing w:after="0"/>
            </w:pPr>
            <w:r/>
            <w:r>
              <w:rPr>
                <w:rFonts w:ascii="Aptos" w:hAnsi="Aptos"/>
                <w:b/>
                <w:color w:val="FFFFFF"/>
                <w:sz w:val="17"/>
              </w:rPr>
              <w:t>Avg. salary (USD/year)</w:t>
            </w:r>
          </w:p>
        </w:tc>
      </w:tr>
      <w:tr>
        <w:trPr>
          <w:cantSplit/>
        </w:trPr>
        <w:tc>
          <w:tcPr>
            <w:tcW w:type="dxa" w:w="5083"/>
            <w:shd w:fill="F8FAFC"/>
            <w:vAlign w:val="center"/>
          </w:tcPr>
          <w:p>
            <w:pPr>
              <w:spacing w:after="0"/>
            </w:pPr>
            <w:r/>
            <w:r>
              <w:rPr>
                <w:rFonts w:ascii="Aptos" w:hAnsi="Aptos"/>
                <w:b w:val="0"/>
                <w:color w:val="111827"/>
                <w:sz w:val="17"/>
              </w:rPr>
              <w:t>HN</w:t>
            </w:r>
          </w:p>
        </w:tc>
        <w:tc>
          <w:tcPr>
            <w:tcW w:type="dxa" w:w="5083"/>
            <w:shd w:fill="F8FAFC"/>
            <w:vAlign w:val="center"/>
          </w:tcPr>
          <w:p>
            <w:pPr>
              <w:spacing w:after="0"/>
            </w:pPr>
            <w:r/>
            <w:r>
              <w:rPr>
                <w:rFonts w:ascii="Aptos" w:hAnsi="Aptos"/>
                <w:b w:val="0"/>
                <w:color w:val="111827"/>
                <w:sz w:val="17"/>
              </w:rPr>
              <w:t>20,000.0000</w:t>
            </w:r>
          </w:p>
        </w:tc>
      </w:tr>
      <w:tr>
        <w:trPr>
          <w:cantSplit/>
        </w:trPr>
        <w:tc>
          <w:tcPr>
            <w:tcW w:type="dxa" w:w="5083"/>
            <w:vAlign w:val="center"/>
          </w:tcPr>
          <w:p>
            <w:pPr>
              <w:spacing w:after="0"/>
            </w:pPr>
            <w:r/>
            <w:r>
              <w:rPr>
                <w:rFonts w:ascii="Aptos" w:hAnsi="Aptos"/>
                <w:b w:val="0"/>
                <w:color w:val="111827"/>
                <w:sz w:val="17"/>
              </w:rPr>
              <w:t>US</w:t>
            </w:r>
          </w:p>
        </w:tc>
        <w:tc>
          <w:tcPr>
            <w:tcW w:type="dxa" w:w="5083"/>
            <w:vAlign w:val="center"/>
          </w:tcPr>
          <w:p>
            <w:pPr>
              <w:spacing w:after="0"/>
            </w:pPr>
            <w:r/>
            <w:r>
              <w:rPr>
                <w:rFonts w:ascii="Aptos" w:hAnsi="Aptos"/>
                <w:b w:val="0"/>
                <w:color w:val="111827"/>
                <w:sz w:val="17"/>
              </w:rPr>
              <w:t>101,397.2069</w:t>
            </w:r>
          </w:p>
        </w:tc>
      </w:tr>
      <w:tr>
        <w:trPr>
          <w:cantSplit/>
        </w:trPr>
        <w:tc>
          <w:tcPr>
            <w:tcW w:type="dxa" w:w="5083"/>
            <w:shd w:fill="F8FAFC"/>
            <w:vAlign w:val="center"/>
          </w:tcPr>
          <w:p>
            <w:pPr>
              <w:spacing w:after="0"/>
            </w:pPr>
            <w:r/>
            <w:r>
              <w:rPr>
                <w:rFonts w:ascii="Aptos" w:hAnsi="Aptos"/>
                <w:b w:val="0"/>
                <w:color w:val="111827"/>
                <w:sz w:val="17"/>
              </w:rPr>
              <w:t>FR</w:t>
            </w:r>
          </w:p>
        </w:tc>
        <w:tc>
          <w:tcPr>
            <w:tcW w:type="dxa" w:w="5083"/>
            <w:shd w:fill="F8FAFC"/>
            <w:vAlign w:val="center"/>
          </w:tcPr>
          <w:p>
            <w:pPr>
              <w:spacing w:after="0"/>
            </w:pPr>
            <w:r/>
            <w:r>
              <w:rPr>
                <w:rFonts w:ascii="Aptos" w:hAnsi="Aptos"/>
                <w:b w:val="0"/>
                <w:color w:val="111827"/>
                <w:sz w:val="17"/>
              </w:rPr>
              <w:t>57,930.5000</w:t>
            </w:r>
          </w:p>
        </w:tc>
      </w:tr>
      <w:tr>
        <w:trPr>
          <w:cantSplit/>
        </w:trPr>
        <w:tc>
          <w:tcPr>
            <w:tcW w:type="dxa" w:w="5083"/>
            <w:vAlign w:val="center"/>
          </w:tcPr>
          <w:p>
            <w:pPr>
              <w:spacing w:after="0"/>
            </w:pPr>
            <w:r/>
            <w:r>
              <w:rPr>
                <w:rFonts w:ascii="Aptos" w:hAnsi="Aptos"/>
                <w:b w:val="0"/>
                <w:color w:val="111827"/>
                <w:sz w:val="17"/>
              </w:rPr>
              <w:t>GB</w:t>
            </w:r>
          </w:p>
        </w:tc>
        <w:tc>
          <w:tcPr>
            <w:tcW w:type="dxa" w:w="5083"/>
            <w:vAlign w:val="center"/>
          </w:tcPr>
          <w:p>
            <w:pPr>
              <w:spacing w:after="0"/>
            </w:pPr>
            <w:r/>
            <w:r>
              <w:rPr>
                <w:rFonts w:ascii="Aptos" w:hAnsi="Aptos"/>
                <w:b w:val="0"/>
                <w:color w:val="111827"/>
                <w:sz w:val="17"/>
              </w:rPr>
              <w:t>50,875.6000</w:t>
            </w:r>
          </w:p>
        </w:tc>
      </w:tr>
      <w:tr>
        <w:trPr>
          <w:cantSplit/>
        </w:trPr>
        <w:tc>
          <w:tcPr>
            <w:tcW w:type="dxa" w:w="5083"/>
            <w:shd w:fill="F8FAFC"/>
            <w:vAlign w:val="center"/>
          </w:tcPr>
          <w:p>
            <w:pPr>
              <w:spacing w:after="0"/>
            </w:pPr>
            <w:r/>
            <w:r>
              <w:rPr>
                <w:rFonts w:ascii="Aptos" w:hAnsi="Aptos"/>
                <w:b w:val="0"/>
                <w:color w:val="111827"/>
                <w:sz w:val="17"/>
              </w:rPr>
              <w:t>LU</w:t>
            </w:r>
          </w:p>
        </w:tc>
        <w:tc>
          <w:tcPr>
            <w:tcW w:type="dxa" w:w="5083"/>
            <w:shd w:fill="F8FAFC"/>
            <w:vAlign w:val="center"/>
          </w:tcPr>
          <w:p>
            <w:pPr>
              <w:spacing w:after="0"/>
            </w:pPr>
            <w:r/>
            <w:r>
              <w:rPr>
                <w:rFonts w:ascii="Aptos" w:hAnsi="Aptos"/>
                <w:b w:val="0"/>
                <w:color w:val="111827"/>
                <w:sz w:val="17"/>
              </w:rPr>
              <w:t>59,102.0000</w:t>
            </w:r>
          </w:p>
        </w:tc>
      </w:tr>
      <w:tr>
        <w:trPr>
          <w:cantSplit/>
        </w:trPr>
        <w:tc>
          <w:tcPr>
            <w:tcW w:type="dxa" w:w="5083"/>
            <w:vAlign w:val="center"/>
          </w:tcPr>
          <w:p>
            <w:pPr>
              <w:spacing w:after="0"/>
            </w:pPr>
            <w:r/>
            <w:r>
              <w:rPr>
                <w:rFonts w:ascii="Aptos" w:hAnsi="Aptos"/>
                <w:b w:val="0"/>
                <w:color w:val="111827"/>
                <w:sz w:val="17"/>
              </w:rPr>
              <w:t>ES</w:t>
            </w:r>
          </w:p>
        </w:tc>
        <w:tc>
          <w:tcPr>
            <w:tcW w:type="dxa" w:w="5083"/>
            <w:vAlign w:val="center"/>
          </w:tcPr>
          <w:p>
            <w:pPr>
              <w:spacing w:after="0"/>
            </w:pPr>
            <w:r/>
            <w:r>
              <w:rPr>
                <w:rFonts w:ascii="Aptos" w:hAnsi="Aptos"/>
                <w:b w:val="0"/>
                <w:color w:val="111827"/>
                <w:sz w:val="17"/>
              </w:rPr>
              <w:t>38,470.0000</w:t>
            </w:r>
          </w:p>
        </w:tc>
      </w:tr>
      <w:tr>
        <w:trPr>
          <w:cantSplit/>
        </w:trPr>
        <w:tc>
          <w:tcPr>
            <w:tcW w:type="dxa" w:w="5083"/>
            <w:shd w:fill="F8FAFC"/>
            <w:vAlign w:val="center"/>
          </w:tcPr>
          <w:p>
            <w:pPr>
              <w:spacing w:after="0"/>
            </w:pPr>
            <w:r/>
            <w:r>
              <w:rPr>
                <w:rFonts w:ascii="Aptos" w:hAnsi="Aptos"/>
                <w:b w:val="0"/>
                <w:color w:val="111827"/>
                <w:sz w:val="17"/>
              </w:rPr>
              <w:t>GR</w:t>
            </w:r>
          </w:p>
        </w:tc>
        <w:tc>
          <w:tcPr>
            <w:tcW w:type="dxa" w:w="5083"/>
            <w:shd w:fill="F8FAFC"/>
            <w:vAlign w:val="center"/>
          </w:tcPr>
          <w:p>
            <w:pPr>
              <w:spacing w:after="0"/>
            </w:pPr>
            <w:r/>
            <w:r>
              <w:rPr>
                <w:rFonts w:ascii="Aptos" w:hAnsi="Aptos"/>
                <w:b w:val="0"/>
                <w:color w:val="111827"/>
                <w:sz w:val="17"/>
              </w:rPr>
              <w:t>32,313.3333</w:t>
            </w:r>
          </w:p>
        </w:tc>
      </w:tr>
      <w:tr>
        <w:trPr>
          <w:cantSplit/>
        </w:trPr>
        <w:tc>
          <w:tcPr>
            <w:tcW w:type="dxa" w:w="5083"/>
            <w:vAlign w:val="center"/>
          </w:tcPr>
          <w:p>
            <w:pPr>
              <w:spacing w:after="0"/>
            </w:pPr>
            <w:r/>
            <w:r>
              <w:rPr>
                <w:rFonts w:ascii="Aptos" w:hAnsi="Aptos"/>
                <w:b w:val="0"/>
                <w:color w:val="111827"/>
                <w:sz w:val="17"/>
              </w:rPr>
              <w:t>CA</w:t>
            </w:r>
          </w:p>
        </w:tc>
        <w:tc>
          <w:tcPr>
            <w:tcW w:type="dxa" w:w="5083"/>
            <w:vAlign w:val="center"/>
          </w:tcPr>
          <w:p>
            <w:pPr>
              <w:spacing w:after="0"/>
            </w:pPr>
            <w:r/>
            <w:r>
              <w:rPr>
                <w:rFonts w:ascii="Aptos" w:hAnsi="Aptos"/>
                <w:b w:val="0"/>
                <w:color w:val="111827"/>
                <w:sz w:val="17"/>
              </w:rPr>
              <w:t>70,618.6667</w:t>
            </w:r>
          </w:p>
        </w:tc>
      </w:tr>
    </w:tbl>
    <w:p>
      <w:pPr>
        <w:spacing w:after="20"/>
      </w:pPr>
    </w:p>
    <w:p>
      <w:pPr>
        <w:spacing w:after="100" w:line="259" w:lineRule="auto"/>
      </w:pPr>
      <w:r>
        <w:rPr>
          <w:rFonts w:ascii="Aptos" w:hAnsi="Aptos"/>
          <w:color w:val="111827"/>
          <w:sz w:val="19"/>
        </w:rPr>
        <w:t>The strongest documented averages are the United States (US) and Canada (CA). The source narrative converts these to approximately Rp1.68B and Rp1.17B annually, but those narrative figures do not exactly reconcile with the displayed USD averages under the Rp15,000/USD assumption used elsewhere in the document. For a portfolio, the USD query output is the safer primary reference.</w:t>
      </w:r>
    </w:p>
    <w:p>
      <w:pPr>
        <w:spacing w:before="200" w:after="100"/>
        <w:pBdr>
          <w:bottom w:val="single" w:sz="8" w:space="1" w:color="0B1F3A"/>
        </w:pBdr>
        <w:pageBreakBefore/>
      </w:pPr>
      <w:r>
        <w:rPr>
          <w:rFonts w:ascii="Aptos Display" w:hAnsi="Aptos Display"/>
          <w:b/>
        </w:rPr>
        <w:t>07  Salary Gap by Year - Executive vs Mid</w:t>
      </w:r>
    </w:p>
    <w:p>
      <w:pPr>
        <w:spacing w:after="100" w:line="259" w:lineRule="auto"/>
      </w:pPr>
      <w:r>
        <w:rPr>
          <w:rFonts w:ascii="Aptos" w:hAnsi="Aptos"/>
          <w:color w:val="111827"/>
          <w:sz w:val="19"/>
        </w:rPr>
        <w:t>The source question says "mid to senior", but the SQL actually compares Executive (EX) against Mid (MI). This distinction is important: the current query answers an Executive-vs-Mid question, not a Mid-vs-Senior question.</w:t>
      </w:r>
    </w:p>
    <w:tbl>
      <w:tblPr>
        <w:tblW w:type="auto" w:w="0"/>
        <w:jc w:val="center"/>
        <w:tblLayout w:type="fixed"/>
        <w:tblLook w:firstColumn="1" w:firstRow="1" w:lastColumn="0" w:lastRow="0" w:noHBand="0" w:noVBand="1" w:val="04A0"/>
      </w:tblPr>
      <w:tblGrid>
        <w:gridCol w:w="9936"/>
      </w:tblGrid>
      <w:tr>
        <w:trPr>
          <w:cantSplit/>
        </w:trPr>
        <w:tc>
          <w:tcPr>
            <w:tcW w:type="dxa" w:w="10166"/>
            <w:shd w:fill="F3F6FA"/>
          </w:tcPr>
          <w:p>
            <w:pPr>
              <w:spacing w:after="0" w:line="240" w:lineRule="auto"/>
            </w:pPr>
            <w:r>
              <w:rPr>
                <w:rFonts w:ascii="Consolas" w:hAnsi="Consolas"/>
                <w:color w:val="111827"/>
                <w:sz w:val="16"/>
              </w:rPr>
              <w:t>WITH ds_ex AS (</w:t>
              <w:br/>
              <w:t xml:space="preserve">    SELECT work_year,</w:t>
              <w:br/>
              <w:t xml:space="preserve">           AVG(salary_in_usd) AS avg_salary_ex</w:t>
              <w:br/>
              <w:t xml:space="preserve">    FROM `ds_salaries (tugas besar data analisis)`</w:t>
              <w:br/>
              <w:t xml:space="preserve">    WHERE employment_type = 'FT'</w:t>
              <w:br/>
              <w:t xml:space="preserve">      AND experience_level = 'EX'</w:t>
              <w:br/>
              <w:t xml:space="preserve">      AND job_title LIKE '%data analyst%'</w:t>
              <w:br/>
              <w:t xml:space="preserve">    GROUP BY work_year</w:t>
              <w:br/>
              <w:t>),</w:t>
              <w:br/>
              <w:t>ds_mi AS (</w:t>
              <w:br/>
              <w:t xml:space="preserve">    SELECT work_year,</w:t>
              <w:br/>
              <w:t xml:space="preserve">           AVG(salary_in_usd) AS avg_salary_mi</w:t>
              <w:br/>
              <w:t xml:space="preserve">    FROM `ds_salaries (tugas besar data analisis)`</w:t>
              <w:br/>
              <w:t xml:space="preserve">    WHERE employment_type = 'FT'</w:t>
              <w:br/>
              <w:t xml:space="preserve">      AND experience_level = 'MI'</w:t>
              <w:br/>
              <w:t xml:space="preserve">      AND job_title LIKE '%data analyst%'</w:t>
              <w:br/>
              <w:t xml:space="preserve">    GROUP BY work_year</w:t>
              <w:br/>
              <w:t>)</w:t>
              <w:br/>
              <w:t>SELECT COALESCE(ds_ex.work_year, ds_mi.work_year) AS work_year,</w:t>
              <w:br/>
              <w:t xml:space="preserve">       ds_ex.avg_salary_ex,</w:t>
              <w:br/>
              <w:t xml:space="preserve">       ds_mi.avg_salary_mi,</w:t>
              <w:br/>
              <w:t xml:space="preserve">       ds_ex.avg_salary_ex - ds_mi.avg_salary_mi AS salary_gap</w:t>
              <w:br/>
              <w:t>FROM ds_ex</w:t>
              <w:br/>
              <w:t>LEFT JOIN ds_mi ON ds_ex.work_year = ds_mi.work_year</w:t>
              <w:br/>
              <w:t>UNION</w:t>
              <w:br/>
              <w:t>SELECT COALESCE(ds_ex.work_year, ds_mi.work_year),</w:t>
              <w:br/>
              <w:t xml:space="preserve">       ds_ex.avg_salary_ex,</w:t>
              <w:br/>
              <w:t xml:space="preserve">       ds_mi.avg_salary_mi,</w:t>
              <w:br/>
              <w:t xml:space="preserve">       ds_ex.avg_salary_ex - ds_mi.avg_salary_mi</w:t>
              <w:br/>
              <w:t>FROM ds_mi</w:t>
              <w:br/>
              <w:t>LEFT JOIN ds_ex ON ds_ex.work_year = ds_mi.work_year;</w:t>
            </w:r>
          </w:p>
        </w:tc>
      </w:tr>
    </w:tbl>
    <w:p>
      <w:pPr>
        <w:spacing w:after="20"/>
      </w:pPr>
    </w:p>
    <w:tbl>
      <w:tblPr>
        <w:tblStyle w:val="TableGrid"/>
        <w:tblW w:type="auto" w:w="0"/>
        <w:jc w:val="center"/>
        <w:tblLook w:firstColumn="1" w:firstRow="1" w:lastColumn="0" w:lastRow="0" w:noHBand="0" w:noVBand="1" w:val="04A0"/>
      </w:tblPr>
      <w:tblGrid>
        <w:gridCol w:w="1440"/>
        <w:gridCol w:w="2592"/>
        <w:gridCol w:w="2592"/>
        <w:gridCol w:w="2016"/>
      </w:tblGrid>
      <w:tr>
        <w:trPr>
          <w:tblHeader w:val="true"/>
          <w:cantSplit/>
        </w:trPr>
        <w:tc>
          <w:tcPr>
            <w:tcW w:type="dxa" w:w="2541"/>
            <w:shd w:fill="0B1F3A"/>
            <w:vAlign w:val="center"/>
          </w:tcPr>
          <w:p>
            <w:pPr>
              <w:spacing w:after="0"/>
            </w:pPr>
            <w:r/>
            <w:r>
              <w:rPr>
                <w:rFonts w:ascii="Aptos" w:hAnsi="Aptos"/>
                <w:b/>
                <w:color w:val="FFFFFF"/>
                <w:sz w:val="17"/>
              </w:rPr>
              <w:t>Year</w:t>
            </w:r>
          </w:p>
        </w:tc>
        <w:tc>
          <w:tcPr>
            <w:tcW w:type="dxa" w:w="2541"/>
            <w:shd w:fill="0B1F3A"/>
            <w:vAlign w:val="center"/>
          </w:tcPr>
          <w:p>
            <w:pPr>
              <w:spacing w:after="0"/>
            </w:pPr>
            <w:r/>
            <w:r>
              <w:rPr>
                <w:rFonts w:ascii="Aptos" w:hAnsi="Aptos"/>
                <w:b/>
                <w:color w:val="FFFFFF"/>
                <w:sz w:val="17"/>
              </w:rPr>
              <w:t>Executive avg (USD)</w:t>
            </w:r>
          </w:p>
        </w:tc>
        <w:tc>
          <w:tcPr>
            <w:tcW w:type="dxa" w:w="2541"/>
            <w:shd w:fill="0B1F3A"/>
            <w:vAlign w:val="center"/>
          </w:tcPr>
          <w:p>
            <w:pPr>
              <w:spacing w:after="0"/>
            </w:pPr>
            <w:r/>
            <w:r>
              <w:rPr>
                <w:rFonts w:ascii="Aptos" w:hAnsi="Aptos"/>
                <w:b/>
                <w:color w:val="FFFFFF"/>
                <w:sz w:val="17"/>
              </w:rPr>
              <w:t>Mid avg (USD)</w:t>
            </w:r>
          </w:p>
        </w:tc>
        <w:tc>
          <w:tcPr>
            <w:tcW w:type="dxa" w:w="2541"/>
            <w:shd w:fill="0B1F3A"/>
            <w:vAlign w:val="center"/>
          </w:tcPr>
          <w:p>
            <w:pPr>
              <w:spacing w:after="0"/>
            </w:pPr>
            <w:r/>
            <w:r>
              <w:rPr>
                <w:rFonts w:ascii="Aptos" w:hAnsi="Aptos"/>
                <w:b/>
                <w:color w:val="FFFFFF"/>
                <w:sz w:val="17"/>
              </w:rPr>
              <w:t>Gap (USD)</w:t>
            </w:r>
          </w:p>
        </w:tc>
      </w:tr>
      <w:tr>
        <w:trPr>
          <w:cantSplit/>
        </w:trPr>
        <w:tc>
          <w:tcPr>
            <w:tcW w:type="dxa" w:w="2541"/>
            <w:shd w:fill="F8FAFC"/>
            <w:vAlign w:val="center"/>
          </w:tcPr>
          <w:p>
            <w:pPr>
              <w:spacing w:after="0"/>
            </w:pPr>
            <w:r/>
            <w:r>
              <w:rPr>
                <w:rFonts w:ascii="Aptos" w:hAnsi="Aptos"/>
                <w:b w:val="0"/>
                <w:color w:val="111827"/>
                <w:sz w:val="17"/>
              </w:rPr>
              <w:t>2020</w:t>
            </w:r>
          </w:p>
        </w:tc>
        <w:tc>
          <w:tcPr>
            <w:tcW w:type="dxa" w:w="2541"/>
            <w:shd w:fill="F8FAFC"/>
            <w:vAlign w:val="center"/>
          </w:tcPr>
          <w:p>
            <w:pPr>
              <w:spacing w:after="0"/>
            </w:pPr>
            <w:r/>
            <w:r>
              <w:rPr>
                <w:rFonts w:ascii="Aptos" w:hAnsi="Aptos"/>
                <w:b w:val="0"/>
                <w:color w:val="111827"/>
                <w:sz w:val="17"/>
              </w:rPr>
              <w:t>NULL</w:t>
            </w:r>
          </w:p>
        </w:tc>
        <w:tc>
          <w:tcPr>
            <w:tcW w:type="dxa" w:w="2541"/>
            <w:shd w:fill="F8FAFC"/>
            <w:vAlign w:val="center"/>
          </w:tcPr>
          <w:p>
            <w:pPr>
              <w:spacing w:after="0"/>
            </w:pPr>
            <w:r/>
            <w:r>
              <w:rPr>
                <w:rFonts w:ascii="Aptos" w:hAnsi="Aptos"/>
                <w:b w:val="0"/>
                <w:color w:val="111827"/>
                <w:sz w:val="17"/>
              </w:rPr>
              <w:t>60,728.8750</w:t>
            </w:r>
          </w:p>
        </w:tc>
        <w:tc>
          <w:tcPr>
            <w:tcW w:type="dxa" w:w="2541"/>
            <w:shd w:fill="F8FAFC"/>
            <w:vAlign w:val="center"/>
          </w:tcPr>
          <w:p>
            <w:pPr>
              <w:spacing w:after="0"/>
            </w:pPr>
            <w:r/>
            <w:r>
              <w:rPr>
                <w:rFonts w:ascii="Aptos" w:hAnsi="Aptos"/>
                <w:b w:val="0"/>
                <w:color w:val="111827"/>
                <w:sz w:val="17"/>
              </w:rPr>
              <w:t>NULL</w:t>
            </w:r>
          </w:p>
        </w:tc>
      </w:tr>
      <w:tr>
        <w:trPr>
          <w:cantSplit/>
        </w:trPr>
        <w:tc>
          <w:tcPr>
            <w:tcW w:type="dxa" w:w="2541"/>
            <w:vAlign w:val="center"/>
          </w:tcPr>
          <w:p>
            <w:pPr>
              <w:spacing w:after="0"/>
            </w:pPr>
            <w:r/>
            <w:r>
              <w:rPr>
                <w:rFonts w:ascii="Aptos" w:hAnsi="Aptos"/>
                <w:b w:val="0"/>
                <w:color w:val="111827"/>
                <w:sz w:val="17"/>
              </w:rPr>
              <w:t>2021</w:t>
            </w:r>
          </w:p>
        </w:tc>
        <w:tc>
          <w:tcPr>
            <w:tcW w:type="dxa" w:w="2541"/>
            <w:vAlign w:val="center"/>
          </w:tcPr>
          <w:p>
            <w:pPr>
              <w:spacing w:after="0"/>
            </w:pPr>
            <w:r/>
            <w:r>
              <w:rPr>
                <w:rFonts w:ascii="Aptos" w:hAnsi="Aptos"/>
                <w:b w:val="0"/>
                <w:color w:val="111827"/>
                <w:sz w:val="17"/>
              </w:rPr>
              <w:t>150,000.0000</w:t>
            </w:r>
          </w:p>
        </w:tc>
        <w:tc>
          <w:tcPr>
            <w:tcW w:type="dxa" w:w="2541"/>
            <w:vAlign w:val="center"/>
          </w:tcPr>
          <w:p>
            <w:pPr>
              <w:spacing w:after="0"/>
            </w:pPr>
            <w:r/>
            <w:r>
              <w:rPr>
                <w:rFonts w:ascii="Aptos" w:hAnsi="Aptos"/>
                <w:b w:val="0"/>
                <w:color w:val="111827"/>
                <w:sz w:val="17"/>
              </w:rPr>
              <w:t>108,398.8182</w:t>
            </w:r>
          </w:p>
        </w:tc>
        <w:tc>
          <w:tcPr>
            <w:tcW w:type="dxa" w:w="2541"/>
            <w:vAlign w:val="center"/>
          </w:tcPr>
          <w:p>
            <w:pPr>
              <w:spacing w:after="0"/>
            </w:pPr>
            <w:r/>
            <w:r>
              <w:rPr>
                <w:rFonts w:ascii="Aptos" w:hAnsi="Aptos"/>
                <w:b w:val="0"/>
                <w:color w:val="111827"/>
                <w:sz w:val="17"/>
              </w:rPr>
              <w:t>41,601.1818</w:t>
            </w:r>
          </w:p>
        </w:tc>
      </w:tr>
      <w:tr>
        <w:trPr>
          <w:cantSplit/>
        </w:trPr>
        <w:tc>
          <w:tcPr>
            <w:tcW w:type="dxa" w:w="2541"/>
            <w:shd w:fill="F8FAFC"/>
            <w:vAlign w:val="center"/>
          </w:tcPr>
          <w:p>
            <w:pPr>
              <w:spacing w:after="0"/>
            </w:pPr>
            <w:r/>
            <w:r>
              <w:rPr>
                <w:rFonts w:ascii="Aptos" w:hAnsi="Aptos"/>
                <w:b w:val="0"/>
                <w:color w:val="111827"/>
                <w:sz w:val="17"/>
              </w:rPr>
              <w:t>2022</w:t>
            </w:r>
          </w:p>
        </w:tc>
        <w:tc>
          <w:tcPr>
            <w:tcW w:type="dxa" w:w="2541"/>
            <w:shd w:fill="F8FAFC"/>
            <w:vAlign w:val="center"/>
          </w:tcPr>
          <w:p>
            <w:pPr>
              <w:spacing w:after="0"/>
            </w:pPr>
            <w:r/>
            <w:r>
              <w:rPr>
                <w:rFonts w:ascii="Aptos" w:hAnsi="Aptos"/>
                <w:b w:val="0"/>
                <w:color w:val="111827"/>
                <w:sz w:val="17"/>
              </w:rPr>
              <w:t>120,000.0000</w:t>
            </w:r>
          </w:p>
        </w:tc>
        <w:tc>
          <w:tcPr>
            <w:tcW w:type="dxa" w:w="2541"/>
            <w:shd w:fill="F8FAFC"/>
            <w:vAlign w:val="center"/>
          </w:tcPr>
          <w:p>
            <w:pPr>
              <w:spacing w:after="0"/>
            </w:pPr>
            <w:r/>
            <w:r>
              <w:rPr>
                <w:rFonts w:ascii="Aptos" w:hAnsi="Aptos"/>
                <w:b w:val="0"/>
                <w:color w:val="111827"/>
                <w:sz w:val="17"/>
              </w:rPr>
              <w:t>68,970.5909</w:t>
            </w:r>
          </w:p>
        </w:tc>
        <w:tc>
          <w:tcPr>
            <w:tcW w:type="dxa" w:w="2541"/>
            <w:shd w:fill="F8FAFC"/>
            <w:vAlign w:val="center"/>
          </w:tcPr>
          <w:p>
            <w:pPr>
              <w:spacing w:after="0"/>
            </w:pPr>
            <w:r/>
            <w:r>
              <w:rPr>
                <w:rFonts w:ascii="Aptos" w:hAnsi="Aptos"/>
                <w:b w:val="0"/>
                <w:color w:val="111827"/>
                <w:sz w:val="17"/>
              </w:rPr>
              <w:t>51,029.4091</w:t>
            </w:r>
          </w:p>
        </w:tc>
      </w:tr>
    </w:tbl>
    <w:p>
      <w:pPr>
        <w:spacing w:after="20"/>
      </w:pPr>
    </w:p>
    <w:p>
      <w:pPr>
        <w:spacing w:after="100" w:line="259" w:lineRule="auto"/>
      </w:pPr>
      <w:r>
        <w:rPr>
          <w:rFonts w:ascii="Aptos" w:hAnsi="Aptos"/>
          <w:color w:val="111827"/>
          <w:sz w:val="19"/>
        </w:rPr>
        <w:t>Documented finding: among years with both groups available, the Executive-minus-Mid gap is larger in 2022 than in 2021. In 2020, Executive data is unavailable, so no gap can be computed.</w:t>
      </w:r>
    </w:p>
    <w:tbl>
      <w:tblPr>
        <w:tblW w:type="auto" w:w="0"/>
        <w:jc w:val="center"/>
        <w:tblLayout w:type="fixed"/>
        <w:tblLook w:firstColumn="1" w:firstRow="1" w:lastColumn="0" w:lastRow="0" w:noHBand="0" w:noVBand="1" w:val="04A0"/>
      </w:tblPr>
      <w:tblGrid>
        <w:gridCol w:w="9864"/>
      </w:tblGrid>
      <w:tr>
        <w:trPr>
          <w:cantSplit/>
        </w:trPr>
        <w:tc>
          <w:tcPr>
            <w:tcW w:type="dxa" w:w="10166"/>
            <w:shd w:fill="FEF2F2"/>
          </w:tcPr>
          <w:p>
            <w:pPr>
              <w:spacing w:after="40"/>
            </w:pPr>
            <w:r>
              <w:rPr>
                <w:rFonts w:ascii="Aptos" w:hAnsi="Aptos"/>
                <w:b/>
                <w:color w:val="B91C1C"/>
                <w:sz w:val="19"/>
              </w:rPr>
              <w:t>PORTFOLIO IMPROVEMENT</w:t>
            </w:r>
          </w:p>
          <w:p>
            <w:pPr>
              <w:spacing w:after="0"/>
            </w:pPr>
            <w:r>
              <w:rPr>
                <w:rFonts w:ascii="Aptos" w:hAnsi="Aptos"/>
                <w:color w:val="111827"/>
                <w:sz w:val="18"/>
              </w:rPr>
              <w:t>For the original wording "Mid to Senior", replace EX with SE and compare MI vs SE. Keeping that correction explicit demonstrates that you validate the business question against the actual SQL logic.</w:t>
            </w:r>
          </w:p>
        </w:tc>
      </w:tr>
    </w:tbl>
    <w:p>
      <w:pPr>
        <w:spacing w:after="20"/>
      </w:pPr>
    </w:p>
    <w:p>
      <w:pPr>
        <w:spacing w:before="200" w:after="100"/>
        <w:pBdr>
          <w:bottom w:val="single" w:sz="8" w:space="1" w:color="0B1F3A"/>
        </w:pBdr>
        <w:pageBreakBefore/>
      </w:pPr>
      <w:r>
        <w:rPr>
          <w:rFonts w:ascii="Aptos Display" w:hAnsi="Aptos Display"/>
          <w:b/>
        </w:rPr>
        <w:t>08  Key Insights</w:t>
      </w:r>
    </w:p>
    <w:p>
      <w:pPr>
        <w:spacing w:after="60"/>
        <w:ind w:left="259"/>
      </w:pPr>
      <w:r>
        <w:rPr>
          <w:rFonts w:ascii="Aptos" w:hAnsi="Aptos"/>
          <w:sz w:val="19"/>
        </w:rPr>
        <w:t>• The documented dataset passed the NULL check for the selected core attributes.</w:t>
      </w:r>
    </w:p>
    <w:p>
      <w:pPr>
        <w:spacing w:after="60"/>
        <w:ind w:left="259"/>
      </w:pPr>
      <w:r>
        <w:rPr>
          <w:rFonts w:ascii="Aptos" w:hAnsi="Aptos"/>
          <w:sz w:val="19"/>
        </w:rPr>
        <w:t>• The Data Analyst filter captures multiple role variants, not just the exact title "Data Analyst".</w:t>
      </w:r>
    </w:p>
    <w:p>
      <w:pPr>
        <w:spacing w:after="60"/>
        <w:ind w:left="259"/>
      </w:pPr>
      <w:r>
        <w:rPr>
          <w:rFonts w:ascii="Aptos" w:hAnsi="Aptos"/>
          <w:sz w:val="19"/>
        </w:rPr>
        <w:t>• The overall average salary for Data Analyst-related roles is $93,200.38 per year in the source result.</w:t>
      </w:r>
    </w:p>
    <w:p>
      <w:pPr>
        <w:spacing w:after="60"/>
        <w:ind w:left="259"/>
      </w:pPr>
      <w:r>
        <w:rPr>
          <w:rFonts w:ascii="Aptos" w:hAnsi="Aptos"/>
          <w:sz w:val="19"/>
        </w:rPr>
        <w:t>• Average compensation rises across experience levels in the documented results.</w:t>
      </w:r>
    </w:p>
    <w:p>
      <w:pPr>
        <w:spacing w:after="60"/>
        <w:ind w:left="259"/>
      </w:pPr>
      <w:r>
        <w:rPr>
          <w:rFonts w:ascii="Aptos" w:hAnsi="Aptos"/>
          <w:sz w:val="19"/>
        </w:rPr>
        <w:t>• Employment type introduces substantial salary variation, especially in contract observations.</w:t>
      </w:r>
    </w:p>
    <w:p>
      <w:pPr>
        <w:spacing w:after="60"/>
        <w:ind w:left="259"/>
      </w:pPr>
      <w:r>
        <w:rPr>
          <w:rFonts w:ascii="Aptos" w:hAnsi="Aptos"/>
          <w:sz w:val="19"/>
        </w:rPr>
        <w:t>• US and Canada are the strongest company-location averages among the filtered FT Entry/Mid results.</w:t>
      </w:r>
    </w:p>
    <w:p>
      <w:pPr>
        <w:spacing w:after="60"/>
        <w:ind w:left="259"/>
      </w:pPr>
      <w:r>
        <w:rPr>
          <w:rFonts w:ascii="Aptos" w:hAnsi="Aptos"/>
          <w:sz w:val="19"/>
        </w:rPr>
        <w:t>• The yearly gap analysis currently measures Executive vs Mid rather than Mid vs Senior.</w:t>
      </w:r>
    </w:p>
    <w:p>
      <w:pPr>
        <w:spacing w:before="200" w:after="100"/>
        <w:pBdr>
          <w:bottom w:val="single" w:sz="8" w:space="1" w:color="0B1F3A"/>
        </w:pBdr>
      </w:pPr>
      <w:r>
        <w:rPr>
          <w:rFonts w:ascii="Aptos Display" w:hAnsi="Aptos Display"/>
          <w:b/>
        </w:rPr>
        <w:t>09  Technical Skills Demonstrated</w:t>
      </w:r>
    </w:p>
    <w:tbl>
      <w:tblPr>
        <w:tblStyle w:val="TableGrid"/>
        <w:tblW w:type="auto" w:w="0"/>
        <w:jc w:val="center"/>
        <w:tblLook w:firstColumn="1" w:firstRow="1" w:lastColumn="0" w:lastRow="0" w:noHBand="0" w:noVBand="1" w:val="04A0"/>
      </w:tblPr>
      <w:tblGrid>
        <w:gridCol w:w="2592"/>
        <w:gridCol w:w="7056"/>
      </w:tblGrid>
      <w:tr>
        <w:trPr>
          <w:tblHeader w:val="true"/>
          <w:cantSplit/>
        </w:trPr>
        <w:tc>
          <w:tcPr>
            <w:tcW w:type="dxa" w:w="5083"/>
            <w:shd w:fill="0B1F3A"/>
            <w:vAlign w:val="center"/>
          </w:tcPr>
          <w:p>
            <w:pPr>
              <w:spacing w:after="0"/>
            </w:pPr>
            <w:r/>
            <w:r>
              <w:rPr>
                <w:rFonts w:ascii="Aptos" w:hAnsi="Aptos"/>
                <w:b/>
                <w:color w:val="FFFFFF"/>
                <w:sz w:val="17"/>
              </w:rPr>
              <w:t>SQL concept</w:t>
            </w:r>
          </w:p>
        </w:tc>
        <w:tc>
          <w:tcPr>
            <w:tcW w:type="dxa" w:w="5083"/>
            <w:shd w:fill="0B1F3A"/>
            <w:vAlign w:val="center"/>
          </w:tcPr>
          <w:p>
            <w:pPr>
              <w:spacing w:after="0"/>
            </w:pPr>
            <w:r/>
            <w:r>
              <w:rPr>
                <w:rFonts w:ascii="Aptos" w:hAnsi="Aptos"/>
                <w:b/>
                <w:color w:val="FFFFFF"/>
                <w:sz w:val="17"/>
              </w:rPr>
              <w:t>How it was used</w:t>
            </w:r>
          </w:p>
        </w:tc>
      </w:tr>
      <w:tr>
        <w:trPr>
          <w:cantSplit/>
        </w:trPr>
        <w:tc>
          <w:tcPr>
            <w:tcW w:type="dxa" w:w="5083"/>
            <w:shd w:fill="F8FAFC"/>
            <w:vAlign w:val="center"/>
          </w:tcPr>
          <w:p>
            <w:pPr>
              <w:spacing w:after="0"/>
            </w:pPr>
            <w:r/>
            <w:r>
              <w:rPr>
                <w:rFonts w:ascii="Aptos" w:hAnsi="Aptos"/>
                <w:b w:val="0"/>
                <w:color w:val="111827"/>
                <w:sz w:val="17"/>
              </w:rPr>
              <w:t>WHERE / NULL checks</w:t>
            </w:r>
          </w:p>
        </w:tc>
        <w:tc>
          <w:tcPr>
            <w:tcW w:type="dxa" w:w="5083"/>
            <w:shd w:fill="F8FAFC"/>
            <w:vAlign w:val="center"/>
          </w:tcPr>
          <w:p>
            <w:pPr>
              <w:spacing w:after="0"/>
            </w:pPr>
            <w:r/>
            <w:r>
              <w:rPr>
                <w:rFonts w:ascii="Aptos" w:hAnsi="Aptos"/>
                <w:b w:val="0"/>
                <w:color w:val="111827"/>
                <w:sz w:val="17"/>
              </w:rPr>
              <w:t>Validated completeness of important analytical fields</w:t>
            </w:r>
          </w:p>
        </w:tc>
      </w:tr>
      <w:tr>
        <w:trPr>
          <w:cantSplit/>
        </w:trPr>
        <w:tc>
          <w:tcPr>
            <w:tcW w:type="dxa" w:w="5083"/>
            <w:vAlign w:val="center"/>
          </w:tcPr>
          <w:p>
            <w:pPr>
              <w:spacing w:after="0"/>
            </w:pPr>
            <w:r/>
            <w:r>
              <w:rPr>
                <w:rFonts w:ascii="Aptos" w:hAnsi="Aptos"/>
                <w:b w:val="0"/>
                <w:color w:val="111827"/>
                <w:sz w:val="17"/>
              </w:rPr>
              <w:t>DISTINCT</w:t>
            </w:r>
          </w:p>
        </w:tc>
        <w:tc>
          <w:tcPr>
            <w:tcW w:type="dxa" w:w="5083"/>
            <w:vAlign w:val="center"/>
          </w:tcPr>
          <w:p>
            <w:pPr>
              <w:spacing w:after="0"/>
            </w:pPr>
            <w:r/>
            <w:r>
              <w:rPr>
                <w:rFonts w:ascii="Aptos" w:hAnsi="Aptos"/>
                <w:b w:val="0"/>
                <w:color w:val="111827"/>
                <w:sz w:val="17"/>
              </w:rPr>
              <w:t>Explored unique job titles</w:t>
            </w:r>
          </w:p>
        </w:tc>
      </w:tr>
      <w:tr>
        <w:trPr>
          <w:cantSplit/>
        </w:trPr>
        <w:tc>
          <w:tcPr>
            <w:tcW w:type="dxa" w:w="5083"/>
            <w:shd w:fill="F8FAFC"/>
            <w:vAlign w:val="center"/>
          </w:tcPr>
          <w:p>
            <w:pPr>
              <w:spacing w:after="0"/>
            </w:pPr>
            <w:r/>
            <w:r>
              <w:rPr>
                <w:rFonts w:ascii="Aptos" w:hAnsi="Aptos"/>
                <w:b w:val="0"/>
                <w:color w:val="111827"/>
                <w:sz w:val="17"/>
              </w:rPr>
              <w:t>LIKE</w:t>
            </w:r>
          </w:p>
        </w:tc>
        <w:tc>
          <w:tcPr>
            <w:tcW w:type="dxa" w:w="5083"/>
            <w:shd w:fill="F8FAFC"/>
            <w:vAlign w:val="center"/>
          </w:tcPr>
          <w:p>
            <w:pPr>
              <w:spacing w:after="0"/>
            </w:pPr>
            <w:r/>
            <w:r>
              <w:rPr>
                <w:rFonts w:ascii="Aptos" w:hAnsi="Aptos"/>
                <w:b w:val="0"/>
                <w:color w:val="111827"/>
                <w:sz w:val="17"/>
              </w:rPr>
              <w:t>Filtered Data Analyst-related roles</w:t>
            </w:r>
          </w:p>
        </w:tc>
      </w:tr>
      <w:tr>
        <w:trPr>
          <w:cantSplit/>
        </w:trPr>
        <w:tc>
          <w:tcPr>
            <w:tcW w:type="dxa" w:w="5083"/>
            <w:vAlign w:val="center"/>
          </w:tcPr>
          <w:p>
            <w:pPr>
              <w:spacing w:after="0"/>
            </w:pPr>
            <w:r/>
            <w:r>
              <w:rPr>
                <w:rFonts w:ascii="Aptos" w:hAnsi="Aptos"/>
                <w:b w:val="0"/>
                <w:color w:val="111827"/>
                <w:sz w:val="17"/>
              </w:rPr>
              <w:t>AVG</w:t>
            </w:r>
          </w:p>
        </w:tc>
        <w:tc>
          <w:tcPr>
            <w:tcW w:type="dxa" w:w="5083"/>
            <w:vAlign w:val="center"/>
          </w:tcPr>
          <w:p>
            <w:pPr>
              <w:spacing w:after="0"/>
            </w:pPr>
            <w:r/>
            <w:r>
              <w:rPr>
                <w:rFonts w:ascii="Aptos" w:hAnsi="Aptos"/>
                <w:b w:val="0"/>
                <w:color w:val="111827"/>
                <w:sz w:val="17"/>
              </w:rPr>
              <w:t>Calculated average salary metrics</w:t>
            </w:r>
          </w:p>
        </w:tc>
      </w:tr>
      <w:tr>
        <w:trPr>
          <w:cantSplit/>
        </w:trPr>
        <w:tc>
          <w:tcPr>
            <w:tcW w:type="dxa" w:w="5083"/>
            <w:shd w:fill="F8FAFC"/>
            <w:vAlign w:val="center"/>
          </w:tcPr>
          <w:p>
            <w:pPr>
              <w:spacing w:after="0"/>
            </w:pPr>
            <w:r/>
            <w:r>
              <w:rPr>
                <w:rFonts w:ascii="Aptos" w:hAnsi="Aptos"/>
                <w:b w:val="0"/>
                <w:color w:val="111827"/>
                <w:sz w:val="17"/>
              </w:rPr>
              <w:t>GROUP BY</w:t>
            </w:r>
          </w:p>
        </w:tc>
        <w:tc>
          <w:tcPr>
            <w:tcW w:type="dxa" w:w="5083"/>
            <w:shd w:fill="F8FAFC"/>
            <w:vAlign w:val="center"/>
          </w:tcPr>
          <w:p>
            <w:pPr>
              <w:spacing w:after="0"/>
            </w:pPr>
            <w:r/>
            <w:r>
              <w:rPr>
                <w:rFonts w:ascii="Aptos" w:hAnsi="Aptos"/>
                <w:b w:val="0"/>
                <w:color w:val="111827"/>
                <w:sz w:val="17"/>
              </w:rPr>
              <w:t>Segmented results by experience, employment type, country, and year</w:t>
            </w:r>
          </w:p>
        </w:tc>
      </w:tr>
      <w:tr>
        <w:trPr>
          <w:cantSplit/>
        </w:trPr>
        <w:tc>
          <w:tcPr>
            <w:tcW w:type="dxa" w:w="5083"/>
            <w:vAlign w:val="center"/>
          </w:tcPr>
          <w:p>
            <w:pPr>
              <w:spacing w:after="0"/>
            </w:pPr>
            <w:r/>
            <w:r>
              <w:rPr>
                <w:rFonts w:ascii="Aptos" w:hAnsi="Aptos"/>
                <w:b w:val="0"/>
                <w:color w:val="111827"/>
                <w:sz w:val="17"/>
              </w:rPr>
              <w:t>HAVING</w:t>
            </w:r>
          </w:p>
        </w:tc>
        <w:tc>
          <w:tcPr>
            <w:tcW w:type="dxa" w:w="5083"/>
            <w:vAlign w:val="center"/>
          </w:tcPr>
          <w:p>
            <w:pPr>
              <w:spacing w:after="0"/>
            </w:pPr>
            <w:r/>
            <w:r>
              <w:rPr>
                <w:rFonts w:ascii="Aptos" w:hAnsi="Aptos"/>
                <w:b w:val="0"/>
                <w:color w:val="111827"/>
                <w:sz w:val="17"/>
              </w:rPr>
              <w:t>Applied a post-aggregation salary threshold</w:t>
            </w:r>
          </w:p>
        </w:tc>
      </w:tr>
      <w:tr>
        <w:trPr>
          <w:cantSplit/>
        </w:trPr>
        <w:tc>
          <w:tcPr>
            <w:tcW w:type="dxa" w:w="5083"/>
            <w:shd w:fill="F8FAFC"/>
            <w:vAlign w:val="center"/>
          </w:tcPr>
          <w:p>
            <w:pPr>
              <w:spacing w:after="0"/>
            </w:pPr>
            <w:r/>
            <w:r>
              <w:rPr>
                <w:rFonts w:ascii="Aptos" w:hAnsi="Aptos"/>
                <w:b w:val="0"/>
                <w:color w:val="111827"/>
                <w:sz w:val="17"/>
              </w:rPr>
              <w:t>CTE</w:t>
            </w:r>
          </w:p>
        </w:tc>
        <w:tc>
          <w:tcPr>
            <w:tcW w:type="dxa" w:w="5083"/>
            <w:shd w:fill="F8FAFC"/>
            <w:vAlign w:val="center"/>
          </w:tcPr>
          <w:p>
            <w:pPr>
              <w:spacing w:after="0"/>
            </w:pPr>
            <w:r/>
            <w:r>
              <w:rPr>
                <w:rFonts w:ascii="Aptos" w:hAnsi="Aptos"/>
                <w:b w:val="0"/>
                <w:color w:val="111827"/>
                <w:sz w:val="17"/>
              </w:rPr>
              <w:t>Separated Executive and Mid yearly salary calculations</w:t>
            </w:r>
          </w:p>
        </w:tc>
      </w:tr>
      <w:tr>
        <w:trPr>
          <w:cantSplit/>
        </w:trPr>
        <w:tc>
          <w:tcPr>
            <w:tcW w:type="dxa" w:w="5083"/>
            <w:vAlign w:val="center"/>
          </w:tcPr>
          <w:p>
            <w:pPr>
              <w:spacing w:after="0"/>
            </w:pPr>
            <w:r/>
            <w:r>
              <w:rPr>
                <w:rFonts w:ascii="Aptos" w:hAnsi="Aptos"/>
                <w:b w:val="0"/>
                <w:color w:val="111827"/>
                <w:sz w:val="17"/>
              </w:rPr>
              <w:t>JOIN</w:t>
            </w:r>
          </w:p>
        </w:tc>
        <w:tc>
          <w:tcPr>
            <w:tcW w:type="dxa" w:w="5083"/>
            <w:vAlign w:val="center"/>
          </w:tcPr>
          <w:p>
            <w:pPr>
              <w:spacing w:after="0"/>
            </w:pPr>
            <w:r/>
            <w:r>
              <w:rPr>
                <w:rFonts w:ascii="Aptos" w:hAnsi="Aptos"/>
                <w:b w:val="0"/>
                <w:color w:val="111827"/>
                <w:sz w:val="17"/>
              </w:rPr>
              <w:t>Aligned yearly salary aggregates before calculating gaps</w:t>
            </w:r>
          </w:p>
        </w:tc>
      </w:tr>
    </w:tbl>
    <w:p>
      <w:pPr>
        <w:spacing w:after="20"/>
      </w:pPr>
    </w:p>
    <w:p>
      <w:pPr>
        <w:spacing w:before="200" w:after="100"/>
        <w:pBdr>
          <w:bottom w:val="single" w:sz="8" w:space="1" w:color="0B1F3A"/>
        </w:pBdr>
      </w:pPr>
      <w:r>
        <w:rPr>
          <w:rFonts w:ascii="Aptos Display" w:hAnsi="Aptos Display"/>
          <w:b/>
        </w:rPr>
        <w:t>10  Recommended Next Analysis</w:t>
      </w:r>
    </w:p>
    <w:p>
      <w:pPr>
        <w:spacing w:after="100" w:line="259" w:lineRule="auto"/>
      </w:pPr>
      <w:r>
        <w:rPr>
          <w:rFonts w:ascii="Aptos" w:hAnsi="Aptos"/>
          <w:color w:val="111827"/>
          <w:sz w:val="19"/>
        </w:rPr>
        <w:t>To turn this into a stronger Data Analyst portfolio project, the next layer would be to add salary distribution (median, quartiles, and outliers), year-over-year salary growth, remote-work ratio analysis, company-size comparisons, and a controlled job-title mapping. These additions would move the case study from simple descriptive SQL toward diagnostic analysis.</w:t>
      </w:r>
    </w:p>
    <w:tbl>
      <w:tblPr>
        <w:tblW w:type="auto" w:w="0"/>
        <w:jc w:val="center"/>
        <w:tblLayout w:type="fixed"/>
        <w:tblLook w:firstColumn="1" w:firstRow="1" w:lastColumn="0" w:lastRow="0" w:noHBand="0" w:noVBand="1" w:val="04A0"/>
      </w:tblPr>
      <w:tblGrid>
        <w:gridCol w:w="9864"/>
      </w:tblGrid>
      <w:tr>
        <w:trPr>
          <w:cantSplit/>
        </w:trPr>
        <w:tc>
          <w:tcPr>
            <w:tcW w:type="dxa" w:w="10166"/>
            <w:shd w:fill="ECFDF5"/>
          </w:tcPr>
          <w:p>
            <w:pPr>
              <w:spacing w:after="40"/>
            </w:pPr>
            <w:r>
              <w:rPr>
                <w:rFonts w:ascii="Aptos" w:hAnsi="Aptos"/>
                <w:b/>
                <w:color w:val="0F766E"/>
                <w:sz w:val="19"/>
              </w:rPr>
              <w:t>FINAL PORTFOLIO POSITIONING</w:t>
            </w:r>
          </w:p>
          <w:p>
            <w:pPr>
              <w:spacing w:after="0"/>
            </w:pPr>
            <w:r>
              <w:rPr>
                <w:rFonts w:ascii="Aptos" w:hAnsi="Aptos"/>
                <w:color w:val="111827"/>
                <w:sz w:val="18"/>
              </w:rPr>
              <w:t>This project demonstrates a complete analytical workflow: validate the data, define the target population, aggregate metrics, segment by business dimensions, test a comparison, and document limitations. That workflow is more valuable in a portfolio than showing SQL syntax alone.</w:t>
            </w:r>
          </w:p>
        </w:tc>
      </w:tr>
    </w:tbl>
    <w:p>
      <w:pPr>
        <w:spacing w:after="20"/>
      </w:pPr>
    </w:p>
    <w:p>
      <w:pPr>
        <w:spacing w:before="240" w:after="0"/>
      </w:pPr>
      <w:r>
        <w:rPr>
          <w:rFonts w:ascii="Aptos" w:hAnsi="Aptos"/>
          <w:i/>
          <w:color w:val="64748B"/>
          <w:sz w:val="15"/>
        </w:rPr>
        <w:t>Source basis: user-provided PDF "querysql_ds_salaries.pdf". Figures and findings above are derived from the documented query outputs and notes; inconsistencies are explicitly flagged rather than silently corrected.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Aji Sakti Saputra  •  SQL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SQL PORTFOLIO  |  DATA ANALYST SALARY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Portfolio - Data Analyst Salary Analysis</dc:title>
  <dc:subject>SQL case study for portfolio</dc:subject>
  <dc:creator>Aji Sakti Saputra</dc:creator>
  <cp:keywords>SQL, Data Analyst, Salary Analysis, Portfolio</cp:keywords>
  <dc:description>generated by python-docx</dc:description>
  <cp:lastModifiedBy/>
  <cp:revision>1</cp:revision>
  <dcterms:created xsi:type="dcterms:W3CDTF">2013-12-23T23:15:00Z</dcterms:created>
  <dcterms:modified xsi:type="dcterms:W3CDTF">2013-12-23T23:15:00Z</dcterms:modified>
  <cp:category/>
</cp:coreProperties>
</file>