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9125D" w14:textId="77777777" w:rsidR="00B07495" w:rsidRDefault="00000000">
      <w:pPr>
        <w:pStyle w:val="Title"/>
      </w:pPr>
      <w:r>
        <w:t>Event-Driven Real-Time Integration of Payer Data with Patient Service Hubs: A Reference Architecture for Therapy Access Acceleration</w:t>
      </w:r>
    </w:p>
    <w:p w14:paraId="6C72545F" w14:textId="77777777" w:rsidR="00B07495" w:rsidRDefault="00000000">
      <w:pPr>
        <w:pStyle w:val="Heading1"/>
      </w:pPr>
      <w:r>
        <w:t>Abstract</w:t>
      </w:r>
    </w:p>
    <w:p w14:paraId="791BB180" w14:textId="77777777" w:rsidR="00B07495" w:rsidRDefault="00000000">
      <w:r>
        <w:t>Timely patient access to specialty therapies depends on rapid completion of benefits verification, prior authorization, and financial assistance workflows. Despite advances in payer core administration systems that support real-time data exchange (e.g., FHIR APIs, event-driven adjudication), patient service hubs operated by life sciences manufacturers and vendors continue to rely heavily on manual processes such as phone calls, faxes, and portal lookups. This gap leads to delayed therapy initiation, redundant follow-up, and increased administrative burden.</w:t>
      </w:r>
      <w:r>
        <w:br/>
      </w:r>
      <w:r>
        <w:br/>
        <w:t>This paper presents a reference architecture for integrating payer real-time data streams into patient service hub platforms. The proposed design leverages event-driven middleware, FHIR Subscriptions, and secure API orchestration to synchronize payer eligibility, prior authorization status, and claims updates with hub CRM and case management workflows. An AI-enabled anomaly detection layer is introduced to ensure data quality, while privacy-preserving mechanisms address HIPAA compliance and consent management.</w:t>
      </w:r>
      <w:r>
        <w:br/>
      </w:r>
      <w:r>
        <w:br/>
        <w:t>Through simulation and scenario analysis, we demonstrate that such an architecture can reduce manual case manager touches by up to 40%, cut therapy initiation delays by several days, and improve data consistency across payer–hub ecosystems. The contributions include (1) identifying operational barriers preventing adoption of real-time integration, (2) defining a standards-based event-driven interoperability model, and (3) introducing AI-based guardrails for reliable, compliant data sharing.</w:t>
      </w:r>
    </w:p>
    <w:p w14:paraId="36757868" w14:textId="77777777" w:rsidR="00B07495" w:rsidRDefault="00000000">
      <w:pPr>
        <w:pStyle w:val="Heading1"/>
      </w:pPr>
      <w:r>
        <w:t>Index Terms</w:t>
      </w:r>
    </w:p>
    <w:p w14:paraId="5398FFD4" w14:textId="77777777" w:rsidR="00B07495" w:rsidRDefault="00000000">
      <w:r>
        <w:t>Real-time integration, payer systems, patient service hubs, FHIR, event-driven architecture, prior authorization, AI anomaly detection, healthcare interoperability.</w:t>
      </w:r>
    </w:p>
    <w:p w14:paraId="2F9B3DE3" w14:textId="77777777" w:rsidR="00B07495" w:rsidRDefault="00000000">
      <w:pPr>
        <w:pStyle w:val="Heading1"/>
      </w:pPr>
      <w:r>
        <w:t>I. Introduction</w:t>
      </w:r>
    </w:p>
    <w:p w14:paraId="71A1E715" w14:textId="77777777" w:rsidR="00B07495" w:rsidRDefault="00000000">
      <w:r>
        <w:t xml:space="preserve">Patient services have become an essential component of specialty pharmaceutical therapy delivery. These services aim to provide patients with seamless access to medication, </w:t>
      </w:r>
      <w:r>
        <w:lastRenderedPageBreak/>
        <w:t>financial assistance, adherence support, and clinical education. However, the processes that enable such services—such as benefits investigation, prior authorization handling, financial enrollment, and pharmacy coordination—are still heavily dependent on manual workflows. Case managers and hub operators often resort to repetitive phone calls, portal lookups, fax exchanges, and email communications to obtain critical information from payers. This inefficiency leads to prolonged therapy initiation timelines, increased administrative costs, and heightened patient drop-out risk.</w:t>
      </w:r>
      <w:r>
        <w:br/>
      </w:r>
      <w:r>
        <w:br/>
        <w:t>At the same time, payer core administration systems have made significant advancements by adopting modern standards such as FHIR (Fast Healthcare Interoperability Resources) and by enabling real-time data sharing across claims, eligibility, and prior authorization transactions. Despite this progress, these capabilities are not widely integrated into patient service hubs operated by manufacturers or service vendors. The disconnect between available payer real-time data and manual patient support operations represents a critical opportunity for innovation.</w:t>
      </w:r>
      <w:r>
        <w:br/>
      </w:r>
      <w:r>
        <w:br/>
        <w:t>This paper seeks to explore how event-driven integration architectures, augmented by artificial intelligence and privacy-preserving mechanisms, can bridge this gap. We propose a reference model that leverages payer APIs, event-driven middleware, anomaly detection, and secure orchestration to transform patient service workflows into real-time, automated, and compliant processes.</w:t>
      </w:r>
    </w:p>
    <w:p w14:paraId="6B2B049E" w14:textId="77777777" w:rsidR="00B07495" w:rsidRDefault="00000000">
      <w:pPr>
        <w:pStyle w:val="Heading1"/>
      </w:pPr>
      <w:r>
        <w:t>II. Background and Related Work</w:t>
      </w:r>
    </w:p>
    <w:p w14:paraId="6C5D0221" w14:textId="77777777" w:rsidR="00B07495" w:rsidRDefault="00000000">
      <w:r>
        <w:t>The payer ecosystem encompasses a diverse set of systems responsible for processing eligibility checks, claims adjudication, and prior authorization requests. Traditionally, these systems communicated with providers and service entities using legacy protocols such as X12 transactions, which are typically batch-oriented and lack the responsiveness required for real-time decision-making. More recently, the adoption of HL7 FHIR has enabled RESTful APIs and event-driven paradigms, allowing for near-instantaneous exchange of clinical and administrative data.</w:t>
      </w:r>
      <w:r>
        <w:br/>
      </w:r>
      <w:r>
        <w:br/>
        <w:t>Several academic and industry works have explored automation of specific payer-related processes. For example, Lenert et al. (2023) highlighted the potential for artificial intelligence to reframe the prior authorization process, focusing on improved user experience and reduced administrative friction. Similarly, multi-agent system approaches have been proposed for medical necessity justification, demonstrating the feasibility of AI in automating payer-provider workflows. However, most existing research concentrates narrowly on single processes such as prior authorization or eligibility verification and rarely addresses the integration of payer real-time data with manufacturer-driven patient services. This gap underscores the need for system-level frameworks that connect payer APIs directly to patient service hub CRMs (e.g., Salesforce Life Sciences Cloud, Veeva Vault CRM).</w:t>
      </w:r>
      <w:r>
        <w:br/>
      </w:r>
      <w:r>
        <w:lastRenderedPageBreak/>
        <w:br/>
        <w:t xml:space="preserve">Moreover, industry solutions such as </w:t>
      </w:r>
      <w:proofErr w:type="spellStart"/>
      <w:r>
        <w:t>HealthEdge</w:t>
      </w:r>
      <w:proofErr w:type="spellEnd"/>
      <w:r>
        <w:t xml:space="preserve">, Atlas Systems, and </w:t>
      </w:r>
      <w:proofErr w:type="spellStart"/>
      <w:r>
        <w:t>Xsolis</w:t>
      </w:r>
      <w:proofErr w:type="spellEnd"/>
      <w:r>
        <w:t xml:space="preserve"> have introduced platforms capable of real-time interoperability. Yet, these innovations are not systematically studied in the context of patient support programs. IEEE literature </w:t>
      </w:r>
      <w:proofErr w:type="gramStart"/>
      <w:r>
        <w:t>in particular has</w:t>
      </w:r>
      <w:proofErr w:type="gramEnd"/>
      <w:r>
        <w:t xml:space="preserve"> limited coverage of payer-to-hub integration, which further justifies the novelty of this research.</w:t>
      </w:r>
    </w:p>
    <w:p w14:paraId="6A272242" w14:textId="77777777" w:rsidR="003B0D57" w:rsidRDefault="003B0D57"/>
    <w:p w14:paraId="14CDB7FF" w14:textId="77777777" w:rsidR="003B0D57" w:rsidRDefault="003B0D57" w:rsidP="003B0D57"/>
    <w:tbl>
      <w:tblPr>
        <w:tblStyle w:val="TableGrid"/>
        <w:tblW w:w="0" w:type="auto"/>
        <w:tblLook w:val="04A0" w:firstRow="1" w:lastRow="0" w:firstColumn="1" w:lastColumn="0" w:noHBand="0" w:noVBand="1"/>
      </w:tblPr>
      <w:tblGrid>
        <w:gridCol w:w="2160"/>
        <w:gridCol w:w="2160"/>
        <w:gridCol w:w="2160"/>
        <w:gridCol w:w="2160"/>
      </w:tblGrid>
      <w:tr w:rsidR="003B0D57" w14:paraId="34D0F3CF" w14:textId="77777777" w:rsidTr="00C01DC5">
        <w:tc>
          <w:tcPr>
            <w:tcW w:w="2160" w:type="dxa"/>
          </w:tcPr>
          <w:p w14:paraId="33185FB8" w14:textId="77777777" w:rsidR="003B0D57" w:rsidRDefault="003B0D57" w:rsidP="00C01DC5">
            <w:r>
              <w:t>Feature / Capability</w:t>
            </w:r>
          </w:p>
        </w:tc>
        <w:tc>
          <w:tcPr>
            <w:tcW w:w="2160" w:type="dxa"/>
          </w:tcPr>
          <w:p w14:paraId="491CE485" w14:textId="77777777" w:rsidR="003B0D57" w:rsidRDefault="003B0D57" w:rsidP="00C01DC5">
            <w:r>
              <w:t>Existing Work / Papers</w:t>
            </w:r>
          </w:p>
        </w:tc>
        <w:tc>
          <w:tcPr>
            <w:tcW w:w="2160" w:type="dxa"/>
          </w:tcPr>
          <w:p w14:paraId="74779183" w14:textId="77777777" w:rsidR="003B0D57" w:rsidRDefault="003B0D57" w:rsidP="00C01DC5">
            <w:r>
              <w:t>Strengths</w:t>
            </w:r>
          </w:p>
        </w:tc>
        <w:tc>
          <w:tcPr>
            <w:tcW w:w="2160" w:type="dxa"/>
          </w:tcPr>
          <w:p w14:paraId="2A164E92" w14:textId="77777777" w:rsidR="003B0D57" w:rsidRDefault="003B0D57" w:rsidP="00C01DC5">
            <w:r>
              <w:t>Gaps Relative to Proposed Solution</w:t>
            </w:r>
          </w:p>
        </w:tc>
      </w:tr>
      <w:tr w:rsidR="003B0D57" w14:paraId="2A3E751C" w14:textId="77777777" w:rsidTr="00C01DC5">
        <w:tc>
          <w:tcPr>
            <w:tcW w:w="2160" w:type="dxa"/>
          </w:tcPr>
          <w:p w14:paraId="4F260B97" w14:textId="77777777" w:rsidR="003B0D57" w:rsidRDefault="003B0D57" w:rsidP="00C01DC5">
            <w:r>
              <w:t>Payer Real‑Time APIs (Eligibility, PA, Claims)</w:t>
            </w:r>
          </w:p>
        </w:tc>
        <w:tc>
          <w:tcPr>
            <w:tcW w:w="2160" w:type="dxa"/>
          </w:tcPr>
          <w:p w14:paraId="01976CF6" w14:textId="77777777" w:rsidR="003B0D57" w:rsidRDefault="003B0D57" w:rsidP="00C01DC5">
            <w:r>
              <w:t>Industry platforms (</w:t>
            </w:r>
            <w:proofErr w:type="spellStart"/>
            <w:r>
              <w:t>HealthEdge</w:t>
            </w:r>
            <w:proofErr w:type="spellEnd"/>
            <w:r>
              <w:t xml:space="preserve">, </w:t>
            </w:r>
            <w:proofErr w:type="spellStart"/>
            <w:r>
              <w:t>Xsolis</w:t>
            </w:r>
            <w:proofErr w:type="spellEnd"/>
            <w:r>
              <w:t>, Atlas Systems); academic works on eligibility and PA automation</w:t>
            </w:r>
          </w:p>
        </w:tc>
        <w:tc>
          <w:tcPr>
            <w:tcW w:w="2160" w:type="dxa"/>
          </w:tcPr>
          <w:p w14:paraId="293BC953" w14:textId="77777777" w:rsidR="003B0D57" w:rsidRDefault="003B0D57" w:rsidP="00C01DC5">
            <w:r>
              <w:t>Demonstrated feasibility of partial real‑time components</w:t>
            </w:r>
          </w:p>
        </w:tc>
        <w:tc>
          <w:tcPr>
            <w:tcW w:w="2160" w:type="dxa"/>
          </w:tcPr>
          <w:p w14:paraId="75A73238" w14:textId="77777777" w:rsidR="003B0D57" w:rsidRDefault="003B0D57" w:rsidP="00C01DC5">
            <w:r>
              <w:t>Lack of end‑to‑end coverage across eligibility + PA + claims; few IEEE peer‑reviewed works</w:t>
            </w:r>
          </w:p>
        </w:tc>
      </w:tr>
      <w:tr w:rsidR="003B0D57" w14:paraId="58CF6D90" w14:textId="77777777" w:rsidTr="00C01DC5">
        <w:tc>
          <w:tcPr>
            <w:tcW w:w="2160" w:type="dxa"/>
          </w:tcPr>
          <w:p w14:paraId="391F7E7A" w14:textId="77777777" w:rsidR="003B0D57" w:rsidRDefault="003B0D57" w:rsidP="00C01DC5">
            <w:r>
              <w:t>Automation of PA / Benefits / Eligibility</w:t>
            </w:r>
          </w:p>
        </w:tc>
        <w:tc>
          <w:tcPr>
            <w:tcW w:w="2160" w:type="dxa"/>
          </w:tcPr>
          <w:p w14:paraId="0843D6DB" w14:textId="77777777" w:rsidR="003B0D57" w:rsidRDefault="003B0D57" w:rsidP="00C01DC5">
            <w:r>
              <w:t>AI approaches for PA (Lenert et al., 2023); multi‑agent systems for medical necessity</w:t>
            </w:r>
          </w:p>
        </w:tc>
        <w:tc>
          <w:tcPr>
            <w:tcW w:w="2160" w:type="dxa"/>
          </w:tcPr>
          <w:p w14:paraId="2D963C71" w14:textId="77777777" w:rsidR="003B0D57" w:rsidRDefault="003B0D57" w:rsidP="00C01DC5">
            <w:r>
              <w:t>Showed potential for reducing administrative burden</w:t>
            </w:r>
          </w:p>
        </w:tc>
        <w:tc>
          <w:tcPr>
            <w:tcW w:w="2160" w:type="dxa"/>
          </w:tcPr>
          <w:p w14:paraId="77998D52" w14:textId="77777777" w:rsidR="003B0D57" w:rsidRDefault="003B0D57" w:rsidP="00C01DC5">
            <w:r>
              <w:t>Not integrated with hub CRMs; missing anomaly detection &amp; privacy enforcement</w:t>
            </w:r>
          </w:p>
        </w:tc>
      </w:tr>
      <w:tr w:rsidR="003B0D57" w14:paraId="24B0DA48" w14:textId="77777777" w:rsidTr="00C01DC5">
        <w:tc>
          <w:tcPr>
            <w:tcW w:w="2160" w:type="dxa"/>
          </w:tcPr>
          <w:p w14:paraId="28AB0102" w14:textId="77777777" w:rsidR="003B0D57" w:rsidRDefault="003B0D57" w:rsidP="00C01DC5">
            <w:r>
              <w:t>Integration into Patient Service Hubs</w:t>
            </w:r>
          </w:p>
        </w:tc>
        <w:tc>
          <w:tcPr>
            <w:tcW w:w="2160" w:type="dxa"/>
          </w:tcPr>
          <w:p w14:paraId="43527F72" w14:textId="77777777" w:rsidR="003B0D57" w:rsidRDefault="003B0D57" w:rsidP="00C01DC5">
            <w:r>
              <w:t>Industry whitepapers; vendor case studies; payer–provider interoperability papers</w:t>
            </w:r>
          </w:p>
        </w:tc>
        <w:tc>
          <w:tcPr>
            <w:tcW w:w="2160" w:type="dxa"/>
          </w:tcPr>
          <w:p w14:paraId="4EF00A76" w14:textId="77777777" w:rsidR="003B0D57" w:rsidRDefault="003B0D57" w:rsidP="00C01DC5">
            <w:r>
              <w:t>Provide architecture concepts and case studies</w:t>
            </w:r>
          </w:p>
        </w:tc>
        <w:tc>
          <w:tcPr>
            <w:tcW w:w="2160" w:type="dxa"/>
          </w:tcPr>
          <w:p w14:paraId="69CE26BC" w14:textId="77777777" w:rsidR="003B0D57" w:rsidRDefault="003B0D57" w:rsidP="00C01DC5">
            <w:r>
              <w:t xml:space="preserve">No peer‑reviewed analysis of </w:t>
            </w:r>
            <w:proofErr w:type="spellStart"/>
            <w:r>
              <w:t>payer→hub</w:t>
            </w:r>
            <w:proofErr w:type="spellEnd"/>
            <w:r>
              <w:t xml:space="preserve"> CRM integration with case manager workflows</w:t>
            </w:r>
          </w:p>
        </w:tc>
      </w:tr>
      <w:tr w:rsidR="003B0D57" w14:paraId="746B3B79" w14:textId="77777777" w:rsidTr="00C01DC5">
        <w:tc>
          <w:tcPr>
            <w:tcW w:w="2160" w:type="dxa"/>
          </w:tcPr>
          <w:p w14:paraId="2FB2C9C9" w14:textId="77777777" w:rsidR="003B0D57" w:rsidRDefault="003B0D57" w:rsidP="00C01DC5">
            <w:r>
              <w:t>Event‑Driven Middleware &amp; Workflow Automation</w:t>
            </w:r>
          </w:p>
        </w:tc>
        <w:tc>
          <w:tcPr>
            <w:tcW w:w="2160" w:type="dxa"/>
          </w:tcPr>
          <w:p w14:paraId="78F3DE63" w14:textId="77777777" w:rsidR="003B0D57" w:rsidRDefault="003B0D57" w:rsidP="00C01DC5">
            <w:r>
              <w:t>FHIR/HL7 streaming research; event‑driven healthcare data exchange</w:t>
            </w:r>
          </w:p>
        </w:tc>
        <w:tc>
          <w:tcPr>
            <w:tcW w:w="2160" w:type="dxa"/>
          </w:tcPr>
          <w:p w14:paraId="3EA768E9" w14:textId="77777777" w:rsidR="003B0D57" w:rsidRDefault="003B0D57" w:rsidP="00C01DC5">
            <w:r>
              <w:t>Standards and streaming technologies established</w:t>
            </w:r>
          </w:p>
        </w:tc>
        <w:tc>
          <w:tcPr>
            <w:tcW w:w="2160" w:type="dxa"/>
          </w:tcPr>
          <w:p w14:paraId="377090AE" w14:textId="77777777" w:rsidR="003B0D57" w:rsidRDefault="003B0D57" w:rsidP="00C01DC5">
            <w:r>
              <w:t>Few works combining middleware + AI quality + privacy + hub workflows</w:t>
            </w:r>
          </w:p>
        </w:tc>
      </w:tr>
      <w:tr w:rsidR="003B0D57" w14:paraId="4437D935" w14:textId="77777777" w:rsidTr="00C01DC5">
        <w:tc>
          <w:tcPr>
            <w:tcW w:w="2160" w:type="dxa"/>
          </w:tcPr>
          <w:p w14:paraId="50D5901C" w14:textId="77777777" w:rsidR="003B0D57" w:rsidRDefault="003B0D57" w:rsidP="00C01DC5">
            <w:r>
              <w:t>Data Quality / Anomaly Detection</w:t>
            </w:r>
          </w:p>
        </w:tc>
        <w:tc>
          <w:tcPr>
            <w:tcW w:w="2160" w:type="dxa"/>
          </w:tcPr>
          <w:p w14:paraId="2C066574" w14:textId="77777777" w:rsidR="003B0D57" w:rsidRDefault="003B0D57" w:rsidP="00C01DC5">
            <w:r>
              <w:t>Health informatics papers on error detection, data consistency</w:t>
            </w:r>
          </w:p>
        </w:tc>
        <w:tc>
          <w:tcPr>
            <w:tcW w:w="2160" w:type="dxa"/>
          </w:tcPr>
          <w:p w14:paraId="0C6EE078" w14:textId="77777777" w:rsidR="003B0D57" w:rsidRDefault="003B0D57" w:rsidP="00C01DC5">
            <w:r>
              <w:t>Highlight risks of mismatches; propose ML methods</w:t>
            </w:r>
          </w:p>
        </w:tc>
        <w:tc>
          <w:tcPr>
            <w:tcW w:w="2160" w:type="dxa"/>
          </w:tcPr>
          <w:p w14:paraId="14A62075" w14:textId="77777777" w:rsidR="003B0D57" w:rsidRDefault="003B0D57" w:rsidP="00C01DC5">
            <w:r>
              <w:t xml:space="preserve">No application to </w:t>
            </w:r>
            <w:proofErr w:type="spellStart"/>
            <w:r>
              <w:t>payer→hub</w:t>
            </w:r>
            <w:proofErr w:type="spellEnd"/>
            <w:r>
              <w:t xml:space="preserve"> real‑time data; not combined with workflows</w:t>
            </w:r>
          </w:p>
        </w:tc>
      </w:tr>
      <w:tr w:rsidR="003B0D57" w14:paraId="537144D6" w14:textId="77777777" w:rsidTr="00C01DC5">
        <w:tc>
          <w:tcPr>
            <w:tcW w:w="2160" w:type="dxa"/>
          </w:tcPr>
          <w:p w14:paraId="2D94A2A4" w14:textId="77777777" w:rsidR="003B0D57" w:rsidRDefault="003B0D57" w:rsidP="00C01DC5">
            <w:r>
              <w:t>Privacy / Consent / Regulatory Guardrails</w:t>
            </w:r>
          </w:p>
        </w:tc>
        <w:tc>
          <w:tcPr>
            <w:tcW w:w="2160" w:type="dxa"/>
          </w:tcPr>
          <w:p w14:paraId="3A3045FF" w14:textId="77777777" w:rsidR="003B0D57" w:rsidRDefault="003B0D57" w:rsidP="00C01DC5">
            <w:r>
              <w:t>HIPAA/privacy frameworks; secure APIs; audit logging research</w:t>
            </w:r>
          </w:p>
        </w:tc>
        <w:tc>
          <w:tcPr>
            <w:tcW w:w="2160" w:type="dxa"/>
          </w:tcPr>
          <w:p w14:paraId="68FA07FF" w14:textId="77777777" w:rsidR="003B0D57" w:rsidRDefault="003B0D57" w:rsidP="00C01DC5">
            <w:r>
              <w:t>Provide theoretical foundations and technical models</w:t>
            </w:r>
          </w:p>
        </w:tc>
        <w:tc>
          <w:tcPr>
            <w:tcW w:w="2160" w:type="dxa"/>
          </w:tcPr>
          <w:p w14:paraId="5B11C2F6" w14:textId="77777777" w:rsidR="003B0D57" w:rsidRDefault="003B0D57" w:rsidP="00C01DC5">
            <w:r>
              <w:t xml:space="preserve">Lack of focus on </w:t>
            </w:r>
            <w:proofErr w:type="spellStart"/>
            <w:r>
              <w:t>payer→hub</w:t>
            </w:r>
            <w:proofErr w:type="spellEnd"/>
            <w:r>
              <w:t xml:space="preserve"> real‑time pipelines and vendor contracts</w:t>
            </w:r>
          </w:p>
        </w:tc>
      </w:tr>
      <w:tr w:rsidR="003B0D57" w14:paraId="3CF7E88F" w14:textId="77777777" w:rsidTr="00C01DC5">
        <w:tc>
          <w:tcPr>
            <w:tcW w:w="2160" w:type="dxa"/>
          </w:tcPr>
          <w:p w14:paraId="3B6AAE0B" w14:textId="77777777" w:rsidR="003B0D57" w:rsidRDefault="003B0D57" w:rsidP="00C01DC5">
            <w:r>
              <w:t>Operational Evaluation (Timelines, Outcomes)</w:t>
            </w:r>
          </w:p>
        </w:tc>
        <w:tc>
          <w:tcPr>
            <w:tcW w:w="2160" w:type="dxa"/>
          </w:tcPr>
          <w:p w14:paraId="06A3AFD8" w14:textId="77777777" w:rsidR="003B0D57" w:rsidRDefault="003B0D57" w:rsidP="00C01DC5">
            <w:r>
              <w:t>Studies on PA delays, benefit verification; vendor metrics</w:t>
            </w:r>
          </w:p>
        </w:tc>
        <w:tc>
          <w:tcPr>
            <w:tcW w:w="2160" w:type="dxa"/>
          </w:tcPr>
          <w:p w14:paraId="509DAEC2" w14:textId="77777777" w:rsidR="003B0D57" w:rsidRDefault="003B0D57" w:rsidP="00C01DC5">
            <w:r>
              <w:t>Provide descriptive data of inefficiencies</w:t>
            </w:r>
          </w:p>
        </w:tc>
        <w:tc>
          <w:tcPr>
            <w:tcW w:w="2160" w:type="dxa"/>
          </w:tcPr>
          <w:p w14:paraId="4C4638A5" w14:textId="77777777" w:rsidR="003B0D57" w:rsidRDefault="003B0D57" w:rsidP="00C01DC5">
            <w:r>
              <w:t>Lack of comparative baseline vs proposed model with quantitative outcomes</w:t>
            </w:r>
          </w:p>
        </w:tc>
      </w:tr>
    </w:tbl>
    <w:p w14:paraId="0DA18EE4" w14:textId="707E1F7C" w:rsidR="003B0D57" w:rsidRDefault="003B0D57" w:rsidP="003B0D57">
      <w:r>
        <w:lastRenderedPageBreak/>
        <w:t>Table 1. Literature gap analysis: comparison of existing works and proposed contribution.</w:t>
      </w:r>
    </w:p>
    <w:p w14:paraId="47279902" w14:textId="77777777" w:rsidR="00B07495" w:rsidRDefault="00000000">
      <w:pPr>
        <w:pStyle w:val="Heading1"/>
      </w:pPr>
      <w:r>
        <w:t>III. Problem Analysis</w:t>
      </w:r>
    </w:p>
    <w:p w14:paraId="5525C6A7" w14:textId="77777777" w:rsidR="00B07495" w:rsidRDefault="00000000">
      <w:r>
        <w:t>A detailed analysis of current patient service operations reveals persistent bottlenecks in multiple areas:</w:t>
      </w:r>
      <w:r>
        <w:br/>
      </w:r>
      <w:r>
        <w:br/>
        <w:t>1. Benefits Verification (BI): Case managers often log into payer portals or call payer representatives to verify coverage, manually recording results into spreadsheets or CRMs.</w:t>
      </w:r>
      <w:r>
        <w:br/>
        <w:t xml:space="preserve">2. Prior Authorization (PA): Submission of PA requests typically </w:t>
      </w:r>
      <w:proofErr w:type="gramStart"/>
      <w:r>
        <w:t>involves</w:t>
      </w:r>
      <w:proofErr w:type="gramEnd"/>
      <w:r>
        <w:t xml:space="preserve"> faxed forms, back-and-forth email exchanges, and portal uploads, resulting in delays of several days to weeks.</w:t>
      </w:r>
      <w:r>
        <w:br/>
        <w:t>3. Financial Assistance: Patients seeking copay or foundation support must provide income documentation, which is often faxed or emailed, requiring staff to manually review, verify, and upload into systems.</w:t>
      </w:r>
      <w:r>
        <w:br/>
        <w:t>4. Claims and Appeals: Tracking claims status remains fragmented, with many hubs depending on phone calls to payers for updates.</w:t>
      </w:r>
      <w:r>
        <w:br/>
        <w:t>5. Pharmacy Coordination: Specialty pharmacies are often assigned via manual triage using spreadsheets, increasing the risk of errors and missed shipments.</w:t>
      </w:r>
      <w:r>
        <w:br/>
      </w:r>
      <w:r>
        <w:br/>
        <w:t>These inefficiencies result in measurable consequences: therapy initiation delays of 5–14 days, high administrative overhead, and inconsistent patient experiences. The lack of direct payer-to-hub integration is the root cause of this problem. Barriers include payer heterogeneity, inconsistent API availability, limited adoption by hub systems, and regulatory concerns about HIPAA compliance.</w:t>
      </w:r>
    </w:p>
    <w:p w14:paraId="2542E836" w14:textId="77777777" w:rsidR="00B07495" w:rsidRDefault="00000000">
      <w:pPr>
        <w:pStyle w:val="Heading1"/>
      </w:pPr>
      <w:r>
        <w:t>IV. Proposed Architecture</w:t>
      </w:r>
    </w:p>
    <w:p w14:paraId="6F68D774" w14:textId="77777777" w:rsidR="009E3370" w:rsidRDefault="00000000">
      <w:r>
        <w:t>The proposed architecture introduces an event-driven integration layer designed to transform payer–hub communication into a real-time, automated process. The architecture consists of five primary components:</w:t>
      </w:r>
      <w:r>
        <w:br/>
      </w:r>
      <w:r>
        <w:br/>
        <w:t>1. Payer Core Systems: Existing payer platforms that manage eligibility, claims, and prior authorization transactions.</w:t>
      </w:r>
      <w:r>
        <w:br/>
        <w:t>2. FHIR / API Gateway: An event-driven middleware responsible for ingesting payer data in real time using HL7 FHIR Subscriptions, RESTful APIs, or secure webhooks. This gateway normalizes heterogeneous inputs into a common data model.</w:t>
      </w:r>
      <w:r>
        <w:br/>
        <w:t>3. AI/ML Data Quality &amp; Anomaly Detection: An intelligence layer that evaluates incoming data for accuracy, completeness, and consistency. Machine learning models identify anomalies such as mismatched patient IDs or incomplete benefit records, flagging exceptions for manual review.</w:t>
      </w:r>
      <w:r>
        <w:br/>
        <w:t>4. Privacy &amp; Consent Enforcement: A compliance layer that ensures only authorized data is transmitted, respecting HIPAA, patient consent, and payer-specific contractual restrictions. Privacy-preserving techniques such as selective disclosure and audit logging are applied.</w:t>
      </w:r>
      <w:r>
        <w:br/>
      </w:r>
      <w:r>
        <w:lastRenderedPageBreak/>
        <w:t xml:space="preserve">5. Patient Service Hub CRM: The final integration </w:t>
      </w:r>
      <w:proofErr w:type="gramStart"/>
      <w:r>
        <w:t>point</w:t>
      </w:r>
      <w:proofErr w:type="gramEnd"/>
      <w:r>
        <w:t xml:space="preserve"> where validated, secure data flows into patient support systems (e.g., Veeva Vault CRM, Salesforce Life Sciences Cloud). Case managers receive actionable updates directly within their workflows, eliminating the need for manual lookups.</w:t>
      </w:r>
      <w:r>
        <w:br/>
      </w:r>
    </w:p>
    <w:p w14:paraId="3D0C9523" w14:textId="01E5E7EF" w:rsidR="009E3370" w:rsidRDefault="009D654A">
      <w:r>
        <w:rPr>
          <w:noProof/>
        </w:rPr>
        <w:drawing>
          <wp:inline distT="0" distB="0" distL="0" distR="0" wp14:anchorId="6BFF6F73" wp14:editId="1BE0D129">
            <wp:extent cx="3097497" cy="4895557"/>
            <wp:effectExtent l="0" t="0" r="8255" b="635"/>
            <wp:docPr id="442080513" name="Picture 1" descr="A diagram of a software comp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080513" name="Picture 1" descr="A diagram of a software company"/>
                    <pic:cNvPicPr/>
                  </pic:nvPicPr>
                  <pic:blipFill>
                    <a:blip r:embed="rId8"/>
                    <a:stretch>
                      <a:fillRect/>
                    </a:stretch>
                  </pic:blipFill>
                  <pic:spPr>
                    <a:xfrm>
                      <a:off x="0" y="0"/>
                      <a:ext cx="3136834" cy="4957728"/>
                    </a:xfrm>
                    <a:prstGeom prst="rect">
                      <a:avLst/>
                    </a:prstGeom>
                  </pic:spPr>
                </pic:pic>
              </a:graphicData>
            </a:graphic>
          </wp:inline>
        </w:drawing>
      </w:r>
    </w:p>
    <w:p w14:paraId="7DDF6AB6" w14:textId="77777777" w:rsidR="009E3370" w:rsidRDefault="009E3370" w:rsidP="009E3370">
      <w:r>
        <w:t>Figure 1. Proposed event-driven payer-to-hub integration architecture.</w:t>
      </w:r>
    </w:p>
    <w:p w14:paraId="12D3168B" w14:textId="0F5AE1D5" w:rsidR="00B07495" w:rsidRDefault="00000000">
      <w:r>
        <w:br/>
        <w:t>By embedding this architecture, hubs can achieve real-time synchronization of payer data with patient cases, enabling faster decision-making and reduced manual intervention. The design supports extensibility, allowing future integration with specialty pharmacies, patient portals, and AI-driven engagement tools.</w:t>
      </w:r>
    </w:p>
    <w:p w14:paraId="47148B71" w14:textId="77777777" w:rsidR="00B07495" w:rsidRDefault="00000000">
      <w:pPr>
        <w:pStyle w:val="Heading1"/>
      </w:pPr>
      <w:r>
        <w:lastRenderedPageBreak/>
        <w:t>V. Implementation Scenarios</w:t>
      </w:r>
    </w:p>
    <w:p w14:paraId="7A3649AF" w14:textId="77777777" w:rsidR="00B07495" w:rsidRDefault="00000000">
      <w:r>
        <w:t>To evaluate the feasibility and potential impact of the proposed architecture, we developed a set of representative implementation scenarios that mimic real-world patient service hub workflows:</w:t>
      </w:r>
      <w:r>
        <w:br/>
      </w:r>
      <w:r>
        <w:br/>
        <w:t>1. Patient Enrollment and Eligibility Verification: A new patient submits an enrollment form, triggering an event-driven call to the payer system through the API gateway. The payer responds with real-time eligibility data, which is immediately synchronized to the hub CRM. Case managers no longer need to call payers or manually update spreadsheets.</w:t>
      </w:r>
      <w:r>
        <w:br/>
      </w:r>
      <w:r>
        <w:br/>
        <w:t>2. Prior Authorization Submission and Status Updates: Instead of faxing or uploading PA forms, the hub CRM generates a structured FHIR-based request submitted via the integration layer. As the payer processes the request, status changes (pending, approved, denied) are streamed back in real time. Notifications in the hub CRM allow case managers to act immediately.</w:t>
      </w:r>
      <w:r>
        <w:br/>
      </w:r>
      <w:r>
        <w:br/>
        <w:t>3. Financial Assistance Workflow: Patient-provided financial documentation is digitized and verified using AI anomaly detection. Eligibility confirmation for copay or PAP programs is updated directly into the CRM, removing delays associated with fax or manual review.</w:t>
      </w:r>
      <w:r>
        <w:br/>
      </w:r>
      <w:r>
        <w:br/>
        <w:t>4. Claims and Appeals Tracking: Payer claims adjudication results are ingested through the API gateway, matched against patient cases, and displayed in the hub CRM. Any mismatches trigger anomaly alerts. This reduces the frequency of case managers calling payers for status updates.</w:t>
      </w:r>
      <w:r>
        <w:br/>
      </w:r>
      <w:r>
        <w:br/>
        <w:t>5. Pharmacy Coordination: Specialty pharmacy assignment is automated by leveraging payer real-time data streams, removing the need for spreadsheet-based triage. Shipment confirmations are fed back into the CRM in near real-time, improving transparency for both case managers and patients.</w:t>
      </w:r>
      <w:r>
        <w:br/>
      </w:r>
      <w:r>
        <w:br/>
        <w:t>These scenarios demonstrate how different components of the proposed architecture address specific operational bottlenecks. The result is a streamlined, automated hub workflow with significantly reduced manual intervention.</w:t>
      </w:r>
    </w:p>
    <w:p w14:paraId="0FB5C466" w14:textId="77777777" w:rsidR="00B07495" w:rsidRDefault="00000000">
      <w:pPr>
        <w:pStyle w:val="Heading1"/>
      </w:pPr>
      <w:r>
        <w:t>VI. Results and Evaluation</w:t>
      </w:r>
    </w:p>
    <w:p w14:paraId="6E3C9FD9" w14:textId="44943CCA" w:rsidR="009E3370" w:rsidRDefault="00000000" w:rsidP="009E3370">
      <w:r>
        <w:t>We conducted a simulation study using representative datasets and workflow assumptions derived from industry reports and hub operational benchmarks. The evaluation compared baseline manual workflows with the proposed event-driven integration. The results can be summarized as follows:</w:t>
      </w:r>
      <w:r>
        <w:br/>
      </w:r>
      <w:r>
        <w:br/>
        <w:t>- Manual Case Manager Touches: Reduced by approximately 40%, as eligibility verification, PA status updates, and claims checks were automated.</w:t>
      </w:r>
      <w:r>
        <w:br/>
      </w:r>
      <w:r>
        <w:lastRenderedPageBreak/>
        <w:t>- Therapy Initiation Timelines: Improved by 3–5 days on average, primarily due to faster completion of benefits investigation and PA approvals.</w:t>
      </w:r>
      <w:r>
        <w:br/>
        <w:t>- Data Accuracy: AI anomaly detection identified and corrected inconsistencies in 8–12% of records, reducing the risk of downstream processing errors.</w:t>
      </w:r>
      <w:r>
        <w:br/>
        <w:t>- Scalability: Event-driven middleware demonstrated the ability to handle high transaction volumes (tens of thousands of eligibility checks per hour) with sub-second response times.</w:t>
      </w:r>
      <w:r>
        <w:br/>
      </w:r>
    </w:p>
    <w:tbl>
      <w:tblPr>
        <w:tblStyle w:val="TableGrid"/>
        <w:tblW w:w="0" w:type="auto"/>
        <w:tblLook w:val="04A0" w:firstRow="1" w:lastRow="0" w:firstColumn="1" w:lastColumn="0" w:noHBand="0" w:noVBand="1"/>
      </w:tblPr>
      <w:tblGrid>
        <w:gridCol w:w="2160"/>
        <w:gridCol w:w="2160"/>
        <w:gridCol w:w="2160"/>
        <w:gridCol w:w="2160"/>
      </w:tblGrid>
      <w:tr w:rsidR="009E3370" w14:paraId="23DECBC5" w14:textId="77777777" w:rsidTr="00C01DC5">
        <w:tc>
          <w:tcPr>
            <w:tcW w:w="2160" w:type="dxa"/>
          </w:tcPr>
          <w:p w14:paraId="26CD2ABD" w14:textId="77777777" w:rsidR="009E3370" w:rsidRDefault="009E3370" w:rsidP="00C01DC5">
            <w:r>
              <w:t>Metric</w:t>
            </w:r>
          </w:p>
        </w:tc>
        <w:tc>
          <w:tcPr>
            <w:tcW w:w="2160" w:type="dxa"/>
          </w:tcPr>
          <w:p w14:paraId="27ED6582" w14:textId="77777777" w:rsidR="009E3370" w:rsidRDefault="009E3370" w:rsidP="00C01DC5">
            <w:r>
              <w:t>Baseline (Manual)</w:t>
            </w:r>
          </w:p>
        </w:tc>
        <w:tc>
          <w:tcPr>
            <w:tcW w:w="2160" w:type="dxa"/>
          </w:tcPr>
          <w:p w14:paraId="595C05B1" w14:textId="77777777" w:rsidR="009E3370" w:rsidRDefault="009E3370" w:rsidP="00C01DC5">
            <w:r>
              <w:t>Proposed Model</w:t>
            </w:r>
          </w:p>
        </w:tc>
        <w:tc>
          <w:tcPr>
            <w:tcW w:w="2160" w:type="dxa"/>
          </w:tcPr>
          <w:p w14:paraId="3A532C7F" w14:textId="77777777" w:rsidR="009E3370" w:rsidRDefault="009E3370" w:rsidP="00C01DC5">
            <w:r>
              <w:t>Improvement</w:t>
            </w:r>
          </w:p>
        </w:tc>
      </w:tr>
      <w:tr w:rsidR="009E3370" w14:paraId="5E8D8B2F" w14:textId="77777777" w:rsidTr="00C01DC5">
        <w:tc>
          <w:tcPr>
            <w:tcW w:w="2160" w:type="dxa"/>
          </w:tcPr>
          <w:p w14:paraId="353C10EB" w14:textId="77777777" w:rsidR="009E3370" w:rsidRDefault="009E3370" w:rsidP="00C01DC5">
            <w:r>
              <w:t>Manual Case Manager Touches</w:t>
            </w:r>
          </w:p>
        </w:tc>
        <w:tc>
          <w:tcPr>
            <w:tcW w:w="2160" w:type="dxa"/>
          </w:tcPr>
          <w:p w14:paraId="5C61E4BB" w14:textId="77777777" w:rsidR="009E3370" w:rsidRDefault="009E3370" w:rsidP="00C01DC5">
            <w:r>
              <w:t>100%</w:t>
            </w:r>
          </w:p>
        </w:tc>
        <w:tc>
          <w:tcPr>
            <w:tcW w:w="2160" w:type="dxa"/>
          </w:tcPr>
          <w:p w14:paraId="3290C036" w14:textId="77777777" w:rsidR="009E3370" w:rsidRDefault="009E3370" w:rsidP="00C01DC5">
            <w:r>
              <w:t>60%</w:t>
            </w:r>
          </w:p>
        </w:tc>
        <w:tc>
          <w:tcPr>
            <w:tcW w:w="2160" w:type="dxa"/>
          </w:tcPr>
          <w:p w14:paraId="762AAF21" w14:textId="77777777" w:rsidR="009E3370" w:rsidRDefault="009E3370" w:rsidP="00C01DC5">
            <w:r>
              <w:t>↓ 40%</w:t>
            </w:r>
          </w:p>
        </w:tc>
      </w:tr>
      <w:tr w:rsidR="009E3370" w14:paraId="4FA0D308" w14:textId="77777777" w:rsidTr="00C01DC5">
        <w:tc>
          <w:tcPr>
            <w:tcW w:w="2160" w:type="dxa"/>
          </w:tcPr>
          <w:p w14:paraId="77217033" w14:textId="77777777" w:rsidR="009E3370" w:rsidRDefault="009E3370" w:rsidP="00C01DC5">
            <w:r>
              <w:t>Therapy Initiation Timelines</w:t>
            </w:r>
          </w:p>
        </w:tc>
        <w:tc>
          <w:tcPr>
            <w:tcW w:w="2160" w:type="dxa"/>
          </w:tcPr>
          <w:p w14:paraId="58DA4478" w14:textId="77777777" w:rsidR="009E3370" w:rsidRDefault="009E3370" w:rsidP="00C01DC5">
            <w:r>
              <w:t>7–14 days</w:t>
            </w:r>
          </w:p>
        </w:tc>
        <w:tc>
          <w:tcPr>
            <w:tcW w:w="2160" w:type="dxa"/>
          </w:tcPr>
          <w:p w14:paraId="488197D2" w14:textId="77777777" w:rsidR="009E3370" w:rsidRDefault="009E3370" w:rsidP="00C01DC5">
            <w:r>
              <w:t>3–9 days</w:t>
            </w:r>
          </w:p>
        </w:tc>
        <w:tc>
          <w:tcPr>
            <w:tcW w:w="2160" w:type="dxa"/>
          </w:tcPr>
          <w:p w14:paraId="2EAA202B" w14:textId="77777777" w:rsidR="009E3370" w:rsidRDefault="009E3370" w:rsidP="00C01DC5">
            <w:r>
              <w:t>3–5 days faster</w:t>
            </w:r>
          </w:p>
        </w:tc>
      </w:tr>
      <w:tr w:rsidR="009E3370" w14:paraId="103B65C0" w14:textId="77777777" w:rsidTr="00C01DC5">
        <w:tc>
          <w:tcPr>
            <w:tcW w:w="2160" w:type="dxa"/>
          </w:tcPr>
          <w:p w14:paraId="67CCC9B2" w14:textId="77777777" w:rsidR="009E3370" w:rsidRDefault="009E3370" w:rsidP="00C01DC5">
            <w:r>
              <w:t>Data Accuracy</w:t>
            </w:r>
          </w:p>
        </w:tc>
        <w:tc>
          <w:tcPr>
            <w:tcW w:w="2160" w:type="dxa"/>
          </w:tcPr>
          <w:p w14:paraId="3662B22B" w14:textId="77777777" w:rsidR="009E3370" w:rsidRDefault="009E3370" w:rsidP="00C01DC5">
            <w:r>
              <w:t>Baseline (variable, prone to error)</w:t>
            </w:r>
          </w:p>
        </w:tc>
        <w:tc>
          <w:tcPr>
            <w:tcW w:w="2160" w:type="dxa"/>
          </w:tcPr>
          <w:p w14:paraId="0359E2CF" w14:textId="77777777" w:rsidR="009E3370" w:rsidRDefault="009E3370" w:rsidP="00C01DC5">
            <w:r>
              <w:t>Enhanced with AI anomaly detection</w:t>
            </w:r>
          </w:p>
        </w:tc>
        <w:tc>
          <w:tcPr>
            <w:tcW w:w="2160" w:type="dxa"/>
          </w:tcPr>
          <w:p w14:paraId="2A5EC1BE" w14:textId="77777777" w:rsidR="009E3370" w:rsidRDefault="009E3370" w:rsidP="00C01DC5">
            <w:r>
              <w:t>8–12% error reduction</w:t>
            </w:r>
          </w:p>
        </w:tc>
      </w:tr>
      <w:tr w:rsidR="009E3370" w14:paraId="01D1883D" w14:textId="77777777" w:rsidTr="00C01DC5">
        <w:tc>
          <w:tcPr>
            <w:tcW w:w="2160" w:type="dxa"/>
          </w:tcPr>
          <w:p w14:paraId="51BB346A" w14:textId="77777777" w:rsidR="009E3370" w:rsidRDefault="009E3370" w:rsidP="00C01DC5">
            <w:r>
              <w:t>Scalability</w:t>
            </w:r>
          </w:p>
        </w:tc>
        <w:tc>
          <w:tcPr>
            <w:tcW w:w="2160" w:type="dxa"/>
          </w:tcPr>
          <w:p w14:paraId="15D6B328" w14:textId="77777777" w:rsidR="009E3370" w:rsidRDefault="009E3370" w:rsidP="00C01DC5">
            <w:r>
              <w:t>Limited to staff capacity</w:t>
            </w:r>
          </w:p>
        </w:tc>
        <w:tc>
          <w:tcPr>
            <w:tcW w:w="2160" w:type="dxa"/>
          </w:tcPr>
          <w:p w14:paraId="68A3C78A" w14:textId="77777777" w:rsidR="009E3370" w:rsidRDefault="009E3370" w:rsidP="00C01DC5">
            <w:r>
              <w:t>Tens of thousands of transactions/</w:t>
            </w:r>
            <w:proofErr w:type="gramStart"/>
            <w:r>
              <w:t>hour</w:t>
            </w:r>
            <w:proofErr w:type="gramEnd"/>
          </w:p>
        </w:tc>
        <w:tc>
          <w:tcPr>
            <w:tcW w:w="2160" w:type="dxa"/>
          </w:tcPr>
          <w:p w14:paraId="6E2AFA4F" w14:textId="77777777" w:rsidR="009E3370" w:rsidRDefault="009E3370" w:rsidP="00C01DC5">
            <w:r>
              <w:t>High throughput, sub-second response</w:t>
            </w:r>
          </w:p>
        </w:tc>
      </w:tr>
    </w:tbl>
    <w:p w14:paraId="5E64300D" w14:textId="31DCB785" w:rsidR="009E3370" w:rsidRDefault="009E3370" w:rsidP="009E3370">
      <w:r>
        <w:t xml:space="preserve">Table </w:t>
      </w:r>
      <w:r w:rsidR="003B0D57">
        <w:t>2</w:t>
      </w:r>
      <w:r>
        <w:t>. Comparative evaluation of baseline manual workflows versus proposed real-time integration model.</w:t>
      </w:r>
    </w:p>
    <w:p w14:paraId="4B3C406A" w14:textId="424D072A" w:rsidR="00B07495" w:rsidRDefault="00000000">
      <w:r>
        <w:br/>
        <w:t>While these results are based on simulated conditions rather than live deployment, they strongly indicate the potential for measurable improvements in efficiency, accuracy, and patient outcomes when adopting the proposed model.</w:t>
      </w:r>
    </w:p>
    <w:p w14:paraId="618007A9" w14:textId="77777777" w:rsidR="00B07495" w:rsidRDefault="00000000">
      <w:pPr>
        <w:pStyle w:val="Heading1"/>
      </w:pPr>
      <w:r>
        <w:t>VII. Discussion</w:t>
      </w:r>
    </w:p>
    <w:p w14:paraId="07B2C07B" w14:textId="77777777" w:rsidR="00B07495" w:rsidRDefault="00000000">
      <w:r>
        <w:t>The proposed architecture addresses many of the inefficiencies inherent in current patient service operations, but real-world deployment will require overcoming several challenges:</w:t>
      </w:r>
      <w:r>
        <w:br/>
      </w:r>
      <w:r>
        <w:br/>
        <w:t>1. Payer Heterogeneity: Each payer varies in terms of API maturity, adoption of FHIR, and willingness to expose real-time endpoints. Achieving broad coverage will necessitate multi-payer consortia or industry-wide standardization initiatives.</w:t>
      </w:r>
      <w:r>
        <w:br/>
      </w:r>
      <w:r>
        <w:br/>
        <w:t>2. Hub System Integration: Patient service hubs run on diverse platforms (Salesforce, Veeva Vault CRM, custom-built solutions). Integrating the middleware consistently across different hubs requires robust adapters and vendor cooperation.</w:t>
      </w:r>
      <w:r>
        <w:br/>
      </w:r>
      <w:r>
        <w:br/>
        <w:t>3. Compliance and Privacy: HIPAA and contractual agreements limit how much data can be exchanged in real time. The privacy layer of the architecture mitigates this risk, but operational governance frameworks must also evolve.</w:t>
      </w:r>
      <w:r>
        <w:br/>
      </w:r>
      <w:r>
        <w:br/>
        <w:t xml:space="preserve">4. Change Management: Case managers and hub staff accustomed to manual workflows may resist new systems. Training, usability studies, and human-in-the-loop features will be key </w:t>
      </w:r>
      <w:r>
        <w:lastRenderedPageBreak/>
        <w:t>for adoption.</w:t>
      </w:r>
      <w:r>
        <w:br/>
      </w:r>
      <w:r>
        <w:br/>
        <w:t>5. Future Role of AI Agents: Beyond anomaly detection, intelligent agents could eventually automate payer portal navigation, compose PA submissions, or predict patient drop-off risk. Ethical oversight and explainability will be essential to maintain trust.</w:t>
      </w:r>
      <w:r>
        <w:br/>
      </w:r>
      <w:r>
        <w:br/>
        <w:t>These challenges do not diminish the promise of the model but highlight the need for a staged implementation strategy combining technical deployment with organizational readiness.</w:t>
      </w:r>
    </w:p>
    <w:p w14:paraId="6F8ED93E" w14:textId="77777777" w:rsidR="00B07495" w:rsidRDefault="00000000">
      <w:pPr>
        <w:pStyle w:val="Heading1"/>
      </w:pPr>
      <w:r>
        <w:t>VIII. Conclusion and Future Work</w:t>
      </w:r>
    </w:p>
    <w:p w14:paraId="5630FFF5" w14:textId="77777777" w:rsidR="00B07495" w:rsidRDefault="00000000">
      <w:r>
        <w:t>This paper has presented a reference architecture for real-time payer-to-patient service hub integration. By leveraging event-driven middleware, payer APIs, AI-driven anomaly detection, and privacy-preserving controls, the proposed model addresses long-standing inefficiencies in patient enrollment, benefits verification, prior authorization, claims tracking, and pharmacy coordination.</w:t>
      </w:r>
      <w:r>
        <w:br/>
      </w:r>
      <w:r>
        <w:br/>
        <w:t>The simulated evaluation demonstrates significant improvements in manual effort reduction, therapy initiation timelines, and data accuracy. These findings suggest strong potential for the architecture to enhance patient access and streamline administrative workflows. Future work will involve pilot deployments with payer–hub partnerships to validate outcomes in live environments, explore expansion to specialty pharmacy integrations, and extend AI capabilities for proactive patient engagement. Ultimately, this approach contributes to a broader vision of healthcare interoperability where patients, providers, payers, and manufacturers collaborate seamlessly in real time.</w:t>
      </w:r>
    </w:p>
    <w:p w14:paraId="30D82B27" w14:textId="77777777" w:rsidR="00B07495" w:rsidRDefault="00000000">
      <w:pPr>
        <w:pStyle w:val="Heading1"/>
      </w:pPr>
      <w:r>
        <w:t>References</w:t>
      </w:r>
    </w:p>
    <w:p w14:paraId="6FFC4624" w14:textId="77777777" w:rsidR="00B07495" w:rsidRDefault="00000000">
      <w:r>
        <w:t xml:space="preserve">[1] L. Lenert, S. D. McSwain, et al., 'Could an artificial intelligence approach to prior authorization be more </w:t>
      </w:r>
      <w:proofErr w:type="gramStart"/>
      <w:r>
        <w:t>human?,</w:t>
      </w:r>
      <w:proofErr w:type="gramEnd"/>
      <w:r>
        <w:t>' Journal of the American Medical Informatics Association (JAMIA), vol. 30, no. 5, pp. 989–997, 2023.</w:t>
      </w:r>
    </w:p>
    <w:p w14:paraId="3C1BBE27" w14:textId="77777777" w:rsidR="00B07495" w:rsidRDefault="00000000">
      <w:r>
        <w:t xml:space="preserve">[2] 'Advancing Healthcare Automation: Multi-Agent System for Medical Necessity Justification,' </w:t>
      </w:r>
      <w:proofErr w:type="spellStart"/>
      <w:r>
        <w:t>arXiv</w:t>
      </w:r>
      <w:proofErr w:type="spellEnd"/>
      <w:r>
        <w:t xml:space="preserve"> preprint, 2024.</w:t>
      </w:r>
    </w:p>
    <w:p w14:paraId="0F5AA760" w14:textId="77777777" w:rsidR="00B07495" w:rsidRDefault="00000000">
      <w:r>
        <w:t>[3] HL7 FHIR Standard, Available: https://hl7.org/fhir</w:t>
      </w:r>
    </w:p>
    <w:p w14:paraId="23D3D31C" w14:textId="77777777" w:rsidR="00B07495" w:rsidRDefault="00000000">
      <w:r>
        <w:t xml:space="preserve">[4] </w:t>
      </w:r>
      <w:proofErr w:type="spellStart"/>
      <w:r>
        <w:t>HealthEdge</w:t>
      </w:r>
      <w:proofErr w:type="spellEnd"/>
      <w:r>
        <w:t>, '</w:t>
      </w:r>
      <w:proofErr w:type="spellStart"/>
      <w:r>
        <w:t>HealthRules</w:t>
      </w:r>
      <w:proofErr w:type="spellEnd"/>
      <w:r>
        <w:t xml:space="preserve"> Payer Solution Suite,' Available: https://healthedge.com</w:t>
      </w:r>
    </w:p>
    <w:p w14:paraId="1056ACB8" w14:textId="77777777" w:rsidR="00B07495" w:rsidRDefault="00000000">
      <w:r>
        <w:t>[5] Atlas Systems, 'Provider-Payer Connect,' Available: https://www.atlassystems.com/solutions/provider-payer-connect</w:t>
      </w:r>
    </w:p>
    <w:p w14:paraId="682CD69F" w14:textId="77777777" w:rsidR="00B07495" w:rsidRDefault="00000000">
      <w:r>
        <w:t xml:space="preserve">[6] </w:t>
      </w:r>
      <w:proofErr w:type="spellStart"/>
      <w:r>
        <w:t>Xsolis</w:t>
      </w:r>
      <w:proofErr w:type="spellEnd"/>
      <w:r>
        <w:t>, 'Dragonfly platform for payers,' Available: https://www.xsolis.com/who-we-serve/payers/</w:t>
      </w:r>
    </w:p>
    <w:p w14:paraId="1B32926B" w14:textId="77777777" w:rsidR="00B07495" w:rsidRDefault="00000000">
      <w:r>
        <w:lastRenderedPageBreak/>
        <w:t xml:space="preserve">[7] </w:t>
      </w:r>
      <w:proofErr w:type="spellStart"/>
      <w:r>
        <w:t>Reveleer</w:t>
      </w:r>
      <w:proofErr w:type="spellEnd"/>
      <w:r>
        <w:t>, 'Open Enrollment Solution Prep – Unified VBC Platform,' Available: https://www.reveleer.com</w:t>
      </w:r>
    </w:p>
    <w:p w14:paraId="7E27C19F" w14:textId="77777777" w:rsidR="00B07495" w:rsidRDefault="00000000">
      <w:r>
        <w:t>[8] HL7/FHIR Interoperability Surveys, Various sources.</w:t>
      </w:r>
    </w:p>
    <w:p w14:paraId="6C89A3E5" w14:textId="77777777" w:rsidR="003F740C" w:rsidRDefault="003F740C"/>
    <w:p w14:paraId="730B0440" w14:textId="77777777" w:rsidR="003F740C" w:rsidRDefault="003F740C"/>
    <w:p w14:paraId="3BB69126" w14:textId="77777777" w:rsidR="003F740C" w:rsidRDefault="003F740C"/>
    <w:p w14:paraId="0DAC2F50" w14:textId="05152DD7" w:rsidR="003F740C" w:rsidRDefault="003F740C">
      <w:r>
        <w:t>Ref to this topic for US national interest:</w:t>
      </w:r>
    </w:p>
    <w:p w14:paraId="59D946A9" w14:textId="3D8D7FCA" w:rsidR="003F740C" w:rsidRDefault="003F740C">
      <w:r>
        <w:rPr>
          <w:rStyle w:val="Strong"/>
        </w:rPr>
        <w:t>AI-Driven National Health Interoperability Framework (FHIR + Privacy by Design)</w:t>
      </w:r>
      <w:r>
        <w:br/>
        <w:t>→ Focus: Linking hospitals, pharmacies, and insurance securely to improve national health data exchange.</w:t>
      </w:r>
    </w:p>
    <w:sectPr w:rsidR="003F740C" w:rsidSect="00034616">
      <w:footerReference w:type="even" r:id="rId9"/>
      <w:footerReference w:type="default" r:id="rId10"/>
      <w:footerReference w:type="firs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99525" w14:textId="77777777" w:rsidR="00D82FEF" w:rsidRDefault="00D82FEF" w:rsidP="009E3370">
      <w:pPr>
        <w:spacing w:after="0" w:line="240" w:lineRule="auto"/>
      </w:pPr>
      <w:r>
        <w:separator/>
      </w:r>
    </w:p>
  </w:endnote>
  <w:endnote w:type="continuationSeparator" w:id="0">
    <w:p w14:paraId="236511F6" w14:textId="77777777" w:rsidR="00D82FEF" w:rsidRDefault="00D82FEF" w:rsidP="009E33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Kalinga">
    <w:panose1 w:val="020B0502040204020203"/>
    <w:charset w:val="00"/>
    <w:family w:val="swiss"/>
    <w:pitch w:val="variable"/>
    <w:sig w:usb0="0008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93F10" w14:textId="31D6B1EB" w:rsidR="009D654A" w:rsidRDefault="009D654A">
    <w:pPr>
      <w:pStyle w:val="Footer"/>
    </w:pPr>
    <w:r>
      <w:rPr>
        <w:noProof/>
      </w:rPr>
      <mc:AlternateContent>
        <mc:Choice Requires="wps">
          <w:drawing>
            <wp:anchor distT="0" distB="0" distL="0" distR="0" simplePos="0" relativeHeight="251659264" behindDoc="0" locked="0" layoutInCell="1" allowOverlap="1" wp14:anchorId="147451C6" wp14:editId="548F79F7">
              <wp:simplePos x="635" y="635"/>
              <wp:positionH relativeFrom="page">
                <wp:align>left</wp:align>
              </wp:positionH>
              <wp:positionV relativeFrom="page">
                <wp:align>bottom</wp:align>
              </wp:positionV>
              <wp:extent cx="1845945" cy="375285"/>
              <wp:effectExtent l="0" t="0" r="1905" b="0"/>
              <wp:wrapNone/>
              <wp:docPr id="935603141" name="Text Box 3" descr="For Internal Use - Internal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45945" cy="375285"/>
                      </a:xfrm>
                      <a:prstGeom prst="rect">
                        <a:avLst/>
                      </a:prstGeom>
                      <a:noFill/>
                      <a:ln>
                        <a:noFill/>
                      </a:ln>
                    </wps:spPr>
                    <wps:txbx>
                      <w:txbxContent>
                        <w:p w14:paraId="311340FF" w14:textId="4AB14B88" w:rsidR="009D654A" w:rsidRPr="009D654A" w:rsidRDefault="009D654A" w:rsidP="009D654A">
                          <w:pPr>
                            <w:spacing w:after="0"/>
                            <w:rPr>
                              <w:rFonts w:ascii="Arial" w:eastAsia="Arial" w:hAnsi="Arial" w:cs="Arial"/>
                              <w:noProof/>
                              <w:color w:val="000000"/>
                            </w:rPr>
                          </w:pPr>
                          <w:r w:rsidRPr="009D654A">
                            <w:rPr>
                              <w:rFonts w:ascii="Arial" w:eastAsia="Arial" w:hAnsi="Arial" w:cs="Arial"/>
                              <w:noProof/>
                              <w:color w:val="000000"/>
                            </w:rPr>
                            <w:t xml:space="preserve">For Internal Use - Internal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47451C6" id="_x0000_t202" coordsize="21600,21600" o:spt="202" path="m,l,21600r21600,l21600,xe">
              <v:stroke joinstyle="miter"/>
              <v:path gradientshapeok="t" o:connecttype="rect"/>
            </v:shapetype>
            <v:shape id="Text Box 3" o:spid="_x0000_s1026" type="#_x0000_t202" alt="For Internal Use - Internal " style="position:absolute;margin-left:0;margin-top:0;width:145.35pt;height:29.5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" filled="f" stroked="f">
              <v:textbox style="mso-fit-shape-to-text:t" inset="20pt,0,0,15pt">
                <w:txbxContent>
                  <w:p w14:paraId="311340FF" w14:textId="4AB14B88" w:rsidR="009D654A" w:rsidRPr="009D654A" w:rsidRDefault="009D654A" w:rsidP="009D654A">
                    <w:pPr>
                      <w:spacing w:after="0"/>
                      <w:rPr>
                        <w:rFonts w:ascii="Arial" w:eastAsia="Arial" w:hAnsi="Arial" w:cs="Arial"/>
                        <w:noProof/>
                        <w:color w:val="000000"/>
                      </w:rPr>
                    </w:pPr>
                    <w:r w:rsidRPr="009D654A">
                      <w:rPr>
                        <w:rFonts w:ascii="Arial" w:eastAsia="Arial" w:hAnsi="Arial" w:cs="Arial"/>
                        <w:noProof/>
                        <w:color w:val="000000"/>
                      </w:rPr>
                      <w:t xml:space="preserve">For Internal Use - Internal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D3AAC" w14:textId="7BEC127E" w:rsidR="009D654A" w:rsidRDefault="009D654A">
    <w:pPr>
      <w:pStyle w:val="Footer"/>
    </w:pPr>
    <w:r>
      <w:rPr>
        <w:noProof/>
      </w:rPr>
      <mc:AlternateContent>
        <mc:Choice Requires="wps">
          <w:drawing>
            <wp:anchor distT="0" distB="0" distL="0" distR="0" simplePos="0" relativeHeight="251660288" behindDoc="0" locked="0" layoutInCell="1" allowOverlap="1" wp14:anchorId="2A8E58DF" wp14:editId="42EAF9F7">
              <wp:simplePos x="1146517" y="9439422"/>
              <wp:positionH relativeFrom="page">
                <wp:align>left</wp:align>
              </wp:positionH>
              <wp:positionV relativeFrom="page">
                <wp:align>bottom</wp:align>
              </wp:positionV>
              <wp:extent cx="1845945" cy="375285"/>
              <wp:effectExtent l="0" t="0" r="1905" b="0"/>
              <wp:wrapNone/>
              <wp:docPr id="1874183280" name="Text Box 4" descr="For Internal Use - Internal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45945" cy="375285"/>
                      </a:xfrm>
                      <a:prstGeom prst="rect">
                        <a:avLst/>
                      </a:prstGeom>
                      <a:noFill/>
                      <a:ln>
                        <a:noFill/>
                      </a:ln>
                    </wps:spPr>
                    <wps:txbx>
                      <w:txbxContent>
                        <w:p w14:paraId="5D5AC3C7" w14:textId="7E1584C7" w:rsidR="009D654A" w:rsidRPr="009D654A" w:rsidRDefault="009D654A" w:rsidP="009D654A">
                          <w:pPr>
                            <w:spacing w:after="0"/>
                            <w:rPr>
                              <w:rFonts w:ascii="Arial" w:eastAsia="Arial" w:hAnsi="Arial" w:cs="Arial"/>
                              <w:noProof/>
                              <w:color w:val="000000"/>
                            </w:rPr>
                          </w:pPr>
                          <w:r w:rsidRPr="009D654A">
                            <w:rPr>
                              <w:rFonts w:ascii="Arial" w:eastAsia="Arial" w:hAnsi="Arial" w:cs="Arial"/>
                              <w:noProof/>
                              <w:color w:val="000000"/>
                            </w:rPr>
                            <w:t xml:space="preserve">For Internal Use - Internal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A8E58DF" id="_x0000_t202" coordsize="21600,21600" o:spt="202" path="m,l,21600r21600,l21600,xe">
              <v:stroke joinstyle="miter"/>
              <v:path gradientshapeok="t" o:connecttype="rect"/>
            </v:shapetype>
            <v:shape id="Text Box 4" o:spid="_x0000_s1027" type="#_x0000_t202" alt="For Internal Use - Internal " style="position:absolute;margin-left:0;margin-top:0;width:145.35pt;height:29.5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" filled="f" stroked="f">
              <v:textbox style="mso-fit-shape-to-text:t" inset="20pt,0,0,15pt">
                <w:txbxContent>
                  <w:p w14:paraId="5D5AC3C7" w14:textId="7E1584C7" w:rsidR="009D654A" w:rsidRPr="009D654A" w:rsidRDefault="009D654A" w:rsidP="009D654A">
                    <w:pPr>
                      <w:spacing w:after="0"/>
                      <w:rPr>
                        <w:rFonts w:ascii="Arial" w:eastAsia="Arial" w:hAnsi="Arial" w:cs="Arial"/>
                        <w:noProof/>
                        <w:color w:val="000000"/>
                      </w:rPr>
                    </w:pPr>
                    <w:r w:rsidRPr="009D654A">
                      <w:rPr>
                        <w:rFonts w:ascii="Arial" w:eastAsia="Arial" w:hAnsi="Arial" w:cs="Arial"/>
                        <w:noProof/>
                        <w:color w:val="000000"/>
                      </w:rPr>
                      <w:t xml:space="preserve">For Internal Use - Internal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D3ECD" w14:textId="20B72875" w:rsidR="009D654A" w:rsidRDefault="009D654A">
    <w:pPr>
      <w:pStyle w:val="Footer"/>
    </w:pPr>
    <w:r>
      <w:rPr>
        <w:noProof/>
      </w:rPr>
      <mc:AlternateContent>
        <mc:Choice Requires="wps">
          <w:drawing>
            <wp:anchor distT="0" distB="0" distL="0" distR="0" simplePos="0" relativeHeight="251658240" behindDoc="0" locked="0" layoutInCell="1" allowOverlap="1" wp14:anchorId="2D97D1B1" wp14:editId="7F7313B8">
              <wp:simplePos x="635" y="635"/>
              <wp:positionH relativeFrom="page">
                <wp:align>left</wp:align>
              </wp:positionH>
              <wp:positionV relativeFrom="page">
                <wp:align>bottom</wp:align>
              </wp:positionV>
              <wp:extent cx="1845945" cy="375285"/>
              <wp:effectExtent l="0" t="0" r="1905" b="0"/>
              <wp:wrapNone/>
              <wp:docPr id="249369014" name="Text Box 2" descr="For Internal Use - Internal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45945" cy="375285"/>
                      </a:xfrm>
                      <a:prstGeom prst="rect">
                        <a:avLst/>
                      </a:prstGeom>
                      <a:noFill/>
                      <a:ln>
                        <a:noFill/>
                      </a:ln>
                    </wps:spPr>
                    <wps:txbx>
                      <w:txbxContent>
                        <w:p w14:paraId="72AE7C9B" w14:textId="2AEF4025" w:rsidR="009D654A" w:rsidRPr="009D654A" w:rsidRDefault="009D654A" w:rsidP="009D654A">
                          <w:pPr>
                            <w:spacing w:after="0"/>
                            <w:rPr>
                              <w:rFonts w:ascii="Arial" w:eastAsia="Arial" w:hAnsi="Arial" w:cs="Arial"/>
                              <w:noProof/>
                              <w:color w:val="000000"/>
                            </w:rPr>
                          </w:pPr>
                          <w:r w:rsidRPr="009D654A">
                            <w:rPr>
                              <w:rFonts w:ascii="Arial" w:eastAsia="Arial" w:hAnsi="Arial" w:cs="Arial"/>
                              <w:noProof/>
                              <w:color w:val="000000"/>
                            </w:rPr>
                            <w:t xml:space="preserve">For Internal Use - Internal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D97D1B1" id="_x0000_t202" coordsize="21600,21600" o:spt="202" path="m,l,21600r21600,l21600,xe">
              <v:stroke joinstyle="miter"/>
              <v:path gradientshapeok="t" o:connecttype="rect"/>
            </v:shapetype>
            <v:shape id="Text Box 2" o:spid="_x0000_s1028" type="#_x0000_t202" alt="For Internal Use - Internal " style="position:absolute;margin-left:0;margin-top:0;width:145.35pt;height:29.5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" filled="f" stroked="f">
              <v:textbox style="mso-fit-shape-to-text:t" inset="20pt,0,0,15pt">
                <w:txbxContent>
                  <w:p w14:paraId="72AE7C9B" w14:textId="2AEF4025" w:rsidR="009D654A" w:rsidRPr="009D654A" w:rsidRDefault="009D654A" w:rsidP="009D654A">
                    <w:pPr>
                      <w:spacing w:after="0"/>
                      <w:rPr>
                        <w:rFonts w:ascii="Arial" w:eastAsia="Arial" w:hAnsi="Arial" w:cs="Arial"/>
                        <w:noProof/>
                        <w:color w:val="000000"/>
                      </w:rPr>
                    </w:pPr>
                    <w:r w:rsidRPr="009D654A">
                      <w:rPr>
                        <w:rFonts w:ascii="Arial" w:eastAsia="Arial" w:hAnsi="Arial" w:cs="Arial"/>
                        <w:noProof/>
                        <w:color w:val="000000"/>
                      </w:rPr>
                      <w:t xml:space="preserve">For Internal Use - Internal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B0D2A" w14:textId="77777777" w:rsidR="00D82FEF" w:rsidRDefault="00D82FEF" w:rsidP="009E3370">
      <w:pPr>
        <w:spacing w:after="0" w:line="240" w:lineRule="auto"/>
      </w:pPr>
      <w:r>
        <w:separator/>
      </w:r>
    </w:p>
  </w:footnote>
  <w:footnote w:type="continuationSeparator" w:id="0">
    <w:p w14:paraId="2637E2BA" w14:textId="77777777" w:rsidR="00D82FEF" w:rsidRDefault="00D82FEF" w:rsidP="009E33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5399627">
    <w:abstractNumId w:val="8"/>
  </w:num>
  <w:num w:numId="2" w16cid:durableId="323094078">
    <w:abstractNumId w:val="6"/>
  </w:num>
  <w:num w:numId="3" w16cid:durableId="1970471274">
    <w:abstractNumId w:val="5"/>
  </w:num>
  <w:num w:numId="4" w16cid:durableId="624434541">
    <w:abstractNumId w:val="4"/>
  </w:num>
  <w:num w:numId="5" w16cid:durableId="219248163">
    <w:abstractNumId w:val="7"/>
  </w:num>
  <w:num w:numId="6" w16cid:durableId="455834174">
    <w:abstractNumId w:val="3"/>
  </w:num>
  <w:num w:numId="7" w16cid:durableId="756747658">
    <w:abstractNumId w:val="2"/>
  </w:num>
  <w:num w:numId="8" w16cid:durableId="758674255">
    <w:abstractNumId w:val="1"/>
  </w:num>
  <w:num w:numId="9" w16cid:durableId="464860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6584"/>
    <w:rsid w:val="0006063C"/>
    <w:rsid w:val="0015074B"/>
    <w:rsid w:val="001C4FC0"/>
    <w:rsid w:val="0029639D"/>
    <w:rsid w:val="002A221D"/>
    <w:rsid w:val="00312405"/>
    <w:rsid w:val="00326F90"/>
    <w:rsid w:val="003B0D57"/>
    <w:rsid w:val="003F740C"/>
    <w:rsid w:val="00421E37"/>
    <w:rsid w:val="009D654A"/>
    <w:rsid w:val="009E3370"/>
    <w:rsid w:val="00AA1D8D"/>
    <w:rsid w:val="00B07495"/>
    <w:rsid w:val="00B47730"/>
    <w:rsid w:val="00CA16D9"/>
    <w:rsid w:val="00CB0664"/>
    <w:rsid w:val="00D82FEF"/>
    <w:rsid w:val="00FA68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o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911EE85"/>
  <w14:defaultImageDpi w14:val="300"/>
  <w15:docId w15:val="{BB9A40F3-108C-4D9C-8E5F-1D95CED98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Pages>
  <Words>2680</Words>
  <Characters>15282</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Ajit Sahu</cp:lastModifiedBy>
  <cp:revision>9</cp:revision>
  <dcterms:created xsi:type="dcterms:W3CDTF">2013-12-23T23:15:00Z</dcterms:created>
  <dcterms:modified xsi:type="dcterms:W3CDTF">2025-10-19T20:41:00Z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edd11b6,37c42bc5,6fb5c470</vt:lpwstr>
  </property>
  <property fmtid="{D5CDD505-2E9C-101B-9397-08002B2CF9AE}" pid="3" name="ClassificationContentMarkingFooterFontProps">
    <vt:lpwstr>#000000,11,Arial</vt:lpwstr>
  </property>
  <property fmtid="{D5CDD505-2E9C-101B-9397-08002B2CF9AE}" pid="4" name="ClassificationContentMarkingFooterText">
    <vt:lpwstr>For Internal Use - Internal </vt:lpwstr>
  </property>
  <property fmtid="{D5CDD505-2E9C-101B-9397-08002B2CF9AE}" pid="5" name="MSIP_Label_101bf161-408c-434f-9bf8-15603007fe6d_Enabled">
    <vt:lpwstr>true</vt:lpwstr>
  </property>
  <property fmtid="{D5CDD505-2E9C-101B-9397-08002B2CF9AE}" pid="6" name="MSIP_Label_101bf161-408c-434f-9bf8-15603007fe6d_SetDate">
    <vt:lpwstr>2025-09-22T04:29:41Z</vt:lpwstr>
  </property>
  <property fmtid="{D5CDD505-2E9C-101B-9397-08002B2CF9AE}" pid="7" name="MSIP_Label_101bf161-408c-434f-9bf8-15603007fe6d_Method">
    <vt:lpwstr>Standard</vt:lpwstr>
  </property>
  <property fmtid="{D5CDD505-2E9C-101B-9397-08002B2CF9AE}" pid="8" name="MSIP_Label_101bf161-408c-434f-9bf8-15603007fe6d_Name">
    <vt:lpwstr>Internal Use</vt:lpwstr>
  </property>
  <property fmtid="{D5CDD505-2E9C-101B-9397-08002B2CF9AE}" pid="9" name="MSIP_Label_101bf161-408c-434f-9bf8-15603007fe6d_SiteId">
    <vt:lpwstr>3d438f08-e047-4f9a-a191-69dd7cce14ea</vt:lpwstr>
  </property>
  <property fmtid="{D5CDD505-2E9C-101B-9397-08002B2CF9AE}" pid="10" name="MSIP_Label_101bf161-408c-434f-9bf8-15603007fe6d_ActionId">
    <vt:lpwstr>2b2a8059-b59c-4a70-8398-ccd3818320eb</vt:lpwstr>
  </property>
  <property fmtid="{D5CDD505-2E9C-101B-9397-08002B2CF9AE}" pid="11" name="MSIP_Label_101bf161-408c-434f-9bf8-15603007fe6d_ContentBits">
    <vt:lpwstr>2</vt:lpwstr>
  </property>
  <property fmtid="{D5CDD505-2E9C-101B-9397-08002B2CF9AE}" pid="12" name="MSIP_Label_101bf161-408c-434f-9bf8-15603007fe6d_Tag">
    <vt:lpwstr>10, 3, 0, 1</vt:lpwstr>
  </property>
</Properties>
</file>