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color w:val="0F766E"/>
          <w:sz w:val="20"/>
        </w:rPr>
        <w:t>TECHNICAL ACADEMIC SPECIFICATION</w:t>
        <w:br/>
      </w:r>
      <w:r>
        <w:rPr>
          <w:b/>
          <w:color w:val="047857"/>
          <w:sz w:val="40"/>
        </w:rPr>
        <w:t>AgriVision: Machine Learning Models &amp; Architecture Guide</w:t>
      </w:r>
    </w:p>
    <w:p>
      <w:pPr>
        <w:spacing w:after="400"/>
        <w:jc w:val="center"/>
      </w:pPr>
      <w:r>
        <w:rPr>
          <w:i/>
          <w:color w:val="6B7280"/>
          <w:sz w:val="22"/>
        </w:rPr>
        <w:t>In-Depth Functioning of EfficientNet-B0 CNN, XGBoost Regressor, Mandi Forecaster &amp; LLM Agent</w:t>
      </w:r>
    </w:p>
    <w:tbl>
      <w:tblPr>
        <w:tblW w:type="auto" w:w="0"/>
        <w:jc w:val="center"/>
        <w:tblLook w:firstColumn="1" w:firstRow="1" w:lastColumn="0" w:lastRow="0" w:noHBand="0" w:noVBand="1" w:val="04A0"/>
      </w:tblPr>
      <w:tblGrid>
        <w:gridCol w:w="4680"/>
        <w:gridCol w:w="4680"/>
      </w:tblGrid>
      <w:tr>
        <w:tc>
          <w:tcPr>
            <w:tcW w:type="dxa" w:w="3168"/>
            <w:shd w:fill="ECFDF5"/>
            <w:tcMar>
              <w:top w:w="50" w:type="dxa"/>
              <w:bottom w:w="50" w:type="dxa"/>
              <w:left w:w="80" w:type="dxa"/>
              <w:right w:w="80" w:type="dxa"/>
            </w:tcMar>
          </w:tcPr>
          <w:p>
            <w:r>
              <w:rPr>
                <w:b/>
                <w:color w:val="047857"/>
                <w:sz w:val="18"/>
              </w:rPr>
              <w:t>Document Version</w:t>
            </w:r>
          </w:p>
        </w:tc>
        <w:tc>
          <w:tcPr>
            <w:tcW w:type="dxa" w:w="6192"/>
            <w:tcMar>
              <w:top w:w="50" w:type="dxa"/>
              <w:bottom w:w="50" w:type="dxa"/>
              <w:left w:w="80" w:type="dxa"/>
              <w:right w:w="80" w:type="dxa"/>
            </w:tcMar>
          </w:tcPr>
          <w:p>
            <w:r>
              <w:rPr>
                <w:sz w:val="18"/>
              </w:rPr>
              <w:t>2.0.0 (Production Release Architecture)</w:t>
            </w:r>
          </w:p>
        </w:tc>
      </w:tr>
      <w:tr>
        <w:tc>
          <w:tcPr>
            <w:tcW w:type="dxa" w:w="3168"/>
            <w:shd w:fill="ECFDF5"/>
            <w:tcMar>
              <w:top w:w="50" w:type="dxa"/>
              <w:bottom w:w="50" w:type="dxa"/>
              <w:left w:w="80" w:type="dxa"/>
              <w:right w:w="80" w:type="dxa"/>
            </w:tcMar>
          </w:tcPr>
          <w:p>
            <w:r>
              <w:rPr>
                <w:b/>
                <w:color w:val="047857"/>
                <w:sz w:val="18"/>
              </w:rPr>
              <w:t>Computer Vision Model</w:t>
            </w:r>
          </w:p>
        </w:tc>
        <w:tc>
          <w:tcPr>
            <w:tcW w:type="dxa" w:w="6192"/>
            <w:tcMar>
              <w:top w:w="50" w:type="dxa"/>
              <w:bottom w:w="50" w:type="dxa"/>
              <w:left w:w="80" w:type="dxa"/>
              <w:right w:w="80" w:type="dxa"/>
            </w:tcMar>
          </w:tcPr>
          <w:p>
            <w:r>
              <w:rPr>
                <w:sz w:val="18"/>
              </w:rPr>
              <w:t>Keras EfficientNet-B0 (38 Plant Disease Classes, 28.4 MB)</w:t>
            </w:r>
          </w:p>
        </w:tc>
      </w:tr>
      <w:tr>
        <w:tc>
          <w:tcPr>
            <w:tcW w:type="dxa" w:w="3168"/>
            <w:shd w:fill="ECFDF5"/>
            <w:tcMar>
              <w:top w:w="50" w:type="dxa"/>
              <w:bottom w:w="50" w:type="dxa"/>
              <w:left w:w="80" w:type="dxa"/>
              <w:right w:w="80" w:type="dxa"/>
            </w:tcMar>
          </w:tcPr>
          <w:p>
            <w:r>
              <w:rPr>
                <w:b/>
                <w:color w:val="047857"/>
                <w:sz w:val="18"/>
              </w:rPr>
              <w:t>Yield Regressor</w:t>
            </w:r>
          </w:p>
        </w:tc>
        <w:tc>
          <w:tcPr>
            <w:tcW w:type="dxa" w:w="6192"/>
            <w:tcMar>
              <w:top w:w="50" w:type="dxa"/>
              <w:bottom w:w="50" w:type="dxa"/>
              <w:left w:w="80" w:type="dxa"/>
              <w:right w:w="80" w:type="dxa"/>
            </w:tcMar>
          </w:tcPr>
          <w:p>
            <w:r>
              <w:rPr>
                <w:sz w:val="18"/>
              </w:rPr>
              <w:t>XGBoost Regressor Pipeline + ICAR Non-Linear Stress Calibration (1.89 MB)</w:t>
            </w:r>
          </w:p>
        </w:tc>
      </w:tr>
      <w:tr>
        <w:tc>
          <w:tcPr>
            <w:tcW w:type="dxa" w:w="3168"/>
            <w:shd w:fill="ECFDF5"/>
            <w:tcMar>
              <w:top w:w="50" w:type="dxa"/>
              <w:bottom w:w="50" w:type="dxa"/>
              <w:left w:w="80" w:type="dxa"/>
              <w:right w:w="80" w:type="dxa"/>
            </w:tcMar>
          </w:tcPr>
          <w:p>
            <w:r>
              <w:rPr>
                <w:b/>
                <w:color w:val="047857"/>
                <w:sz w:val="18"/>
              </w:rPr>
              <w:t>Market Forecaster</w:t>
            </w:r>
          </w:p>
        </w:tc>
        <w:tc>
          <w:tcPr>
            <w:tcW w:type="dxa" w:w="6192"/>
            <w:tcMar>
              <w:top w:w="50" w:type="dxa"/>
              <w:bottom w:w="50" w:type="dxa"/>
              <w:left w:w="80" w:type="dxa"/>
              <w:right w:w="80" w:type="dxa"/>
            </w:tcMar>
          </w:tcPr>
          <w:p>
            <w:r>
              <w:rPr>
                <w:sz w:val="18"/>
              </w:rPr>
              <w:t>Autoregressive XGBoost Regressor with 28-Day Lags (8 Pune Mandis)</w:t>
            </w:r>
          </w:p>
        </w:tc>
      </w:tr>
      <w:tr>
        <w:tc>
          <w:tcPr>
            <w:tcW w:type="dxa" w:w="3168"/>
            <w:shd w:fill="ECFDF5"/>
            <w:tcMar>
              <w:top w:w="50" w:type="dxa"/>
              <w:bottom w:w="50" w:type="dxa"/>
              <w:left w:w="80" w:type="dxa"/>
              <w:right w:w="80" w:type="dxa"/>
            </w:tcMar>
          </w:tcPr>
          <w:p>
            <w:r>
              <w:rPr>
                <w:b/>
                <w:color w:val="047857"/>
                <w:sz w:val="18"/>
              </w:rPr>
              <w:t>Vernacular AI Agent</w:t>
            </w:r>
          </w:p>
        </w:tc>
        <w:tc>
          <w:tcPr>
            <w:tcW w:type="dxa" w:w="6192"/>
            <w:tcMar>
              <w:top w:w="50" w:type="dxa"/>
              <w:bottom w:w="50" w:type="dxa"/>
              <w:left w:w="80" w:type="dxa"/>
              <w:right w:w="80" w:type="dxa"/>
            </w:tcMar>
          </w:tcPr>
          <w:p>
            <w:r>
              <w:rPr>
                <w:sz w:val="18"/>
              </w:rPr>
              <w:t>Google Gemini 2.5 Flash with Grounded Prompting &amp; Web Speech TTS</w:t>
            </w:r>
          </w:p>
        </w:tc>
      </w:tr>
    </w:tbl>
    <w:p>
      <w:pPr>
        <w:spacing w:before="320" w:after="120"/>
      </w:pPr>
      <w:r>
        <w:rPr>
          <w:b/>
          <w:color w:val="047857"/>
          <w:sz w:val="30"/>
        </w:rPr>
        <w:t>1. Executive Summary for Academic Evaluation</w:t>
      </w:r>
    </w:p>
    <w:p>
      <w:r>
        <w:t>AgriVision is an AI-augmented agricultural decision support system engineered to resolve information asymmetry, agrochemical exploitation, and distress selling experienced by smallholder and marginal farmers across Maharashtra, India. Rather than relying on a single generic model, AgriVision implements a multi-tiered heterogeneous machine learning architecture combining deep computer vision, gradient boosted tabular regression, econometric time-series forecasting, and generative language agents.</w:t>
      </w:r>
    </w:p>
    <w:p>
      <w:pPr>
        <w:spacing w:before="320" w:after="120"/>
      </w:pPr>
      <w:r>
        <w:rPr>
          <w:b/>
          <w:color w:val="047857"/>
          <w:sz w:val="30"/>
        </w:rPr>
        <w:t>2. Summary of All Machine Learning Models Used</w:t>
      </w:r>
    </w:p>
    <w:tbl>
      <w:tblPr>
        <w:tblW w:type="auto" w:w="0"/>
        <w:jc w:val="center"/>
        <w:tblLook w:firstColumn="1" w:firstRow="1" w:lastColumn="0" w:lastRow="0" w:noHBand="0" w:noVBand="1" w:val="04A0"/>
      </w:tblPr>
      <w:tblGrid>
        <w:gridCol w:w="2340"/>
        <w:gridCol w:w="2340"/>
        <w:gridCol w:w="2340"/>
        <w:gridCol w:w="2340"/>
      </w:tblGrid>
      <w:tr>
        <w:tc>
          <w:tcPr>
            <w:tcW w:type="dxa" w:w="2340"/>
            <w:shd w:fill="047857"/>
          </w:tcPr>
          <w:p>
            <w:r>
              <w:rPr>
                <w:b/>
                <w:color w:val="FFFFFF"/>
                <w:sz w:val="18"/>
              </w:rPr>
              <w:t>Model Component</w:t>
            </w:r>
          </w:p>
        </w:tc>
        <w:tc>
          <w:tcPr>
            <w:tcW w:type="dxa" w:w="2340"/>
            <w:shd w:fill="047857"/>
          </w:tcPr>
          <w:p>
            <w:r>
              <w:rPr>
                <w:b/>
                <w:color w:val="FFFFFF"/>
                <w:sz w:val="18"/>
              </w:rPr>
              <w:t>Algorithm / Framework</w:t>
            </w:r>
          </w:p>
        </w:tc>
        <w:tc>
          <w:tcPr>
            <w:tcW w:type="dxa" w:w="2340"/>
            <w:shd w:fill="047857"/>
          </w:tcPr>
          <w:p>
            <w:r>
              <w:rPr>
                <w:b/>
                <w:color w:val="FFFFFF"/>
                <w:sz w:val="18"/>
              </w:rPr>
              <w:t>Input Features</w:t>
            </w:r>
          </w:p>
        </w:tc>
        <w:tc>
          <w:tcPr>
            <w:tcW w:type="dxa" w:w="2340"/>
            <w:shd w:fill="047857"/>
          </w:tcPr>
          <w:p>
            <w:r>
              <w:rPr>
                <w:b/>
                <w:color w:val="FFFFFF"/>
                <w:sz w:val="18"/>
              </w:rPr>
              <w:t>Target Output &amp; Metrics</w:t>
            </w:r>
          </w:p>
        </w:tc>
      </w:tr>
      <w:tr>
        <w:tc>
          <w:tcPr>
            <w:tcW w:type="dxa" w:w="2340"/>
            <w:shd w:fill="F0FDF4"/>
            <w:tcMar>
              <w:top w:w="50" w:type="dxa"/>
              <w:bottom w:w="50" w:type="dxa"/>
              <w:left w:w="60" w:type="dxa"/>
              <w:right w:w="60" w:type="dxa"/>
            </w:tcMar>
          </w:tcPr>
          <w:p>
            <w:r>
              <w:rPr>
                <w:sz w:val="17"/>
              </w:rPr>
              <w:t>Leaf Pathology Classifier</w:t>
            </w:r>
          </w:p>
        </w:tc>
        <w:tc>
          <w:tcPr>
            <w:tcW w:type="dxa" w:w="2340"/>
            <w:shd w:fill="F0FDF4"/>
            <w:tcMar>
              <w:top w:w="50" w:type="dxa"/>
              <w:bottom w:w="50" w:type="dxa"/>
              <w:left w:w="60" w:type="dxa"/>
              <w:right w:w="60" w:type="dxa"/>
            </w:tcMar>
          </w:tcPr>
          <w:p>
            <w:r>
              <w:rPr>
                <w:sz w:val="17"/>
              </w:rPr>
              <w:t>EfficientNet-B0 (CNN) in Keras / TensorFlow</w:t>
            </w:r>
          </w:p>
        </w:tc>
        <w:tc>
          <w:tcPr>
            <w:tcW w:type="dxa" w:w="2340"/>
            <w:shd w:fill="F0FDF4"/>
            <w:tcMar>
              <w:top w:w="50" w:type="dxa"/>
              <w:bottom w:w="50" w:type="dxa"/>
              <w:left w:w="60" w:type="dxa"/>
              <w:right w:w="60" w:type="dxa"/>
            </w:tcMar>
          </w:tcPr>
          <w:p>
            <w:r>
              <w:rPr>
                <w:sz w:val="17"/>
              </w:rPr>
              <w:t>224x224 RGB Leaf Photo</w:t>
            </w:r>
          </w:p>
        </w:tc>
        <w:tc>
          <w:tcPr>
            <w:tcW w:type="dxa" w:w="2340"/>
            <w:shd w:fill="F0FDF4"/>
            <w:tcMar>
              <w:top w:w="50" w:type="dxa"/>
              <w:bottom w:w="50" w:type="dxa"/>
              <w:left w:w="60" w:type="dxa"/>
              <w:right w:w="60" w:type="dxa"/>
            </w:tcMar>
          </w:tcPr>
          <w:p>
            <w:r>
              <w:rPr>
                <w:sz w:val="17"/>
              </w:rPr>
              <w:t>38 Disease Classes, Top-1 Acc: 96.4%, Top-3: 99.1%</w:t>
            </w:r>
          </w:p>
        </w:tc>
      </w:tr>
      <w:tr>
        <w:tc>
          <w:tcPr>
            <w:tcW w:type="dxa" w:w="2340"/>
            <w:shd w:fill="FFFFFF"/>
            <w:tcMar>
              <w:top w:w="50" w:type="dxa"/>
              <w:bottom w:w="50" w:type="dxa"/>
              <w:left w:w="60" w:type="dxa"/>
              <w:right w:w="60" w:type="dxa"/>
            </w:tcMar>
          </w:tcPr>
          <w:p>
            <w:r>
              <w:rPr>
                <w:sz w:val="17"/>
              </w:rPr>
              <w:t>Soil-Crop Yield Regressor</w:t>
            </w:r>
          </w:p>
        </w:tc>
        <w:tc>
          <w:tcPr>
            <w:tcW w:type="dxa" w:w="2340"/>
            <w:shd w:fill="FFFFFF"/>
            <w:tcMar>
              <w:top w:w="50" w:type="dxa"/>
              <w:bottom w:w="50" w:type="dxa"/>
              <w:left w:w="60" w:type="dxa"/>
              <w:right w:w="60" w:type="dxa"/>
            </w:tcMar>
          </w:tcPr>
          <w:p>
            <w:r>
              <w:rPr>
                <w:sz w:val="17"/>
              </w:rPr>
              <w:t>XGBoost Regressor + ICAR Non-Linear Curve</w:t>
            </w:r>
          </w:p>
        </w:tc>
        <w:tc>
          <w:tcPr>
            <w:tcW w:type="dxa" w:w="2340"/>
            <w:shd w:fill="FFFFFF"/>
            <w:tcMar>
              <w:top w:w="50" w:type="dxa"/>
              <w:bottom w:w="50" w:type="dxa"/>
              <w:left w:w="60" w:type="dxa"/>
              <w:right w:w="60" w:type="dxa"/>
            </w:tcMar>
          </w:tcPr>
          <w:p>
            <w:r>
              <w:rPr>
                <w:sz w:val="17"/>
              </w:rPr>
              <w:t>14 Numerical + 6 Categorical Soil/Weather Features</w:t>
            </w:r>
          </w:p>
        </w:tc>
        <w:tc>
          <w:tcPr>
            <w:tcW w:type="dxa" w:w="2340"/>
            <w:shd w:fill="FFFFFF"/>
            <w:tcMar>
              <w:top w:w="50" w:type="dxa"/>
              <w:bottom w:w="50" w:type="dxa"/>
              <w:left w:w="60" w:type="dxa"/>
              <w:right w:w="60" w:type="dxa"/>
            </w:tcMar>
          </w:tcPr>
          <w:p>
            <w:r>
              <w:rPr>
                <w:sz w:val="17"/>
              </w:rPr>
              <w:t>Yield in q/ha &amp; q/acre, R^2: 0.912, MAE: 2.34 q/ha</w:t>
            </w:r>
          </w:p>
        </w:tc>
      </w:tr>
      <w:tr>
        <w:tc>
          <w:tcPr>
            <w:tcW w:type="dxa" w:w="2340"/>
            <w:shd w:fill="F0FDF4"/>
            <w:tcMar>
              <w:top w:w="50" w:type="dxa"/>
              <w:bottom w:w="50" w:type="dxa"/>
              <w:left w:w="60" w:type="dxa"/>
              <w:right w:w="60" w:type="dxa"/>
            </w:tcMar>
          </w:tcPr>
          <w:p>
            <w:r>
              <w:rPr>
                <w:sz w:val="17"/>
              </w:rPr>
              <w:t>Mandi Price Forecaster</w:t>
            </w:r>
          </w:p>
        </w:tc>
        <w:tc>
          <w:tcPr>
            <w:tcW w:type="dxa" w:w="2340"/>
            <w:shd w:fill="F0FDF4"/>
            <w:tcMar>
              <w:top w:w="50" w:type="dxa"/>
              <w:bottom w:w="50" w:type="dxa"/>
              <w:left w:w="60" w:type="dxa"/>
              <w:right w:w="60" w:type="dxa"/>
            </w:tcMar>
          </w:tcPr>
          <w:p>
            <w:r>
              <w:rPr>
                <w:sz w:val="17"/>
              </w:rPr>
              <w:t>Autoregressive XGBoost with Lag/Rolling Features</w:t>
            </w:r>
          </w:p>
        </w:tc>
        <w:tc>
          <w:tcPr>
            <w:tcW w:type="dxa" w:w="2340"/>
            <w:shd w:fill="F0FDF4"/>
            <w:tcMar>
              <w:top w:w="50" w:type="dxa"/>
              <w:bottom w:w="50" w:type="dxa"/>
              <w:left w:w="60" w:type="dxa"/>
              <w:right w:w="60" w:type="dxa"/>
            </w:tcMar>
          </w:tcPr>
          <w:p>
            <w:r>
              <w:rPr>
                <w:sz w:val="17"/>
              </w:rPr>
              <w:t>Historical APMC daily modal rates, 28-day lags</w:t>
            </w:r>
          </w:p>
        </w:tc>
        <w:tc>
          <w:tcPr>
            <w:tcW w:type="dxa" w:w="2340"/>
            <w:shd w:fill="F0FDF4"/>
            <w:tcMar>
              <w:top w:w="50" w:type="dxa"/>
              <w:bottom w:w="50" w:type="dxa"/>
              <w:left w:w="60" w:type="dxa"/>
              <w:right w:w="60" w:type="dxa"/>
            </w:tcMar>
          </w:tcPr>
          <w:p>
            <w:r>
              <w:rPr>
                <w:sz w:val="17"/>
              </w:rPr>
              <w:t>7-Day Forward Price (Rs/q), MAPE: 4.12%</w:t>
            </w:r>
          </w:p>
        </w:tc>
      </w:tr>
      <w:tr>
        <w:tc>
          <w:tcPr>
            <w:tcW w:type="dxa" w:w="2340"/>
            <w:shd w:fill="FFFFFF"/>
            <w:tcMar>
              <w:top w:w="50" w:type="dxa"/>
              <w:bottom w:w="50" w:type="dxa"/>
              <w:left w:w="60" w:type="dxa"/>
              <w:right w:w="60" w:type="dxa"/>
            </w:tcMar>
          </w:tcPr>
          <w:p>
            <w:r>
              <w:rPr>
                <w:sz w:val="17"/>
              </w:rPr>
              <w:t>Vernacular AI Farm Advisor</w:t>
            </w:r>
          </w:p>
        </w:tc>
        <w:tc>
          <w:tcPr>
            <w:tcW w:type="dxa" w:w="2340"/>
            <w:shd w:fill="FFFFFF"/>
            <w:tcMar>
              <w:top w:w="50" w:type="dxa"/>
              <w:bottom w:w="50" w:type="dxa"/>
              <w:left w:w="60" w:type="dxa"/>
              <w:right w:w="60" w:type="dxa"/>
            </w:tcMar>
          </w:tcPr>
          <w:p>
            <w:r>
              <w:rPr>
                <w:sz w:val="17"/>
              </w:rPr>
              <w:t>Google Gemini 2.5 Flash + Web Speech TTS</w:t>
            </w:r>
          </w:p>
        </w:tc>
        <w:tc>
          <w:tcPr>
            <w:tcW w:type="dxa" w:w="2340"/>
            <w:shd w:fill="FFFFFF"/>
            <w:tcMar>
              <w:top w:w="50" w:type="dxa"/>
              <w:bottom w:w="50" w:type="dxa"/>
              <w:left w:w="60" w:type="dxa"/>
              <w:right w:w="60" w:type="dxa"/>
            </w:tcMar>
          </w:tcPr>
          <w:p>
            <w:r>
              <w:rPr>
                <w:sz w:val="17"/>
              </w:rPr>
              <w:t>Spoken voice or text in Marathi / Hindi / English</w:t>
            </w:r>
          </w:p>
        </w:tc>
        <w:tc>
          <w:tcPr>
            <w:tcW w:type="dxa" w:w="2340"/>
            <w:shd w:fill="FFFFFF"/>
            <w:tcMar>
              <w:top w:w="50" w:type="dxa"/>
              <w:bottom w:w="50" w:type="dxa"/>
              <w:left w:w="60" w:type="dxa"/>
              <w:right w:w="60" w:type="dxa"/>
            </w:tcMar>
          </w:tcPr>
          <w:p>
            <w:r>
              <w:rPr>
                <w:sz w:val="17"/>
              </w:rPr>
              <w:t>Step-by-step 15L spray dosages, IPM guidance</w:t>
            </w:r>
          </w:p>
        </w:tc>
      </w:tr>
    </w:tbl>
    <w:p>
      <w:pPr>
        <w:spacing w:before="320" w:after="120"/>
      </w:pPr>
      <w:r>
        <w:rPr>
          <w:b/>
          <w:color w:val="047857"/>
          <w:sz w:val="30"/>
        </w:rPr>
        <w:t>3. Deep-Dive: Crop Leaf Disease Identification Model</w:t>
      </w:r>
    </w:p>
    <w:p>
      <w:pPr>
        <w:spacing w:before="240" w:after="80"/>
      </w:pPr>
      <w:r>
        <w:rPr>
          <w:b/>
          <w:color w:val="0F766E"/>
          <w:sz w:val="25"/>
        </w:rPr>
        <w:t>3.1 EfficientNet-B0 Architecture &amp; Compound Scaling</w:t>
      </w:r>
    </w:p>
    <w:p>
      <w:r>
        <w:t>EfficientNet-B0 achieves superior accuracy with only 5.3 Million parameters (compared to 138M in VGG-16 and 25.6M in ResNet-50). It achieves this efficiency via Compound Scaling, uniformly scaling network depth, width, and resolution with a fixed ratio: depth = alpha^phi, width = beta^phi, resolution = gamma^phi, subject to alpha * beta^2 * gamma^2 ~= 2. The core computational unit is the MBConv (Mobile Inverted Bottleneck Convolution) block, featuring 1x1 pointwise expansion, 3x3 depthwise separable convolution, Squeeze-and-Excitation (SE) channel-wise attention, and linear projection.</w:t>
      </w:r>
    </w:p>
    <w:p>
      <w:pPr>
        <w:spacing w:before="240" w:after="80"/>
      </w:pPr>
      <w:r>
        <w:rPr>
          <w:b/>
          <w:color w:val="0F766E"/>
          <w:sz w:val="25"/>
        </w:rPr>
        <w:t>3.2 Two-Phase Transfer Learning Curriculum</w:t>
      </w:r>
    </w:p>
    <w:p>
      <w:r>
        <w:t>Training was executed in two systematic phases in ml/traning/train_disease.py:</w:t>
        <w:br/>
        <w:t>Phase 1 (Feature Extraction, 8 Epochs): The pre-trained ImageNet base was completely frozen (base.trainable = False). A customized classification head comprising GlobalAveragePooling2D, Dropout(0.3), and Dense(38, activation='softmax') was trained using Adam optimizer with learning rate 1e-3 under sparse categorical crossentropy loss.</w:t>
        <w:br/>
        <w:t>Phase 2 (Fine-Tuning, 4 Epochs): The top 20 convolutional layers of EfficientNet-B0 were unfrozen, while ALL BatchNormalization layers were strictly kept frozen to preserve running mean and variance statistics. Training resumed with a lower learning rate (1e-5) under EarlyStopping (patience=3) and ModelCheckpoint monitoring validation accuracy.</w:t>
      </w:r>
    </w:p>
    <w:p>
      <w:pPr>
        <w:spacing w:before="240" w:after="80"/>
      </w:pPr>
      <w:r>
        <w:rPr>
          <w:b/>
          <w:color w:val="0F766E"/>
          <w:sz w:val="25"/>
        </w:rPr>
        <w:t>3.3 38 Botanical Disease Classes &amp; 15L Knapsack Pathology Integration</w:t>
      </w:r>
    </w:p>
    <w:p>
      <w:r>
        <w:t>The model classifies health across 14 crop species (Apple, Blueberry, Cherry, Corn, Grape, Orange, Peach, Bell Pepper, Potato, Raspberry, Soybean, Squash, Strawberry, Tomato). Upon classification, the raw diagnosis is enriched via DiseaseKnowledgeEngine to deliver: (1) Pathogen biology, (2) Humidity (&gt;85%) and temperature triggers, (3) Exact chemical spray dilutions calibrated strictly per 15-Liter knapsack pump (e.g., Mancozeb 75% WP @ 30-35g / 15L), (4) Organic bio-remedies (Neem Oil @ 30ml / 15L), and (5) Preventative field sanitation.</w:t>
      </w:r>
    </w:p>
    <w:p>
      <w:pPr>
        <w:spacing w:before="320" w:after="120"/>
      </w:pPr>
      <w:r>
        <w:rPr>
          <w:b/>
          <w:color w:val="047857"/>
          <w:sz w:val="30"/>
        </w:rPr>
        <w:t>4. Deep-Dive: Dynamic Soil pH &amp; Crop Yield Model</w:t>
      </w:r>
    </w:p>
    <w:p>
      <w:r>
        <w:t>The crop recommendation engine couples an XGBoost Regressor (500 trees, max_depth=6, learning rate=0.05) with a scikit-learn ColumnTransformer (StandardScaler on 14 numerical features and OneHotEncoder on 6 categorical features). To ensure agronomic safety at edge conditions, the model implements an ICAR / MPKV Rahuri hybrid stress equation:</w:t>
        <w:br/>
        <w:t>Yield = BaseYield * (1 - 0.28 * |pH - pH_opt|^1.55) * f(NPK) * f(Moisture).</w:t>
        <w:br/>
        <w:t>In strongly acidic soils (pH &lt; 5.5), cotton and chickpea yields crash by up to 88% while rice stays viable, triggering Agricultural Lime (चूना) advice. In alkaline sodic soils (pH &gt; 8.2), rice crashes to 3.4 q/ha while bajra and cotton thrive, triggering Agricultural Gypsum (जिप्सम) advice.</w:t>
      </w:r>
    </w:p>
    <w:p>
      <w:pPr>
        <w:spacing w:before="320" w:after="120"/>
      </w:pPr>
      <w:r>
        <w:rPr>
          <w:b/>
          <w:color w:val="047857"/>
          <w:sz w:val="30"/>
        </w:rPr>
        <w:t>5. Deep-Dive: Mandi Forecaster &amp; Vernacular LLM</w:t>
      </w:r>
    </w:p>
    <w:p>
      <w:r>
        <w:t>Mandi Forecasting: Ingests daily APMC modal prices across 8 Pune market yards. Autoregressive XGBoost models leverage 28-day lags, rolling moving averages, and rolling standard deviations to project 7-day forward price trajectories and compute cross-mandi price spreads.</w:t>
        <w:br/>
        <w:t>Vernacular AI Assistant (कृषी मित्र): Powered by Google Gemini 2.5 Flash, grounded in Pune regional agronomy, enforcing Integrated Pest Management (IPM), exact 15-liter pump dilution ratios, wetting stickers, and Devanagari speech synthesis (Web Speech API).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