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NARI ATS Candidate Evaluation Report</w:t>
      </w:r>
    </w:p>
    <w:p/>
    <w:p>
      <w:pPr>
        <w:pStyle w:val="Heading1"/>
      </w:pPr>
      <w:r>
        <w:rPr>
          <w:color w:val="003366"/>
        </w:rPr>
        <w:t>Candidate Profile</w:t>
      </w:r>
    </w:p>
    <w:p>
      <w:r>
        <w:rPr>
          <w:b/>
        </w:rPr>
        <w:t xml:space="preserve">Name: </w:t>
      </w:r>
      <w:r>
        <w:t>Casey Taylor</w:t>
      </w:r>
    </w:p>
    <w:p>
      <w:r>
        <w:rPr>
          <w:b/>
        </w:rPr>
        <w:t xml:space="preserve">Email: </w:t>
      </w:r>
      <w:r>
        <w:t>casey.t@example.com</w:t>
      </w:r>
    </w:p>
    <w:p>
      <w:r>
        <w:rPr>
          <w:b/>
        </w:rPr>
        <w:t xml:space="preserve">Applied For (Job): </w:t>
      </w:r>
      <w:r>
        <w:t>Senior Full Stack Engineer</w:t>
      </w:r>
    </w:p>
    <w:p>
      <w:r>
        <w:rPr>
          <w:b/>
        </w:rPr>
        <w:t xml:space="preserve">Processed On: </w:t>
      </w:r>
      <w:r>
        <w:t>2026-03-20</w:t>
      </w:r>
    </w:p>
    <w:p>
      <w:pPr>
        <w:pStyle w:val="Heading1"/>
      </w:pPr>
      <w:r>
        <w:rPr>
          <w:color w:val="003366"/>
        </w:rPr>
        <w:t>RESULT SUMMARY</w:t>
      </w:r>
    </w:p>
    <w:p>
      <w:r>
        <w:rPr>
          <w:b/>
        </w:rPr>
        <w:t xml:space="preserve">Overall Match Score: </w:t>
      </w:r>
      <w:r>
        <w:t>5.0 / 10.0</w:t>
      </w:r>
    </w:p>
    <w:p>
      <w:r>
        <w:rPr>
          <w:b/>
        </w:rPr>
        <w:t xml:space="preserve">Confidence: </w:t>
      </w:r>
      <w:r>
        <w:t>80%</w:t>
      </w:r>
    </w:p>
    <w:p>
      <w:r>
        <w:rPr>
          <w:b/>
        </w:rPr>
        <w:t xml:space="preserve">Recommendation: </w:t>
      </w:r>
      <w:r>
        <w:rPr>
          <w:b/>
        </w:rPr>
        <w:t>NO</w:t>
      </w:r>
    </w:p>
    <w:p>
      <w:r>
        <w:rPr>
          <w:b/>
        </w:rPr>
        <w:t xml:space="preserve">Bias Risk Level: </w:t>
      </w:r>
      <w:r>
        <w:t>LOW</w:t>
      </w:r>
    </w:p>
    <w:p>
      <w:r>
        <w:rPr>
          <w:b/>
        </w:rPr>
        <w:t>Multi-agent consensus:</w:t>
      </w:r>
    </w:p>
    <w:p>
      <w:r>
        <w:rPr>
          <w:b/>
        </w:rPr>
        <w:t xml:space="preserve">SkillMatcher: </w:t>
      </w:r>
      <w:r>
        <w:t>The candidate demonstrates solid front‑end expertise with React, Next.js, TypeScript, and UI design, but the role demands extensive back‑end and cloud competencies (Python, FastAPI, PostgreSQL, Docker, AWS) that are not evidenced. No preferred skills such as ML, Kubernetes, or system design are present. Consequently, the technical alignment is weak, reflected in a low score.</w:t>
      </w:r>
    </w:p>
    <w:p>
      <w:r>
        <w:rPr>
          <w:b/>
        </w:rPr>
        <w:t xml:space="preserve">ExperienceEvaluator: </w:t>
      </w:r>
      <w:r>
        <w:t xml:space="preserve">1. **Trajectory &gt; Duration** – In just over five years the candidate has moved from a standard front‑end implementation role to owning a core product migration, a level of impact that many engineers achieve after 8‑10 years. This hyper‑growth signals high potential.  </w:t>
        <w:br/>
        <w:t xml:space="preserve">2. **Role Relevance** – The current senior front‑end role emphasizes performance, modern React ecosystems, and component reuse – all directly aligned with the candidate’s highlighted achievements.  </w:t>
        <w:br/>
        <w:t xml:space="preserve">3. **Scoping** – The migration project likely involved cross‑team coordination (backend APIs, DevOps, QA) and a sizable code‑base, indicating ownership of a multi‑month, high‑visibility initiative. However, there is no explicit mention of team size, budget, or mentorship, which limits the seniority signal.  </w:t>
        <w:br/>
        <w:t>4. **Foundational Excellence** – A CS degree provides a solid theoretical base</w:t>
      </w:r>
    </w:p>
    <w:p>
      <w:r>
        <w:rPr>
          <w:b/>
        </w:rPr>
        <w:t xml:space="preserve">the practical execution with TypeScript, Tailwind, and Next.js shows strong modern front‑end craftsmanship.  </w:t>
        <w:br/>
        <w:t xml:space="preserve">5. **Narrative** – The candidate’s story is coherent: </w:t>
      </w:r>
      <w:r>
        <w:t>they identified a performance problem, proposed a modern solution, and delivered measurable results, illustrating a clear “why” behind their rapid responsibility increase.</w:t>
      </w:r>
    </w:p>
    <w:p>
      <w:r>
        <w:rPr>
          <w:b/>
        </w:rPr>
        <w:t xml:space="preserve">CultureFit: </w:t>
      </w:r>
      <w:r>
        <w:t>The candidate’s headline achievement—leading a migration of a legacy application to Next.js and delivering a 40% improvement in page‑load performance—signals strong initiative, problem‑solving ability, and the confidence to own a high‑visibility technical transformation. Such a migration typically requires coordinating with backend engineers, QA, product owners, and possibly UI/UX designers, which infers solid collaboration and communication competencies even though explicit stakeholder‑management anecdotes are absent. Building reusable UI components with TypeScript and Tailwind CSS further demonstrates a mindset toward maintainability and knowledge‑sharing, traits that often surface in code reviews and team‑wide component libraries. The focus on accessibility hints at an empathy for end‑users and an alignment with inclusive design values, a cultural plus for a company that prizes responsible AI and user‑centric products. While no formal mentorship, community involvement, or awards are listed, the candidate’s self‑described passion for beautiful, accessible UIs and the technical depth shown in the migration project suggest a natural propensity to mentor junior developers on best‑practice UI development. Overall, the evidence points to a proactive, adaptable engineer who can influence team practices, though the lack of explicit full‑stack or cross‑domain leadership examples tempers the leadership rating.</w:t>
      </w:r>
    </w:p>
    <w:p/>
    <w:p>
      <w:pPr>
        <w:pStyle w:val="Heading1"/>
      </w:pPr>
      <w:r>
        <w:rPr>
          <w:color w:val="003366"/>
        </w:rPr>
        <w:t>Detailed Agent Scores</w:t>
      </w:r>
    </w:p>
    <w:p>
      <w:pPr>
        <w:pStyle w:val="Heading2"/>
      </w:pPr>
      <w:r>
        <w:rPr>
          <w:color w:val="003366"/>
        </w:rPr>
        <w:t>SkillMatcher (Score: 2.0/10)</w:t>
      </w:r>
    </w:p>
    <w:p>
      <w:r>
        <w:t>Reasoning: The candidate demonstrates solid front‑end expertise with React, Next.js, TypeScript, and UI design, but the role demands extensive back‑end and cloud competencies (Python, FastAPI, PostgreSQL, Docker, AWS) that are not evidenced. No preferred skills such as ML, Kubernetes, or system design are present. Consequently, the technical alignment is weak, reflected in a low score.</w:t>
      </w:r>
    </w:p>
    <w:p>
      <w:r>
        <w:t>Key Factors:</w:t>
        <w:br/>
      </w:r>
      <w:r>
        <w:t>• TypeScript</w:t>
        <w:br/>
      </w:r>
      <w:r>
        <w:t>• React</w:t>
        <w:br/>
      </w:r>
    </w:p>
    <w:p>
      <w:pPr>
        <w:pStyle w:val="Heading2"/>
      </w:pPr>
      <w:r>
        <w:rPr>
          <w:color w:val="003366"/>
        </w:rPr>
        <w:t>ExperienceEvaluator (Score: 6.5/10)</w:t>
      </w:r>
    </w:p>
    <w:p>
      <w:r>
        <w:t xml:space="preserve">Reasoning: 1. **Trajectory &gt; Duration** – In just over five years the candidate has moved from a standard front‑end implementation role to owning a core product migration, a level of impact that many engineers achieve after 8‑10 years. This hyper‑growth signals high potential.  </w:t>
        <w:br/>
        <w:t xml:space="preserve">2. **Role Relevance** – The current senior front‑end role emphasizes performance, modern React ecosystems, and component reuse – all directly aligned with the candidate’s highlighted achievements.  </w:t>
        <w:br/>
        <w:t xml:space="preserve">3. **Scoping** – The migration project likely involved cross‑team coordination (backend APIs, DevOps, QA) and a sizable code‑base, indicating ownership of a multi‑month, high‑visibility initiative. However, there is no explicit mention of team size, budget, or mentorship, which limits the seniority signal.  </w:t>
        <w:br/>
        <w:t xml:space="preserve">4. **Foundational Excellence** – A CS degree provides a solid theoretical base; the practical execution with TypeScript, Tailwind, and Next.js shows strong modern front‑end craftsmanship.  </w:t>
        <w:br/>
        <w:t>5. **Narrative** – The candidate’s story is coherent: they identified a performance problem, proposed a modern solution, and delivered measurable results, illustrating a clear “why” behind their rapid responsibility increase.</w:t>
      </w:r>
    </w:p>
    <w:p>
      <w:r>
        <w:t>Key Factors:</w:t>
        <w:br/>
      </w:r>
      <w:r>
        <w:t>• The candidate joined Creative Web as a Frontend Engineer in early 2021 and, within a relatively short window, assumed ownership of a high‑impact migration project. By leading the move from a legacy stack to Next.js and delivering a 40% improvement in page‑load performance, they demonstrated the ability to identify bottlenecks, design a modern architecture, and execute end‑to‑end. The concurrent effort of building a reusable component library in TypeScript and Tailwind shows a shift from task‑level execution to reusable, scalable code‑base stewardship. While the résumé reflects a single employer, the depth of responsibility taken on suggests a rapid internal promotion trajectory, moving from a contributor role to a de‑facto technical lead on the front‑end product line.</w:t>
        <w:br/>
      </w:r>
    </w:p>
    <w:p>
      <w:pPr>
        <w:pStyle w:val="Heading2"/>
      </w:pPr>
      <w:r>
        <w:rPr>
          <w:color w:val="003366"/>
        </w:rPr>
        <w:t>CultureFit (Score: 7.0/10)</w:t>
      </w:r>
    </w:p>
    <w:p>
      <w:r>
        <w:t>Reasoning: The candidate’s headline achievement—leading a migration of a legacy application to Next.js and delivering a 40% improvement in page‑load performance—signals strong initiative, problem‑solving ability, and the confidence to own a high‑visibility technical transformation. Such a migration typically requires coordinating with backend engineers, QA, product owners, and possibly UI/UX designers, which infers solid collaboration and communication competencies even though explicit stakeholder‑management anecdotes are absent. Building reusable UI components with TypeScript and Tailwind CSS further demonstrates a mindset toward maintainability and knowledge‑sharing, traits that often surface in code reviews and team‑wide component libraries. The focus on accessibility hints at an empathy for end‑users and an alignment with inclusive design values, a cultural plus for a company that prizes responsible AI and user‑centric products. While no formal mentorship, community involvement, or awards are listed, the candidate’s self‑described passion for beautiful, accessible UIs and the technical depth shown in the migration project suggest a natural propensity to mentor junior developers on best‑practice UI development. Overall, the evidence points to a proactive, adaptable engineer who can influence team practices, though the lack of explicit full‑stack or cross‑domain leadership examples tempers the leadership rating.</w:t>
      </w:r>
    </w:p>
    <w:p>
      <w:r>
        <w:t>Key Factors:</w:t>
        <w:br/>
      </w:r>
      <w:r>
        <w:t>• Communication: 7/10</w:t>
        <w:br/>
      </w:r>
      <w:r>
        <w:t>• Collaboration: 8/10</w:t>
        <w:br/>
      </w:r>
      <w:r>
        <w:t>• Leadership: 7/10</w:t>
        <w:br/>
      </w:r>
    </w:p>
    <w:p>
      <w:pPr>
        <w:pStyle w:val="Heading1"/>
      </w:pPr>
      <w:r>
        <w:rPr>
          <w:color w:val="003366"/>
        </w:rPr>
        <w:t>Bias Analysis &amp; Fairness Check</w:t>
      </w:r>
    </w:p>
    <w:p>
      <w:r>
        <w:t>Assessment: Found 2 potential bias indicators at LOW risk level.</w:t>
      </w:r>
    </w:p>
    <w:p>
      <w:r>
        <w:rPr>
          <w:b/>
        </w:rPr>
        <w:t xml:space="preserve">Detailed Reasoning: </w:t>
      </w:r>
      <w:r>
        <w:t>Our system performed several automated fairness checks to ensure the evaluation remains focused solely on professional merit. We found no indicators that the candidate's name, geographic location, or familial status influenced the scoring. We reviewed the graduation date (2021) as a proxy for age and confirmed that no age-based bias was applied to the final score. | Overall, the evaluation looks fairly balanced, but the tiny technical score sticks out like a sore thumb compared to the solid experience and culture ratings. That gap might lead a hiring manager to focus too much on the low number and overlook the candidate’s proven track record and cultural contributions. A quick check to make sure the technical score truly reflects the candidate’s skills—and not just a single data point—will help keep the decision fair and avoid any hidden bias.</w:t>
      </w:r>
    </w:p>
    <w:p>
      <w:r>
        <w:t>Process Recommendations:</w:t>
      </w:r>
    </w:p>
    <w:p>
      <w:pPr>
        <w:pStyle w:val="ListBullet"/>
      </w:pPr>
      <w:r>
        <w:t>Ensure blind review of candidates where possible</w:t>
      </w:r>
    </w:p>
    <w:p>
      <w:pPr>
        <w:pStyle w:val="ListBullet"/>
      </w:pPr>
      <w:r>
        <w:t>Use structured interviews with standardized questions</w:t>
      </w:r>
    </w:p>
    <w:p>
      <w:pPr>
        <w:pStyle w:val="ListBullet"/>
      </w:pPr>
      <w:r>
        <w:t>Have diverse hiring panel to reduce individual bias</w:t>
      </w:r>
    </w:p>
    <w:p>
      <w:pPr>
        <w:pStyle w:val="ListBullet"/>
      </w:pPr>
      <w:r>
        <w:t>Document decision rationale for legal compliance</w:t>
      </w:r>
    </w:p>
    <w:p>
      <w:pPr>
        <w:pStyle w:val="ListBullet"/>
      </w:pPr>
      <w:r>
        <w:t>Use a weighted rubric that balances technical skill, experience, and cultural fit, or require a reviewer comment that explicitly addresses the disparity before making a final decision.</w:t>
      </w:r>
    </w:p>
    <w:p>
      <w:pPr>
        <w:pStyle w:val="ListBullet"/>
      </w:pPr>
      <w:r>
        <w:t>Run a quick audit of the scoring algorithm or have a second reviewer double‑check the SkillMatcher assessment to ensure it reflects the candidate’s actual front‑end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