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40"/>
        <w:jc w:val="center"/>
      </w:pPr>
      <w:r>
        <w:rPr>
          <w:rFonts w:ascii="Arial" w:cs="Arial" w:eastAsia="Arial" w:hAnsi="Arial"/>
          <w:b/>
          <w:bCs/>
          <w:color w:val="1F3864"/>
          <w:sz w:val="40"/>
          <w:szCs w:val="40"/>
        </w:rPr>
        <w:t xml:space="preserve">AGT SMART MOBILITY PLATFORM</w:t>
      </w:r>
    </w:p>
    <w:p>
      <w:pPr>
        <w:spacing w:after="80" w:before="80"/>
        <w:jc w:val="center"/>
      </w:pPr>
      <w:r>
        <w:rPr>
          <w:rFonts w:ascii="Arial" w:cs="Arial" w:eastAsia="Arial" w:hAnsi="Arial"/>
          <w:b w:val="false"/>
          <w:bCs w:val="false"/>
          <w:color w:val="2E5B9A"/>
          <w:sz w:val="32"/>
          <w:szCs w:val="32"/>
        </w:rPr>
        <w:t xml:space="preserve">Gap Analysis Report</w:t>
      </w:r>
    </w:p>
    <w:p>
      <w:pPr>
        <w:pBdr>
          <w:bottom w:val="single" w:color="2E5B9A" w:sz="4" w:space="4"/>
        </w:pBdr>
        <w:spacing w:after="120" w:before="120"/>
      </w:pPr>
      <w:r>
        <w:t xml:space="preserve"/>
      </w:r>
    </w:p>
    <w:p>
      <w:pPr>
        <w:spacing w:after="80" w:before="160"/>
        <w:jc w:val="center"/>
      </w:pPr>
      <w:r>
        <w:rPr>
          <w:rFonts w:ascii="Arial" w:cs="Arial" w:eastAsia="Arial" w:hAnsi="Arial"/>
          <w:i/>
          <w:iCs/>
          <w:color w:val="374151"/>
          <w:sz w:val="22"/>
          <w:szCs w:val="22"/>
        </w:rPr>
        <w:t xml:space="preserve">SOW V2 (AGT Mobility Mobile App) vs. Smart Mobility Platform Analysis</w:t>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Prepared For</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18"/>
                <w:szCs w:val="18"/>
              </w:rPr>
              <w:t xml:space="preserve">Alex Thomas</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Document Date</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18"/>
                <w:szCs w:val="18"/>
              </w:rPr>
              <w:t xml:space="preserve">April 13, 2026</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Source Document 1</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18"/>
                <w:szCs w:val="18"/>
              </w:rPr>
              <w:t xml:space="preserve">AGT Mobility Mobile App &amp;#x2013; SOW V2 (Sep 17, 2025, v1.1)</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Source Document 2</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18"/>
                <w:szCs w:val="18"/>
              </w:rPr>
              <w:t xml:space="preserve">Smart Mobility Platform Analysis &amp;#x2013; Feature Roadmap (Apr 13, 2026)</w:t>
            </w:r>
          </w:p>
        </w:tc>
      </w:tr>
      <w:tr>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Classification</w:t>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9B1C1C"/>
                <w:sz w:val="18"/>
                <w:szCs w:val="18"/>
              </w:rPr>
              <w:t xml:space="preserve">Confidential &amp;#x2013; Internal Use Only</w:t>
            </w:r>
          </w:p>
        </w:tc>
      </w:tr>
    </w:tbl>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3864"/>
          <w:sz w:val="28"/>
          <w:szCs w:val="28"/>
        </w:rPr>
        <w:t xml:space="preserve">1. Executive Summary</w:t>
      </w:r>
    </w:p>
    <w:p>
      <w:pPr>
        <w:pBdr>
          <w:bottom w:val="single" w:color="2E5B9A" w:sz="4" w:space="4"/>
        </w:pBdr>
        <w:spacing w:after="120" w:before="120"/>
      </w:pPr>
      <w:r>
        <w:t xml:space="preserve"/>
      </w:r>
    </w:p>
    <w:p>
      <w:pPr>
        <w:spacing w:after="80" w:before="80"/>
      </w:pPr>
      <w:r>
        <w:rPr>
          <w:rFonts w:ascii="Arial" w:cs="Arial" w:eastAsia="Arial" w:hAnsi="Arial"/>
          <w:color w:val="374151"/>
          <w:sz w:val="20"/>
          <w:szCs w:val="20"/>
        </w:rPr>
        <w:t xml:space="preserve">This report identifies the functional and strategic gaps between two key documents that define the AGT Smart Mobility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Document A &amp;#x2013; SOW V2 (Customer Platform)</w:t>
            </w:r>
          </w:p>
        </w:tc>
        <w:tc>
          <w:tcPr>
            <w:tcW w:type="dxa" w:w="4680"/>
            <w:tcBorders>
              <w:top w:val="single" w:color="CCCCCC" w:sz="1"/>
              <w:left w:val="single" w:color="CCCCCC" w:sz="1"/>
              <w:bottom w:val="single" w:color="CCCCCC" w:sz="1"/>
              <w:right w:val="single" w:color="CCCCCC" w:sz="1"/>
            </w:tcBorders>
            <w:shd w:fill="2E5B9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Document B &amp;#x2013; Platform Analysis (Internal Ops)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74151"/>
                <w:sz w:val="18"/>
                <w:szCs w:val="18"/>
              </w:rPr>
              <w:t xml:space="preserve">Customer-facing mobile &amp; web application for AGT&amp;#x2019;s booking services. Defines what the END CUSTOMER experiences.</w:t>
            </w:r>
          </w:p>
        </w:tc>
        <w:tc>
          <w:tcPr>
            <w:tcW w:type="dxa" w:w="468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color w:val="374151"/>
                <w:sz w:val="18"/>
                <w:szCs w:val="18"/>
              </w:rPr>
              <w:t xml:space="preserve">Internal operations &amp; fleet management system. Defines what the AGT OPS TEAM manages on a day-to-day basis.</w:t>
            </w:r>
          </w:p>
        </w:tc>
      </w:tr>
    </w:tbl>
    <w:p>
      <w:pPr>
        <w:spacing w:after="80" w:before="80"/>
      </w:pPr>
      <w:r>
        <w:t xml:space="preserve"/>
      </w:r>
    </w:p>
    <w:p>
      <w:pPr>
        <w:spacing w:after="80" w:before="80"/>
      </w:pPr>
      <w:r>
        <w:rPr>
          <w:rFonts w:ascii="Arial" w:cs="Arial" w:eastAsia="Arial" w:hAnsi="Arial"/>
          <w:color w:val="374151"/>
          <w:sz w:val="20"/>
          <w:szCs w:val="20"/>
        </w:rPr>
        <w:t xml:space="preserve">While the two documents address different perspectives of the same platform, significant gaps exist in both directions. The SOW V2 defines customer-facing capabilities that are absent from the existing technical implementation, and the Platform Analysis describes operational modules not covered in the SOW. Bridging these gaps is critical to delivering a unified, enterprise-grade Smart Mobility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120"/>
              <w:left w:type="dxa" w:w="120"/>
              <w:bottom w:type="dxa" w:w="120"/>
              <w:right w:type="dxa" w:w="120"/>
            </w:tcMar>
          </w:tcPr>
          <w:p>
            <w:pPr>
              <w:jc w:val="center"/>
            </w:pPr>
            <w:r>
              <w:rPr>
                <w:rFonts w:ascii="Arial" w:cs="Arial" w:eastAsia="Arial" w:hAnsi="Arial"/>
                <w:b/>
                <w:bCs/>
                <w:color w:val="9B1C1C"/>
                <w:sz w:val="48"/>
                <w:szCs w:val="48"/>
              </w:rPr>
              <w:t xml:space="preserve">15</w:t>
            </w:r>
          </w:p>
          <w:p>
            <w:pPr>
              <w:jc w:val="center"/>
            </w:pPr>
            <w:r>
              <w:rPr>
                <w:rFonts w:ascii="Arial" w:cs="Arial" w:eastAsia="Arial" w:hAnsi="Arial"/>
                <w:color w:val="9B1C1C"/>
                <w:sz w:val="16"/>
                <w:szCs w:val="16"/>
              </w:rPr>
              <w:t xml:space="preserve">Critical Gaps in Platform vs SOW</w:t>
            </w:r>
          </w:p>
        </w:tc>
        <w:tc>
          <w:tcPr>
            <w:tcW w:type="dxa" w:w="2340"/>
            <w:tcBorders>
              <w:top w:val="single" w:color="CCCCCC" w:sz="1"/>
              <w:left w:val="single" w:color="CCCCCC" w:sz="1"/>
              <w:bottom w:val="single" w:color="CCCCCC" w:sz="1"/>
              <w:right w:val="single" w:color="CCCCCC" w:sz="1"/>
            </w:tcBorders>
            <w:shd w:fill="FEF3C7" w:val="clear"/>
            <w:tcMar>
              <w:top w:type="dxa" w:w="120"/>
              <w:left w:type="dxa" w:w="120"/>
              <w:bottom w:type="dxa" w:w="120"/>
              <w:right w:type="dxa" w:w="120"/>
            </w:tcMar>
          </w:tcPr>
          <w:p>
            <w:pPr>
              <w:jc w:val="center"/>
            </w:pPr>
            <w:r>
              <w:rPr>
                <w:rFonts w:ascii="Arial" w:cs="Arial" w:eastAsia="Arial" w:hAnsi="Arial"/>
                <w:b/>
                <w:bCs/>
                <w:color w:val="B45309"/>
                <w:sz w:val="48"/>
                <w:szCs w:val="48"/>
              </w:rPr>
              <w:t xml:space="preserve">11</w:t>
            </w:r>
          </w:p>
          <w:p>
            <w:pPr>
              <w:jc w:val="center"/>
            </w:pPr>
            <w:r>
              <w:rPr>
                <w:rFonts w:ascii="Arial" w:cs="Arial" w:eastAsia="Arial" w:hAnsi="Arial"/>
                <w:color w:val="B45309"/>
                <w:sz w:val="16"/>
                <w:szCs w:val="16"/>
              </w:rPr>
              <w:t xml:space="preserve">Operational Modules Not in SOW</w:t>
            </w:r>
          </w:p>
        </w:tc>
        <w:tc>
          <w:tcPr>
            <w:tcW w:type="dxa" w:w="2340"/>
            <w:tcBorders>
              <w:top w:val="single" w:color="CCCCCC" w:sz="1"/>
              <w:left w:val="single" w:color="CCCCCC" w:sz="1"/>
              <w:bottom w:val="single" w:color="CCCCCC" w:sz="1"/>
              <w:right w:val="single" w:color="CCCCCC" w:sz="1"/>
            </w:tcBorders>
            <w:shd w:fill="D5E8D4" w:val="clear"/>
            <w:tcMar>
              <w:top w:type="dxa" w:w="120"/>
              <w:left w:type="dxa" w:w="120"/>
              <w:bottom w:type="dxa" w:w="120"/>
              <w:right w:type="dxa" w:w="120"/>
            </w:tcMar>
          </w:tcPr>
          <w:p>
            <w:pPr>
              <w:jc w:val="center"/>
            </w:pPr>
            <w:r>
              <w:rPr>
                <w:rFonts w:ascii="Arial" w:cs="Arial" w:eastAsia="Arial" w:hAnsi="Arial"/>
                <w:b/>
                <w:bCs/>
                <w:color w:val="1E7145"/>
                <w:sz w:val="48"/>
                <w:szCs w:val="48"/>
              </w:rPr>
              <w:t xml:space="preserve">7</w:t>
            </w:r>
          </w:p>
          <w:p>
            <w:pPr>
              <w:jc w:val="center"/>
            </w:pPr>
            <w:r>
              <w:rPr>
                <w:rFonts w:ascii="Arial" w:cs="Arial" w:eastAsia="Arial" w:hAnsi="Arial"/>
                <w:color w:val="1E7145"/>
                <w:sz w:val="16"/>
                <w:szCs w:val="16"/>
              </w:rPr>
              <w:t xml:space="preserve">Modules Present in Both Docs</w:t>
            </w:r>
          </w:p>
        </w:tc>
        <w:tc>
          <w:tcPr>
            <w:tcW w:type="dxa" w:w="234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pPr>
              <w:jc w:val="center"/>
            </w:pPr>
            <w:r>
              <w:rPr>
                <w:rFonts w:ascii="Arial" w:cs="Arial" w:eastAsia="Arial" w:hAnsi="Arial"/>
                <w:b/>
                <w:bCs/>
                <w:color w:val="2E5B9A"/>
                <w:sz w:val="48"/>
                <w:szCs w:val="48"/>
              </w:rPr>
              <w:t xml:space="preserve">5</w:t>
            </w:r>
          </w:p>
          <w:p>
            <w:pPr>
              <w:jc w:val="center"/>
            </w:pPr>
            <w:r>
              <w:rPr>
                <w:rFonts w:ascii="Arial" w:cs="Arial" w:eastAsia="Arial" w:hAnsi="Arial"/>
                <w:color w:val="2E5B9A"/>
                <w:sz w:val="16"/>
                <w:szCs w:val="16"/>
              </w:rPr>
              <w:t xml:space="preserve">Compliance &amp; Regulatory Gaps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2. Document Overview &amp; Scope Comparison</w:t>
      </w:r>
    </w:p>
    <w:p>
      <w:pPr>
        <w:pBdr>
          <w:bottom w:val="single" w:color="2E5B9A" w:sz="4" w:space="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Dimension</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SOW V2 &amp;#x2013; AGT Mobility App</w:t>
            </w:r>
          </w:p>
        </w:tc>
        <w:tc>
          <w:tcPr>
            <w:tcW w:type="dxa" w:w="3580"/>
            <w:tcBorders>
              <w:top w:val="single" w:color="CCCCCC" w:sz="1"/>
              <w:left w:val="single" w:color="CCCCCC" w:sz="1"/>
              <w:bottom w:val="single" w:color="CCCCCC" w:sz="1"/>
              <w:right w:val="single" w:color="CCCCCC" w:sz="1"/>
            </w:tcBorders>
            <w:shd w:fill="2E5B9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Smart Mobility Platform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Primary Focus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Customer-facing booking &amp; service portal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Internal fleet ops &amp; maintenance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Target Users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Corporate clients, end customers, admins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Drivers, Ops team, Maintenance, Fleet Mgr,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Technology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Mobile-first app + responsive web (stack TBD)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Next.js 15 + Go Backend + PostgreSQL + Prisma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Document Type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RFP / Statement of Work (requirements spec)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Feature analysis &amp; gap identification roadmap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September 17, 2025 (v1.1)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April 13,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Services Covered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Limousine, Corporate Rental, Vehicle Leasing, Maintenance &amp; Recovery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Maintenance, Fleet, Driver, Leasing, Rent-a-Car, Bus Ops, Finance, BI</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3. Module Alignment Matrix</w:t>
      </w:r>
    </w:p>
    <w:p>
      <w:pPr>
        <w:pBdr>
          <w:bottom w:val="single" w:color="2E5B9A" w:sz="4" w:space="4"/>
        </w:pBdr>
        <w:spacing w:after="120" w:before="120"/>
      </w:pPr>
      <w:r>
        <w:t xml:space="preserve"/>
      </w:r>
    </w:p>
    <w:p>
      <w:pPr>
        <w:spacing w:after="80" w:before="80"/>
      </w:pPr>
      <w:r>
        <w:rPr>
          <w:rFonts w:ascii="Arial" w:cs="Arial" w:eastAsia="Arial" w:hAnsi="Arial"/>
          <w:color w:val="374151"/>
          <w:sz w:val="20"/>
          <w:szCs w:val="20"/>
        </w:rPr>
        <w:t xml:space="preserve">The table below maps all functional areas across both documents and highlights their coverage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312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Functional Area / Module</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SOW V2</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Platform Analysis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Customer Mobile App (Booking)</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Booking app is required by SOW but not implemented in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Limousine Booking Service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Limousine service not mentioned in platform; only rent-a-car covered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Vehicle Leasing (Customer Portal)</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requires customer-facing leasing portal; platform has backend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Corporate Rental Service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Rent-a-Car is in roadmap; corporate-specific contract rates not defined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Maintenance &amp; Recovery Requests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Internal workflow complete; customer-facing request portal not built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Promotions &amp; Campaign Management</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Entirely absent from platform; no discount, loyalty, or campaign module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Eco Driving Score &amp; CO₂ Tracking</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Sustainability module not present; required for UAE Net Zero alignment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Sustainability Reports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No CO₂ emission reporting capability in current platform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Corporate Onboarding &amp; Registration</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defines full onboarding (Trade License, VAT cert, etc.); not in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Role-Based Access Control (RBAC)</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31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RBAC is complete; SOW roles (Corporate, Admin) map well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Multi-Factor Authentication (MFA)</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mandates MFA; no MFA mentioned in platform architecture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ERP Integration (Two-Way Sync)</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mentions ERP hooks in Finance; full two-way sync not implemented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Payment Gateway (PCI-DSS)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Finance module notes payment gateway as missing; SOW requires PCI-DSS compliance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ITC Abu Dhabi / RTA Dubai Push</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has compliance tracking; SOW requires active booking data push to regulators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Dynamic Pricing Engine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Rent-a-Car pricing rules defined; limousine contract rates &amp; leasing dynamic pricing missing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Vehicle Maintenance Management</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MENTIONED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31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has enterprise-grade workflow; SOW references it as a customer request feature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Staff Transportation / Bus Operations</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IN SOW</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Defined in platform analysis roadmap; entirely absent from SOW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Driver Management (Enhanced)</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IN SOW</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has basic driver data; enhanced module in roadmap; not in SOW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Driver Mobile App</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IN SOW</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ROADMAP</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Driver app mentioned in platform roadmap only; SOW focuses on customer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Finance &amp; Billing Module</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mentions payment integration; platform has invoice stub only; full finance module not built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UAE PDPL Data Privacy Compliance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mandates UAE PDPL (Fed. Decree-Law No. 45/2021); no mention in platform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Compliance &amp; Regulatory Module</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roadmap includes RTA, Salik, insurance; SOW requires active regulatory data push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AI Route Planning &amp; Itinerary</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has AI chat (Thesys C1 + OpenAI); route planning &amp; itinerary generation not built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Predictive Maintenance AI</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MENTIONED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31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374151"/>
                <w:sz w:val="18"/>
                <w:szCs w:val="18"/>
              </w:rPr>
              <w:t xml:space="preserve">Predictive engine is built in platform; SOW mentions it briefly under AI module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Analytics &amp; Reporting / BI</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Both docs mention analytics; full cross-module BI reporting not complete in either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Fuel Management Module</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IN SOW</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analysis includes fuel logs &amp; cards in roadmap; not part of SOW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Traffic Fine Management</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IN SOW</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roadmap includes fines; SOW does not address this operational need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Interactive Maps &amp; GPS Tracking</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requires interactive maps; Platform has GPS hooks in rental only; no unified map layer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Rate Card &amp; Value-Added Services</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SOW requires rate card integration and add-on services (insurance, delivery); absent from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Notification System</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31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notification engine is complete with email &amp; WhatsApp; can be extended for SOW events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4. Critical Gaps &amp;#x2013; SOW Requirements Missing from Platform</w:t>
      </w:r>
    </w:p>
    <w:p>
      <w:pPr>
        <w:pBdr>
          <w:bottom w:val="single" w:color="2E5B9A" w:sz="4" w:space="4"/>
        </w:pBdr>
        <w:spacing w:after="120" w:before="120"/>
      </w:pPr>
      <w:r>
        <w:t xml:space="preserve"/>
      </w:r>
    </w:p>
    <w:p>
      <w:pPr>
        <w:spacing w:after="80" w:before="80"/>
      </w:pPr>
      <w:r>
        <w:rPr>
          <w:rFonts w:ascii="Arial" w:cs="Arial" w:eastAsia="Arial" w:hAnsi="Arial"/>
          <w:color w:val="374151"/>
          <w:sz w:val="20"/>
          <w:szCs w:val="20"/>
        </w:rPr>
        <w:t xml:space="preserve">The following 15 items are explicitly required by the SOW but are either absent or insufficient in the existing Smart Mobility Platform implementation. These represent the highest-priority items for bridging the two projects.</w:t>
      </w:r>
    </w:p>
    <w:p>
      <w:pPr>
        <w:spacing w:after="80" w:before="80"/>
      </w:pPr>
      <w:r>
        <w:t xml:space="preserve"/>
      </w:r>
    </w:p>
    <w:p>
      <w:pPr>
        <w:spacing w:after="80" w:before="200"/>
      </w:pPr>
      <w:r>
        <w:rPr>
          <w:rFonts w:ascii="Arial" w:cs="Arial" w:eastAsia="Arial" w:hAnsi="Arial"/>
          <w:b/>
          <w:bCs/>
          <w:color w:val="9B1C1C"/>
          <w:sz w:val="22"/>
          <w:szCs w:val="22"/>
        </w:rPr>
        <w:t xml:space="preserve">GAP 1: Customer-Facing Mobile Application</w:t>
      </w:r>
    </w:p>
    <w:p>
      <w:pPr>
        <w:spacing w:after="80" w:before="80"/>
      </w:pPr>
      <w:r>
        <w:rPr>
          <w:rFonts w:ascii="Arial" w:cs="Arial" w:eastAsia="Arial" w:hAnsi="Arial"/>
          <w:color w:val="374151"/>
          <w:sz w:val="20"/>
          <w:szCs w:val="20"/>
        </w:rPr>
        <w:t xml:space="preserve">The SOW defines a mobile-first booking app as the core deliverable. The Platform Analysis acknowledges a BookingForm.tsx stub with no backend wiring. This gap is the most fundamental &amp;#x2013; without a functional customer app, none of the SOW deliverables can be achieved.</w:t>
      </w:r>
    </w:p>
    <w:p>
      <w:pPr>
        <w:pStyle w:val="ListParagraph"/>
        <w:numPr>
          <w:ilvl w:val="0"/>
          <w:numId w:val="2"/>
        </w:numPr>
        <w:spacing w:after="40" w:before="40"/>
      </w:pPr>
      <w:r>
        <w:rPr>
          <w:rFonts w:ascii="Arial" w:cs="Arial" w:eastAsia="Arial" w:hAnsi="Arial"/>
          <w:b w:val="false"/>
          <w:bCs w:val="false"/>
          <w:color w:val="374151"/>
          <w:sz w:val="20"/>
          <w:szCs w:val="20"/>
        </w:rPr>
        <w:t xml:space="preserve">No customer-facing booking interface exists</w:t>
      </w:r>
    </w:p>
    <w:p>
      <w:pPr>
        <w:pStyle w:val="ListParagraph"/>
        <w:numPr>
          <w:ilvl w:val="0"/>
          <w:numId w:val="2"/>
        </w:numPr>
        <w:spacing w:after="40" w:before="40"/>
      </w:pPr>
      <w:r>
        <w:rPr>
          <w:rFonts w:ascii="Arial" w:cs="Arial" w:eastAsia="Arial" w:hAnsi="Arial"/>
          <w:b w:val="false"/>
          <w:bCs w:val="false"/>
          <w:color w:val="374151"/>
          <w:sz w:val="20"/>
          <w:szCs w:val="20"/>
        </w:rPr>
        <w:t xml:space="preserve">BookingForm.tsx is a UI stub with zero backend integration</w:t>
      </w:r>
    </w:p>
    <w:p>
      <w:pPr>
        <w:pStyle w:val="ListParagraph"/>
        <w:numPr>
          <w:ilvl w:val="0"/>
          <w:numId w:val="2"/>
        </w:numPr>
        <w:spacing w:after="40" w:before="40"/>
      </w:pPr>
      <w:r>
        <w:rPr>
          <w:rFonts w:ascii="Arial" w:cs="Arial" w:eastAsia="Arial" w:hAnsi="Arial"/>
          <w:b w:val="false"/>
          <w:bCs w:val="false"/>
          <w:color w:val="374151"/>
          <w:sz w:val="20"/>
          <w:szCs w:val="20"/>
        </w:rPr>
        <w:t xml:space="preserve">No customer login, profile, or booking history screens</w:t>
      </w:r>
    </w:p>
    <w:p>
      <w:pPr>
        <w:pStyle w:val="ListParagraph"/>
        <w:numPr>
          <w:ilvl w:val="0"/>
          <w:numId w:val="2"/>
        </w:numPr>
        <w:spacing w:after="40" w:before="40"/>
      </w:pPr>
      <w:r>
        <w:rPr>
          <w:rFonts w:ascii="Arial" w:cs="Arial" w:eastAsia="Arial" w:hAnsi="Arial"/>
          <w:b w:val="false"/>
          <w:bCs w:val="false"/>
          <w:color w:val="374151"/>
          <w:sz w:val="20"/>
          <w:szCs w:val="20"/>
        </w:rPr>
        <w:t xml:space="preserve">My Bookings dashboard, Eco Driving Score view, and CO₂ tracking are all absent</w:t>
      </w:r>
    </w:p>
    <w:p>
      <w:pPr>
        <w:spacing w:after="80" w:before="80"/>
      </w:pPr>
      <w:r>
        <w:t xml:space="preserve"/>
      </w:r>
    </w:p>
    <w:p>
      <w:pPr>
        <w:spacing w:after="80" w:before="200"/>
      </w:pPr>
      <w:r>
        <w:rPr>
          <w:rFonts w:ascii="Arial" w:cs="Arial" w:eastAsia="Arial" w:hAnsi="Arial"/>
          <w:b/>
          <w:bCs/>
          <w:color w:val="9B1C1C"/>
          <w:sz w:val="22"/>
          <w:szCs w:val="22"/>
        </w:rPr>
        <w:t xml:space="preserve">GAP 2: Limousine Booking Service</w:t>
      </w:r>
    </w:p>
    <w:p>
      <w:pPr>
        <w:spacing w:after="80" w:before="80"/>
      </w:pPr>
      <w:r>
        <w:rPr>
          <w:rFonts w:ascii="Arial" w:cs="Arial" w:eastAsia="Arial" w:hAnsi="Arial"/>
          <w:color w:val="374151"/>
          <w:sz w:val="20"/>
          <w:szCs w:val="20"/>
        </w:rPr>
        <w:t xml:space="preserve">The SOW places limousine booking at the center of AGT’s service offering. The Platform Analysis does not reference limousine services at any point &amp;#x2013; its scope is limited to rent-a-car and leasing. Limousine-specific features including corporate contract rates, hourly/daily pricing by contract, and chauffeur-driven trip management require a dedicated module.</w:t>
      </w:r>
    </w:p>
    <w:p>
      <w:pPr>
        <w:spacing w:after="80" w:before="80"/>
      </w:pPr>
      <w:r>
        <w:t xml:space="preserve"/>
      </w:r>
    </w:p>
    <w:p>
      <w:pPr>
        <w:spacing w:after="80" w:before="200"/>
      </w:pPr>
      <w:r>
        <w:rPr>
          <w:rFonts w:ascii="Arial" w:cs="Arial" w:eastAsia="Arial" w:hAnsi="Arial"/>
          <w:b/>
          <w:bCs/>
          <w:color w:val="9B1C1C"/>
          <w:sz w:val="22"/>
          <w:szCs w:val="22"/>
        </w:rPr>
        <w:t xml:space="preserve">GAP 3: Promotions &amp; Campaign Management Module</w:t>
      </w:r>
    </w:p>
    <w:p>
      <w:pPr>
        <w:spacing w:after="80" w:before="80"/>
      </w:pPr>
      <w:r>
        <w:rPr>
          <w:rFonts w:ascii="Arial" w:cs="Arial" w:eastAsia="Arial" w:hAnsi="Arial"/>
          <w:color w:val="374151"/>
          <w:sz w:val="20"/>
          <w:szCs w:val="20"/>
        </w:rPr>
        <w:t xml:space="preserve">The SOW dedicates an entire module (Module 4) to promotions including discount codes, loyalty rewards, seasonal offers, and a backend campaign portal. This capability is entirely absent from the Platform Analysis. Without this module, AGT cannot run marketing initiatives through the platform.</w:t>
      </w:r>
    </w:p>
    <w:p>
      <w:pPr>
        <w:spacing w:after="80" w:before="80"/>
      </w:pPr>
      <w:r>
        <w:t xml:space="preserve"/>
      </w:r>
    </w:p>
    <w:p>
      <w:pPr>
        <w:spacing w:after="80" w:before="200"/>
      </w:pPr>
      <w:r>
        <w:rPr>
          <w:rFonts w:ascii="Arial" w:cs="Arial" w:eastAsia="Arial" w:hAnsi="Arial"/>
          <w:b/>
          <w:bCs/>
          <w:color w:val="9B1C1C"/>
          <w:sz w:val="22"/>
          <w:szCs w:val="22"/>
        </w:rPr>
        <w:t xml:space="preserve">GAP 4: Eco Driving Score &amp; CO₂ Emissions Tracking</w:t>
      </w:r>
    </w:p>
    <w:p>
      <w:pPr>
        <w:spacing w:after="80" w:before="80"/>
      </w:pPr>
      <w:r>
        <w:rPr>
          <w:rFonts w:ascii="Arial" w:cs="Arial" w:eastAsia="Arial" w:hAnsi="Arial"/>
          <w:color w:val="374151"/>
          <w:sz w:val="20"/>
          <w:szCs w:val="20"/>
        </w:rPr>
        <w:t xml:space="preserve">The SOW explicitly calls for trip-based CO₂ tracking, Eco Driving Scores, and sustainability reporting aligned with the UAE Net Zero initiative. The Platform Analysis contains no reference to sustainability metrics, emissions, or eco scoring. This is a significant compliance and brand differentiation gap.</w:t>
      </w:r>
    </w:p>
    <w:p>
      <w:pPr>
        <w:spacing w:after="80" w:before="80"/>
      </w:pPr>
      <w:r>
        <w:t xml:space="preserve"/>
      </w:r>
    </w:p>
    <w:p>
      <w:pPr>
        <w:spacing w:after="80" w:before="200"/>
      </w:pPr>
      <w:r>
        <w:rPr>
          <w:rFonts w:ascii="Arial" w:cs="Arial" w:eastAsia="Arial" w:hAnsi="Arial"/>
          <w:b/>
          <w:bCs/>
          <w:color w:val="9B1C1C"/>
          <w:sz w:val="22"/>
          <w:szCs w:val="22"/>
        </w:rPr>
        <w:t xml:space="preserve">GAP 5: Corporate Customer Onboarding &amp; Registration Workflow</w:t>
      </w:r>
    </w:p>
    <w:p>
      <w:pPr>
        <w:spacing w:after="80" w:before="80"/>
      </w:pPr>
      <w:r>
        <w:rPr>
          <w:rFonts w:ascii="Arial" w:cs="Arial" w:eastAsia="Arial" w:hAnsi="Arial"/>
          <w:color w:val="374151"/>
          <w:sz w:val="20"/>
          <w:szCs w:val="20"/>
        </w:rPr>
        <w:t xml:space="preserve">The SOW describes a detailed 4-step corporate onboarding process requiring document submission (Trade License, VAT Certificate, Signatory ID, Bank Letter, etc.), verification, account creation, and workflow configuration. The Platform Analysis only manages users at an operational level and has no corporate client onboarding pipeline.</w:t>
      </w:r>
    </w:p>
    <w:p>
      <w:pPr>
        <w:spacing w:after="80" w:before="80"/>
      </w:pPr>
      <w:r>
        <w:t xml:space="preserve"/>
      </w:r>
    </w:p>
    <w:p>
      <w:pPr>
        <w:spacing w:after="80" w:before="200"/>
      </w:pPr>
      <w:r>
        <w:rPr>
          <w:rFonts w:ascii="Arial" w:cs="Arial" w:eastAsia="Arial" w:hAnsi="Arial"/>
          <w:b/>
          <w:bCs/>
          <w:color w:val="9B1C1C"/>
          <w:sz w:val="22"/>
          <w:szCs w:val="22"/>
        </w:rPr>
        <w:t xml:space="preserve">GAP 6: Multi-Factor Authentication (MFA)</w:t>
      </w:r>
    </w:p>
    <w:p>
      <w:pPr>
        <w:spacing w:after="80" w:before="80"/>
      </w:pPr>
      <w:r>
        <w:rPr>
          <w:rFonts w:ascii="Arial" w:cs="Arial" w:eastAsia="Arial" w:hAnsi="Arial"/>
          <w:color w:val="374151"/>
          <w:sz w:val="20"/>
          <w:szCs w:val="20"/>
        </w:rPr>
        <w:t xml:space="preserve">The SOW mandates MFA as a security requirement. The Platform Analysis describes a custom RBAC system but does not reference MFA, OTP, or two-factor authentication anywhere in the architecture.</w:t>
      </w:r>
    </w:p>
    <w:p>
      <w:pPr>
        <w:spacing w:after="80" w:before="80"/>
      </w:pPr>
      <w:r>
        <w:t xml:space="preserve"/>
      </w:r>
    </w:p>
    <w:p>
      <w:pPr>
        <w:spacing w:after="80" w:before="200"/>
      </w:pPr>
      <w:r>
        <w:rPr>
          <w:rFonts w:ascii="Arial" w:cs="Arial" w:eastAsia="Arial" w:hAnsi="Arial"/>
          <w:b/>
          <w:bCs/>
          <w:color w:val="9B1C1C"/>
          <w:sz w:val="22"/>
          <w:szCs w:val="22"/>
        </w:rPr>
        <w:t xml:space="preserve">GAP 7: Payment Gateway Integration (PCI-DSS Compliant)</w:t>
      </w:r>
    </w:p>
    <w:p>
      <w:pPr>
        <w:spacing w:after="80" w:before="80"/>
      </w:pPr>
      <w:r>
        <w:rPr>
          <w:rFonts w:ascii="Arial" w:cs="Arial" w:eastAsia="Arial" w:hAnsi="Arial"/>
          <w:color w:val="374151"/>
          <w:sz w:val="20"/>
          <w:szCs w:val="20"/>
        </w:rPr>
        <w:t xml:space="preserve">The SOW requires a PCI-DSS compliant payment gateway supporting card payments, digital wallets, and tokenization. The Platform Analysis notes payment gateway integration as a MISSING component of the Finance module, confirming this critical gap.</w:t>
      </w:r>
    </w:p>
    <w:p>
      <w:pPr>
        <w:spacing w:after="80" w:before="80"/>
      </w:pPr>
      <w:r>
        <w:t xml:space="preserve"/>
      </w:r>
    </w:p>
    <w:p>
      <w:pPr>
        <w:spacing w:after="80" w:before="200"/>
      </w:pPr>
      <w:r>
        <w:rPr>
          <w:rFonts w:ascii="Arial" w:cs="Arial" w:eastAsia="Arial" w:hAnsi="Arial"/>
          <w:b/>
          <w:bCs/>
          <w:color w:val="9B1C1C"/>
          <w:sz w:val="22"/>
          <w:szCs w:val="22"/>
        </w:rPr>
        <w:t xml:space="preserve">GAP 8: Regulatory Data Push &amp;#x2013; ITC Abu Dhabi / RTA Dubai</w:t>
      </w:r>
    </w:p>
    <w:p>
      <w:pPr>
        <w:spacing w:after="80" w:before="80"/>
      </w:pPr>
      <w:r>
        <w:rPr>
          <w:rFonts w:ascii="Arial" w:cs="Arial" w:eastAsia="Arial" w:hAnsi="Arial"/>
          <w:color w:val="374151"/>
          <w:sz w:val="20"/>
          <w:szCs w:val="20"/>
        </w:rPr>
        <w:t xml:space="preserve">The SOW requires active push of booking data to ITC (Abu Dhabi) and RTA (Dubai) systems. The Platform Analysis includes compliance tracking internally but does not implement the outbound API integration required by the UAE regulatory authorities.</w:t>
      </w:r>
    </w:p>
    <w:p>
      <w:pPr>
        <w:spacing w:after="80" w:before="80"/>
      </w:pPr>
      <w:r>
        <w:t xml:space="preserve"/>
      </w:r>
    </w:p>
    <w:p>
      <w:pPr>
        <w:spacing w:after="80" w:before="200"/>
      </w:pPr>
      <w:r>
        <w:rPr>
          <w:rFonts w:ascii="Arial" w:cs="Arial" w:eastAsia="Arial" w:hAnsi="Arial"/>
          <w:b/>
          <w:bCs/>
          <w:color w:val="9B1C1C"/>
          <w:sz w:val="22"/>
          <w:szCs w:val="22"/>
        </w:rPr>
        <w:t xml:space="preserve">GAP 9: UAE PDPL Data Privacy Compliance</w:t>
      </w:r>
    </w:p>
    <w:p>
      <w:pPr>
        <w:spacing w:after="80" w:before="80"/>
      </w:pPr>
      <w:r>
        <w:rPr>
          <w:rFonts w:ascii="Arial" w:cs="Arial" w:eastAsia="Arial" w:hAnsi="Arial"/>
          <w:color w:val="374151"/>
          <w:sz w:val="20"/>
          <w:szCs w:val="20"/>
        </w:rPr>
        <w:t xml:space="preserve">The SOW explicitly cites adherence to UAE Federal Decree-Law No. 45 of 2021 (PDPL) as a mandatory compliance requirement. The Platform Analysis makes no reference to PDPL, data privacy policies, consent management, or data residency requirements.</w:t>
      </w:r>
    </w:p>
    <w:p>
      <w:pPr>
        <w:spacing w:after="80" w:before="80"/>
      </w:pPr>
      <w:r>
        <w:t xml:space="preserve"/>
      </w:r>
    </w:p>
    <w:p>
      <w:pPr>
        <w:spacing w:after="80" w:before="200"/>
      </w:pPr>
      <w:r>
        <w:rPr>
          <w:rFonts w:ascii="Arial" w:cs="Arial" w:eastAsia="Arial" w:hAnsi="Arial"/>
          <w:b/>
          <w:bCs/>
          <w:color w:val="9B1C1C"/>
          <w:sz w:val="22"/>
          <w:szCs w:val="22"/>
        </w:rPr>
        <w:t xml:space="preserve">GAP 10: Rate Card Integration &amp; Value-Added Services</w:t>
      </w:r>
    </w:p>
    <w:p>
      <w:pPr>
        <w:spacing w:after="80" w:before="80"/>
      </w:pPr>
      <w:r>
        <w:rPr>
          <w:rFonts w:ascii="Arial" w:cs="Arial" w:eastAsia="Arial" w:hAnsi="Arial"/>
          <w:color w:val="374151"/>
          <w:sz w:val="20"/>
          <w:szCs w:val="20"/>
        </w:rPr>
        <w:t xml:space="preserve">The SOW requires integration with rate cards for contract-based pricing, as well as value-added services at checkout such as insurance, vehicle delivery, and driver options. Neither rate card management nor add-on service configuration is present in the Platform Analysis.</w:t>
      </w:r>
    </w:p>
    <w:p>
      <w:pPr>
        <w:spacing w:after="80" w:before="80"/>
      </w:pPr>
      <w:r>
        <w:t xml:space="preserve"/>
      </w:r>
    </w:p>
    <w:p>
      <w:pPr>
        <w:spacing w:after="80" w:before="200"/>
      </w:pPr>
      <w:r>
        <w:rPr>
          <w:rFonts w:ascii="Arial" w:cs="Arial" w:eastAsia="Arial" w:hAnsi="Arial"/>
          <w:b/>
          <w:bCs/>
          <w:color w:val="9B1C1C"/>
          <w:sz w:val="22"/>
          <w:szCs w:val="22"/>
        </w:rPr>
        <w:t xml:space="preserve">GAP 11: Interactive Maps &amp; Unified GPS Layer</w:t>
      </w:r>
    </w:p>
    <w:p>
      <w:pPr>
        <w:spacing w:after="80" w:before="80"/>
      </w:pPr>
      <w:r>
        <w:rPr>
          <w:rFonts w:ascii="Arial" w:cs="Arial" w:eastAsia="Arial" w:hAnsi="Arial"/>
          <w:color w:val="374151"/>
          <w:sz w:val="20"/>
          <w:szCs w:val="20"/>
        </w:rPr>
        <w:t xml:space="preserve">The SOW requires interactive maps for trip planning and passenger selection. While the Platform Analysis mentions GPS integration for rent-a-car and bus operations separately, there is no unified map layer or trip planning interface for the customer-facing app.</w:t>
      </w:r>
    </w:p>
    <w:p>
      <w:pPr>
        <w:spacing w:after="80" w:before="80"/>
      </w:pPr>
      <w:r>
        <w:t xml:space="preserve"/>
      </w:r>
    </w:p>
    <w:p>
      <w:pPr>
        <w:spacing w:after="80" w:before="200"/>
      </w:pPr>
      <w:r>
        <w:rPr>
          <w:rFonts w:ascii="Arial" w:cs="Arial" w:eastAsia="Arial" w:hAnsi="Arial"/>
          <w:b/>
          <w:bCs/>
          <w:color w:val="B45309"/>
          <w:sz w:val="22"/>
          <w:szCs w:val="22"/>
        </w:rPr>
        <w:t xml:space="preserve">GAP 12: AI Route Planning &amp; Itinerary Generation</w:t>
      </w:r>
    </w:p>
    <w:p>
      <w:pPr>
        <w:spacing w:after="80" w:before="80"/>
      </w:pPr>
      <w:r>
        <w:rPr>
          <w:rFonts w:ascii="Arial" w:cs="Arial" w:eastAsia="Arial" w:hAnsi="Arial"/>
          <w:color w:val="374151"/>
          <w:sz w:val="20"/>
          <w:szCs w:val="20"/>
        </w:rPr>
        <w:t xml:space="preserve">The SOW calls for an AI-driven module for route planning, predictive maintenance, and itinerary generation. The Platform Analysis has an AI chat interface (Thesys C1 + OpenAI) for maintenance queries, but route optimization and itinerary generation are not implemented.</w:t>
      </w:r>
    </w:p>
    <w:p>
      <w:pPr>
        <w:spacing w:after="80" w:before="80"/>
      </w:pPr>
      <w:r>
        <w:t xml:space="preserve"/>
      </w:r>
    </w:p>
    <w:p>
      <w:pPr>
        <w:spacing w:after="80" w:before="200"/>
      </w:pPr>
      <w:r>
        <w:rPr>
          <w:rFonts w:ascii="Arial" w:cs="Arial" w:eastAsia="Arial" w:hAnsi="Arial"/>
          <w:b/>
          <w:bCs/>
          <w:color w:val="B45309"/>
          <w:sz w:val="22"/>
          <w:szCs w:val="22"/>
        </w:rPr>
        <w:t xml:space="preserve">GAP 13: Dynamic Pricing &amp;#x2013; Limousine &amp; Leasing</w:t>
      </w:r>
    </w:p>
    <w:p>
      <w:pPr>
        <w:spacing w:after="80" w:before="80"/>
      </w:pPr>
      <w:r>
        <w:rPr>
          <w:rFonts w:ascii="Arial" w:cs="Arial" w:eastAsia="Arial" w:hAnsi="Arial"/>
          <w:color w:val="374151"/>
          <w:sz w:val="20"/>
          <w:szCs w:val="20"/>
        </w:rPr>
        <w:t xml:space="preserve">The SOW requires dynamic pricing across all three service lines (limousine, rental, leasing). The Platform Analysis defines pricing rules only for rent-a-car. Limousine corporate contract rates and leasing rate engines are missing.</w:t>
      </w:r>
    </w:p>
    <w:p>
      <w:pPr>
        <w:spacing w:after="80" w:before="80"/>
      </w:pPr>
      <w:r>
        <w:t xml:space="preserve"/>
      </w:r>
    </w:p>
    <w:p>
      <w:pPr>
        <w:spacing w:after="80" w:before="200"/>
      </w:pPr>
      <w:r>
        <w:rPr>
          <w:rFonts w:ascii="Arial" w:cs="Arial" w:eastAsia="Arial" w:hAnsi="Arial"/>
          <w:b/>
          <w:bCs/>
          <w:color w:val="B45309"/>
          <w:sz w:val="22"/>
          <w:szCs w:val="22"/>
        </w:rPr>
        <w:t xml:space="preserve">GAP 14: ERP Two-Way Sync</w:t>
      </w:r>
    </w:p>
    <w:p>
      <w:pPr>
        <w:spacing w:after="80" w:before="80"/>
      </w:pPr>
      <w:r>
        <w:rPr>
          <w:rFonts w:ascii="Arial" w:cs="Arial" w:eastAsia="Arial" w:hAnsi="Arial"/>
          <w:color w:val="374151"/>
          <w:sz w:val="20"/>
          <w:szCs w:val="20"/>
        </w:rPr>
        <w:t xml:space="preserve">The SOW requires real-time bidirectional ERP integration for bookings, fleet, and customer data. The Platform Analysis references ERP export hooks in the Finance roadmap but no live two-way sync architecture has been defined.</w:t>
      </w:r>
    </w:p>
    <w:p>
      <w:pPr>
        <w:spacing w:after="80" w:before="80"/>
      </w:pPr>
      <w:r>
        <w:t xml:space="preserve"/>
      </w:r>
    </w:p>
    <w:p>
      <w:pPr>
        <w:spacing w:after="80" w:before="200"/>
      </w:pPr>
      <w:r>
        <w:rPr>
          <w:rFonts w:ascii="Arial" w:cs="Arial" w:eastAsia="Arial" w:hAnsi="Arial"/>
          <w:b/>
          <w:bCs/>
          <w:color w:val="B45309"/>
          <w:sz w:val="22"/>
          <w:szCs w:val="22"/>
        </w:rPr>
        <w:t xml:space="preserve">GAP 15: Full Finance &amp; Billing Module</w:t>
      </w:r>
    </w:p>
    <w:p>
      <w:pPr>
        <w:spacing w:after="80" w:before="80"/>
      </w:pPr>
      <w:r>
        <w:rPr>
          <w:rFonts w:ascii="Arial" w:cs="Arial" w:eastAsia="Arial" w:hAnsi="Arial"/>
          <w:color w:val="374151"/>
          <w:sz w:val="20"/>
          <w:szCs w:val="20"/>
        </w:rPr>
        <w:t xml:space="preserve">The SOW requires end-to-end payment processing including wallets, tokenization, and customer-facing payment flows. The Platform Analysis confirms the Finance module is MISSING, with only a basic maintenance invoice model in place. UAE 5% VAT invoicing, credit notes, refunds, and installment plans are all absent.</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5. Operational Gaps &amp;#x2013; Platform Modules Not Covered by SOW</w:t>
      </w:r>
    </w:p>
    <w:p>
      <w:pPr>
        <w:pBdr>
          <w:bottom w:val="single" w:color="2E5B9A" w:sz="4" w:space="4"/>
        </w:pBdr>
        <w:spacing w:after="120" w:before="120"/>
      </w:pPr>
      <w:r>
        <w:t xml:space="preserve"/>
      </w:r>
    </w:p>
    <w:p>
      <w:pPr>
        <w:spacing w:after="80" w:before="80"/>
      </w:pPr>
      <w:r>
        <w:rPr>
          <w:rFonts w:ascii="Arial" w:cs="Arial" w:eastAsia="Arial" w:hAnsi="Arial"/>
          <w:color w:val="374151"/>
          <w:sz w:val="20"/>
          <w:szCs w:val="20"/>
        </w:rPr>
        <w:t xml:space="preserve">The following modules exist in the Platform Analysis (either built or roadmapped) but are not addressed by the SOW V2. These are critical for AGT’s internal operations and must be integrated into a unified platform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Platform Status</w:t>
            </w:r>
          </w:p>
        </w:tc>
        <w:tc>
          <w:tcPr>
            <w:tcW w:type="dxa" w:w="4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Staff Transportation / Bus Operations</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Define a separate SOW amendment or addendum covering route management, trip scheduling, and staff boarding. This is a revenue stream not addressed in the current SOW.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Vehicle Maintenance Management (Internal)</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internal maintenance workflow is production-ready. The SOW should acknowledge this and define the customer-facing service request interface that connects to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Predictive Maintenance Engine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Valuable differentiator. SOW briefly mentions it but does not spec it out. Should be explicitly included in deliverables.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Fuel Management Module</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ROADMAP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Operational necessity for AGT fleet management. Include in a revised SOW as Phase 1 quick win.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Traffic Fine Management</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ROADMAP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Required for UAE fleet compliance. Should be added to the compliance module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Alert &amp; Action Centre</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Fully functional in platform. SOW does not reference alerting. Should be extended to trigger customer notifications for booking confirmations and document expiries.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Garage Portal (External)</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Third-party garage access is built. SOW should acknowledge external stakeholder portals.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Operations Dashboard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Placeholder exists with no live data. Should be wired to DB as a quick win before customer app launch.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Enhanced Driver Management</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Onboarding, performance scorecards, training tracking are in roadmap. SOW should define driver lifecycle management requirements.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Driver Mobile App</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ROADMAP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SOW focuses only on the customer app. A companion driver app is needed for trip acceptance, route navigation, and incident reporting.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Reporting &amp; Business Intelligence</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Both documents partially address reporting. A unified BI layer (Power BI / Tableau integration) should be defined with cross-module dashboards.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6. Compliance &amp; Regulatory Gap Summary</w:t>
      </w:r>
    </w:p>
    <w:p>
      <w:pPr>
        <w:pBdr>
          <w:bottom w:val="single" w:color="2E5B9A"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Compliance Requirement</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SOW V2</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Platform</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 Action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UAE PDPL (Fed. Decree-Law No. 45/2021)</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Implement consent management, data subject rights portal, and data residency compliance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PCI-DSS Payment Security</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Engage a PCI-DSS certified payment gateway (e.g., PayFort / Telr / Network International)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ITC Abu Dhabi Integration</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Build outbound booking data push API to TRANSAD / ITC regulatory portal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RTA Dubai Integration</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Build outbound API for Dubai bookings; platform has internal RTA tracking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UAE VAT 5% Invoicing (TRN)</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Finance module roadmap includes VAT; SOW mentions PCI-DSS but not VAT explicitly &amp;#x2013; align 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Multi-Factor Authentication</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w:t>
            </w:r>
          </w:p>
        </w:tc>
        <w:tc>
          <w:tcPr>
            <w:tcW w:type="dxa" w:w="3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74151"/>
                <w:sz w:val="18"/>
                <w:szCs w:val="18"/>
              </w:rPr>
              <w:t xml:space="preserve">Implement OTP/TOTP-based MFA for all user logins; critical security requirement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Vehicle Registration / Mulkiya / Insurance</w:t>
            </w:r>
          </w:p>
        </w:tc>
        <w:tc>
          <w:tcPr>
            <w:tcW w:type="dxa" w:w="14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INDIRECT</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w:t>
            </w:r>
          </w:p>
        </w:tc>
        <w:tc>
          <w:tcPr>
            <w:tcW w:type="dxa" w:w="3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374151"/>
                <w:sz w:val="18"/>
                <w:szCs w:val="18"/>
              </w:rPr>
              <w:t xml:space="preserve">Platform alert system tracks expiries; vehicle document vault in roadmap &amp;#x2013; complete and link to SOW compliance</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7. Recommendations &amp; Next Steps</w:t>
      </w:r>
    </w:p>
    <w:p>
      <w:pPr>
        <w:pBdr>
          <w:bottom w:val="single" w:color="2E5B9A" w:sz="4" w:space="4"/>
        </w:pBdr>
        <w:spacing w:after="120" w:before="120"/>
      </w:pPr>
      <w:r>
        <w:t xml:space="preserve"/>
      </w:r>
    </w:p>
    <w:p>
      <w:pPr>
        <w:spacing w:after="80" w:before="80"/>
      </w:pPr>
      <w:r>
        <w:t xml:space="preserve"/>
      </w:r>
    </w:p>
    <w:p>
      <w:pPr>
        <w:pStyle w:val="Heading2"/>
        <w:spacing w:after="120" w:before="240"/>
      </w:pPr>
      <w:r>
        <w:rPr>
          <w:rFonts w:ascii="Arial" w:cs="Arial" w:eastAsia="Arial" w:hAnsi="Arial"/>
          <w:b/>
          <w:bCs/>
          <w:color w:val="2E5B9A"/>
          <w:sz w:val="24"/>
          <w:szCs w:val="24"/>
        </w:rPr>
        <w:t xml:space="preserve">7.1 Immediate Actions (0&amp;#x2013;4 Weeks)</w:t>
      </w:r>
    </w:p>
    <w:p>
      <w:pPr>
        <w:pStyle w:val="ListParagraph"/>
        <w:numPr>
          <w:ilvl w:val="0"/>
          <w:numId w:val="2"/>
        </w:numPr>
        <w:spacing w:after="40" w:before="40"/>
      </w:pPr>
      <w:r>
        <w:rPr>
          <w:rFonts w:ascii="Arial" w:cs="Arial" w:eastAsia="Arial" w:hAnsi="Arial"/>
          <w:b/>
          <w:bCs/>
          <w:color w:val="374151"/>
          <w:sz w:val="20"/>
          <w:szCs w:val="20"/>
        </w:rPr>
        <w:t xml:space="preserve">Revise SOW V2 to explicitly include the existing Platform Analysis modules &amp;#x2013; avoid building duplicate systems</w:t>
      </w:r>
    </w:p>
    <w:p>
      <w:pPr>
        <w:pStyle w:val="ListParagraph"/>
        <w:numPr>
          <w:ilvl w:val="0"/>
          <w:numId w:val="2"/>
        </w:numPr>
        <w:spacing w:after="40" w:before="40"/>
      </w:pPr>
      <w:r>
        <w:rPr>
          <w:rFonts w:ascii="Arial" w:cs="Arial" w:eastAsia="Arial" w:hAnsi="Arial"/>
          <w:b w:val="false"/>
          <w:bCs w:val="false"/>
          <w:color w:val="374151"/>
          <w:sz w:val="20"/>
          <w:szCs w:val="20"/>
        </w:rPr>
        <w:t xml:space="preserve">Define a unified architecture document that combines both SOW and Platform Analysis into a single platform blueprint</w:t>
      </w:r>
    </w:p>
    <w:p>
      <w:pPr>
        <w:pStyle w:val="ListParagraph"/>
        <w:numPr>
          <w:ilvl w:val="0"/>
          <w:numId w:val="2"/>
        </w:numPr>
        <w:spacing w:after="40" w:before="40"/>
      </w:pPr>
      <w:r>
        <w:rPr>
          <w:rFonts w:ascii="Arial" w:cs="Arial" w:eastAsia="Arial" w:hAnsi="Arial"/>
          <w:b w:val="false"/>
          <w:bCs w:val="false"/>
          <w:color w:val="374151"/>
          <w:sz w:val="20"/>
          <w:szCs w:val="20"/>
        </w:rPr>
        <w:t xml:space="preserve">Wire the existing Operations Dashboard stub to live database data &amp;#x2013; already modeled, zero architecture cost</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MFA (OTP/TOTP) on the existing RBAC system as a security baseline</w:t>
      </w:r>
    </w:p>
    <w:p>
      <w:pPr>
        <w:pStyle w:val="ListParagraph"/>
        <w:numPr>
          <w:ilvl w:val="0"/>
          <w:numId w:val="2"/>
        </w:numPr>
        <w:spacing w:after="40" w:before="40"/>
      </w:pPr>
      <w:r>
        <w:rPr>
          <w:rFonts w:ascii="Arial" w:cs="Arial" w:eastAsia="Arial" w:hAnsi="Arial"/>
          <w:b w:val="false"/>
          <w:bCs w:val="false"/>
          <w:color w:val="374151"/>
          <w:sz w:val="20"/>
          <w:szCs w:val="20"/>
        </w:rPr>
        <w:t xml:space="preserve">Begin UAE PDPL compliance gap assessment with a legal/compliance team</w:t>
      </w:r>
    </w:p>
    <w:p>
      <w:pPr>
        <w:spacing w:after="80" w:before="80"/>
      </w:pPr>
      <w:r>
        <w:t xml:space="preserve"/>
      </w:r>
    </w:p>
    <w:p>
      <w:pPr>
        <w:pStyle w:val="Heading2"/>
        <w:spacing w:after="120" w:before="240"/>
      </w:pPr>
      <w:r>
        <w:rPr>
          <w:rFonts w:ascii="Arial" w:cs="Arial" w:eastAsia="Arial" w:hAnsi="Arial"/>
          <w:b/>
          <w:bCs/>
          <w:color w:val="2E5B9A"/>
          <w:sz w:val="24"/>
          <w:szCs w:val="24"/>
        </w:rPr>
        <w:t xml:space="preserve">7.2 Short-Term Priorities (1&amp;#x2013;3 Months)</w:t>
      </w:r>
    </w:p>
    <w:p>
      <w:pPr>
        <w:pStyle w:val="ListParagraph"/>
        <w:numPr>
          <w:ilvl w:val="0"/>
          <w:numId w:val="2"/>
        </w:numPr>
        <w:spacing w:after="40" w:before="40"/>
      </w:pPr>
      <w:r>
        <w:rPr>
          <w:rFonts w:ascii="Arial" w:cs="Arial" w:eastAsia="Arial" w:hAnsi="Arial"/>
          <w:b/>
          <w:bCs/>
          <w:color w:val="374151"/>
          <w:sz w:val="20"/>
          <w:szCs w:val="20"/>
        </w:rPr>
        <w:t xml:space="preserve">Build the Customer-Facing Booking App (Phase 1 of SOW) as a Next.js PWA or React Native app connected to the existing Go backend</w:t>
      </w:r>
    </w:p>
    <w:p>
      <w:pPr>
        <w:pStyle w:val="ListParagraph"/>
        <w:numPr>
          <w:ilvl w:val="0"/>
          <w:numId w:val="2"/>
        </w:numPr>
        <w:spacing w:after="40" w:before="40"/>
      </w:pPr>
      <w:r>
        <w:rPr>
          <w:rFonts w:ascii="Arial" w:cs="Arial" w:eastAsia="Arial" w:hAnsi="Arial"/>
          <w:b w:val="false"/>
          <w:bCs w:val="false"/>
          <w:color w:val="374151"/>
          <w:sz w:val="20"/>
          <w:szCs w:val="20"/>
        </w:rPr>
        <w:t xml:space="preserve">Develop the Limousine Booking module with corporate contract rate engine</w:t>
      </w:r>
    </w:p>
    <w:p>
      <w:pPr>
        <w:pStyle w:val="ListParagraph"/>
        <w:numPr>
          <w:ilvl w:val="0"/>
          <w:numId w:val="2"/>
        </w:numPr>
        <w:spacing w:after="40" w:before="40"/>
      </w:pPr>
      <w:r>
        <w:rPr>
          <w:rFonts w:ascii="Arial" w:cs="Arial" w:eastAsia="Arial" w:hAnsi="Arial"/>
          <w:b w:val="false"/>
          <w:bCs w:val="false"/>
          <w:color w:val="374151"/>
          <w:sz w:val="20"/>
          <w:szCs w:val="20"/>
        </w:rPr>
        <w:t xml:space="preserve">Build the Promotions &amp; Campaign Management module &amp;#x2013; currently a complete blind spot in the platform</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PCI-DSS compliant payment gateway (PayFort / Telr recommended for UAE market)</w:t>
      </w:r>
    </w:p>
    <w:p>
      <w:pPr>
        <w:pStyle w:val="ListParagraph"/>
        <w:numPr>
          <w:ilvl w:val="0"/>
          <w:numId w:val="2"/>
        </w:numPr>
        <w:spacing w:after="40" w:before="40"/>
      </w:pPr>
      <w:r>
        <w:rPr>
          <w:rFonts w:ascii="Arial" w:cs="Arial" w:eastAsia="Arial" w:hAnsi="Arial"/>
          <w:b w:val="false"/>
          <w:bCs w:val="false"/>
          <w:color w:val="374151"/>
          <w:sz w:val="20"/>
          <w:szCs w:val="20"/>
        </w:rPr>
        <w:t xml:space="preserve">Build the Corporate Onboarding portal with document collection and approval workflow</w:t>
      </w:r>
    </w:p>
    <w:p>
      <w:pPr>
        <w:spacing w:after="80" w:before="80"/>
      </w:pPr>
      <w:r>
        <w:t xml:space="preserve"/>
      </w:r>
    </w:p>
    <w:p>
      <w:pPr>
        <w:pStyle w:val="Heading2"/>
        <w:spacing w:after="120" w:before="240"/>
      </w:pPr>
      <w:r>
        <w:rPr>
          <w:rFonts w:ascii="Arial" w:cs="Arial" w:eastAsia="Arial" w:hAnsi="Arial"/>
          <w:b/>
          <w:bCs/>
          <w:color w:val="2E5B9A"/>
          <w:sz w:val="24"/>
          <w:szCs w:val="24"/>
        </w:rPr>
        <w:t xml:space="preserve">7.3 Medium-Term Development (3&amp;#x2013;6 Months)</w:t>
      </w:r>
    </w:p>
    <w:p>
      <w:pPr>
        <w:pStyle w:val="ListParagraph"/>
        <w:numPr>
          <w:ilvl w:val="0"/>
          <w:numId w:val="2"/>
        </w:numPr>
        <w:spacing w:after="40" w:before="40"/>
      </w:pPr>
      <w:r>
        <w:rPr>
          <w:rFonts w:ascii="Arial" w:cs="Arial" w:eastAsia="Arial" w:hAnsi="Arial"/>
          <w:b/>
          <w:bCs/>
          <w:color w:val="374151"/>
          <w:sz w:val="20"/>
          <w:szCs w:val="20"/>
        </w:rPr>
        <w:t xml:space="preserve">Complete the Rent-a-Car module (already in Platform Phase 2 roadmap) with customer-facing booking portal</w:t>
      </w:r>
    </w:p>
    <w:p>
      <w:pPr>
        <w:pStyle w:val="ListParagraph"/>
        <w:numPr>
          <w:ilvl w:val="0"/>
          <w:numId w:val="2"/>
        </w:numPr>
        <w:spacing w:after="40" w:before="40"/>
      </w:pPr>
      <w:r>
        <w:rPr>
          <w:rFonts w:ascii="Arial" w:cs="Arial" w:eastAsia="Arial" w:hAnsi="Arial"/>
          <w:b w:val="false"/>
          <w:bCs w:val="false"/>
          <w:color w:val="374151"/>
          <w:sz w:val="20"/>
          <w:szCs w:val="20"/>
        </w:rPr>
        <w:t xml:space="preserve">Develop the Vehicle Leasing customer portal (Platform Phase 3)</w:t>
      </w:r>
    </w:p>
    <w:p>
      <w:pPr>
        <w:pStyle w:val="ListParagraph"/>
        <w:numPr>
          <w:ilvl w:val="0"/>
          <w:numId w:val="2"/>
        </w:numPr>
        <w:spacing w:after="40" w:before="40"/>
      </w:pPr>
      <w:r>
        <w:rPr>
          <w:rFonts w:ascii="Arial" w:cs="Arial" w:eastAsia="Arial" w:hAnsi="Arial"/>
          <w:b w:val="false"/>
          <w:bCs w:val="false"/>
          <w:color w:val="374151"/>
          <w:sz w:val="20"/>
          <w:szCs w:val="20"/>
        </w:rPr>
        <w:t xml:space="preserve">Build the Eco Driving Score &amp; CO₂ tracking module for sustainability reporting</w:t>
      </w:r>
    </w:p>
    <w:p>
      <w:pPr>
        <w:pStyle w:val="ListParagraph"/>
        <w:numPr>
          <w:ilvl w:val="0"/>
          <w:numId w:val="2"/>
        </w:numPr>
        <w:spacing w:after="40" w:before="40"/>
      </w:pPr>
      <w:r>
        <w:rPr>
          <w:rFonts w:ascii="Arial" w:cs="Arial" w:eastAsia="Arial" w:hAnsi="Arial"/>
          <w:b w:val="false"/>
          <w:bCs w:val="false"/>
          <w:color w:val="374151"/>
          <w:sz w:val="20"/>
          <w:szCs w:val="20"/>
        </w:rPr>
        <w:t xml:space="preserve">Integrate ITC Abu Dhabi and RTA Dubai booking data push APIs</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the Finance &amp; Billing module with VAT compliance</w:t>
      </w:r>
    </w:p>
    <w:p>
      <w:pPr>
        <w:spacing w:after="80" w:before="80"/>
      </w:pPr>
      <w:r>
        <w:t xml:space="preserve"/>
      </w:r>
    </w:p>
    <w:p>
      <w:pPr>
        <w:pStyle w:val="Heading2"/>
        <w:spacing w:after="120" w:before="240"/>
      </w:pPr>
      <w:r>
        <w:rPr>
          <w:rFonts w:ascii="Arial" w:cs="Arial" w:eastAsia="Arial" w:hAnsi="Arial"/>
          <w:b/>
          <w:bCs/>
          <w:color w:val="2E5B9A"/>
          <w:sz w:val="24"/>
          <w:szCs w:val="24"/>
        </w:rPr>
        <w:t xml:space="preserve">7.4 Long-Term &amp; Optimization (6&amp;#x2013;12 Months)</w:t>
      </w:r>
    </w:p>
    <w:p>
      <w:pPr>
        <w:pStyle w:val="ListParagraph"/>
        <w:numPr>
          <w:ilvl w:val="0"/>
          <w:numId w:val="2"/>
        </w:numPr>
        <w:spacing w:after="40" w:before="40"/>
      </w:pPr>
      <w:r>
        <w:rPr>
          <w:rFonts w:ascii="Arial" w:cs="Arial" w:eastAsia="Arial" w:hAnsi="Arial"/>
          <w:b/>
          <w:bCs/>
          <w:color w:val="374151"/>
          <w:sz w:val="20"/>
          <w:szCs w:val="20"/>
        </w:rPr>
        <w:t xml:space="preserve">Build Staff Transportation / Bus Operations module (Platform Phase 4)</w:t>
      </w:r>
    </w:p>
    <w:p>
      <w:pPr>
        <w:pStyle w:val="ListParagraph"/>
        <w:numPr>
          <w:ilvl w:val="0"/>
          <w:numId w:val="2"/>
        </w:numPr>
        <w:spacing w:after="40" w:before="40"/>
      </w:pPr>
      <w:r>
        <w:rPr>
          <w:rFonts w:ascii="Arial" w:cs="Arial" w:eastAsia="Arial" w:hAnsi="Arial"/>
          <w:b w:val="false"/>
          <w:bCs w:val="false"/>
          <w:color w:val="374151"/>
          <w:sz w:val="20"/>
          <w:szCs w:val="20"/>
        </w:rPr>
        <w:t xml:space="preserve">Develop unified BI &amp; Reporting layer across all modules (Platform Phase 7)</w:t>
      </w:r>
    </w:p>
    <w:p>
      <w:pPr>
        <w:pStyle w:val="ListParagraph"/>
        <w:numPr>
          <w:ilvl w:val="0"/>
          <w:numId w:val="2"/>
        </w:numPr>
        <w:spacing w:after="40" w:before="40"/>
      </w:pPr>
      <w:r>
        <w:rPr>
          <w:rFonts w:ascii="Arial" w:cs="Arial" w:eastAsia="Arial" w:hAnsi="Arial"/>
          <w:b w:val="false"/>
          <w:bCs w:val="false"/>
          <w:color w:val="374151"/>
          <w:sz w:val="20"/>
          <w:szCs w:val="20"/>
        </w:rPr>
        <w:t xml:space="preserve">Build Driver Mobile App for chauffeur/driver workforce</w:t>
      </w:r>
    </w:p>
    <w:p>
      <w:pPr>
        <w:pStyle w:val="ListParagraph"/>
        <w:numPr>
          <w:ilvl w:val="0"/>
          <w:numId w:val="2"/>
        </w:numPr>
        <w:spacing w:after="40" w:before="40"/>
      </w:pPr>
      <w:r>
        <w:rPr>
          <w:rFonts w:ascii="Arial" w:cs="Arial" w:eastAsia="Arial" w:hAnsi="Arial"/>
          <w:b w:val="false"/>
          <w:bCs w:val="false"/>
          <w:color w:val="374151"/>
          <w:sz w:val="20"/>
          <w:szCs w:val="20"/>
        </w:rPr>
        <w:t xml:space="preserve">Deploy AI route planning and itinerary generation on top of existing OpenAI integration</w:t>
      </w:r>
    </w:p>
    <w:p>
      <w:pPr>
        <w:pStyle w:val="ListParagraph"/>
        <w:numPr>
          <w:ilvl w:val="0"/>
          <w:numId w:val="2"/>
        </w:numPr>
        <w:spacing w:after="40" w:before="40"/>
      </w:pPr>
      <w:r>
        <w:rPr>
          <w:rFonts w:ascii="Arial" w:cs="Arial" w:eastAsia="Arial" w:hAnsi="Arial"/>
          <w:b w:val="false"/>
          <w:bCs w:val="false"/>
          <w:color w:val="374151"/>
          <w:sz w:val="20"/>
          <w:szCs w:val="20"/>
        </w:rPr>
        <w:t xml:space="preserve">Conduct full PCI-DSS certification audit and UAE PDPL compliance review</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8. Gap Priority Matrix</w:t>
      </w:r>
    </w:p>
    <w:p>
      <w:pPr>
        <w:pBdr>
          <w:bottom w:val="single" w:color="2E5B9A" w:sz="4" w:space="4"/>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30"/>
        <w:gridCol w:w="1430"/>
        <w:gridCol w:w="300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Gap Item</w:t>
            </w:r>
          </w:p>
        </w:tc>
        <w:tc>
          <w:tcPr>
            <w:tcW w:type="dxa" w:w="143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Priority</w:t>
            </w:r>
          </w:p>
        </w:tc>
        <w:tc>
          <w:tcPr>
            <w:tcW w:type="dxa" w:w="143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Owner / Phase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Customer Mobile App</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Development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Promotions &amp; Campaign Module</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Product +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Payment Gateway (PCI-DSS)</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Finance + DevOps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MFA Implementation</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Immediate &amp;#x2013; Security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UAE PDPL Compliance</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Immediate &amp;#x2013; Legal +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Limousine Booking Module</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Development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Corporate Onboarding Portal</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Product +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Eco Driving Score / CO₂ Tracking</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&amp;#x2013; Data +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ITC / RTA Regulatory Push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&amp;#x2013; Integration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Rate Card &amp; Add-On Services</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&amp;#x2013; Development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Interactive Maps &amp; GPS Layer</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&amp;#x2013; Development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ERP Two-Way Sync</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&amp;#x2013; Integration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Finance &amp; Billing Module</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3 &amp;#x2013; Finance +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AI Route Planning &amp; Itinerary</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4 &amp;#x2013; AI/ML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Staff Transport / Bus Operations</w:t>
            </w:r>
          </w:p>
        </w:tc>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4 &amp;#x2013; Development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Driver App</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5 &amp;#x2013; Mobile Team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4151"/>
                <w:sz w:val="18"/>
                <w:szCs w:val="18"/>
              </w:rPr>
              <w:t xml:space="preserve">BI &amp; Cross-Module Reporting</w:t>
            </w:r>
          </w:p>
        </w:tc>
        <w:tc>
          <w:tcPr>
            <w:tcW w:type="dxa" w:w="14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5 &amp;#x2013; Analytics Team</w:t>
            </w:r>
          </w:p>
        </w:tc>
      </w:tr>
    </w:tbl>
    <w:p>
      <w:pPr>
        <w:spacing w:after="80" w:before="80"/>
      </w:pPr>
      <w:r>
        <w:t xml:space="preserve"/>
      </w:r>
    </w:p>
    <w:p>
      <w:pPr>
        <w:spacing w:after="80" w:before="80"/>
      </w:pPr>
      <w:r>
        <w:t xml:space="preserve"/>
      </w:r>
    </w:p>
    <w:p>
      <w:pPr>
        <w:pBdr>
          <w:bottom w:val="single" w:color="2E5B9A" w:sz="4" w:space="4"/>
        </w:pBdr>
        <w:spacing w:after="120" w:before="120"/>
      </w:pPr>
      <w:r>
        <w:t xml:space="preserve"/>
      </w:r>
    </w:p>
    <w:p>
      <w:pPr>
        <w:spacing w:after="80" w:before="160"/>
        <w:jc w:val="center"/>
      </w:pPr>
      <w:r>
        <w:rPr>
          <w:rFonts w:ascii="Arial" w:cs="Arial" w:eastAsia="Arial" w:hAnsi="Arial"/>
          <w:i/>
          <w:iCs/>
          <w:color w:val="374151"/>
          <w:sz w:val="18"/>
          <w:szCs w:val="18"/>
        </w:rPr>
        <w:t xml:space="preserve">--- End of Gap Analysis Report ---</w:t>
      </w:r>
    </w:p>
    <w:p>
      <w:pPr>
        <w:spacing w:after="80" w:before="80"/>
        <w:jc w:val="center"/>
      </w:pPr>
      <w:r>
        <w:rPr>
          <w:rFonts w:ascii="Arial" w:cs="Arial" w:eastAsia="Arial" w:hAnsi="Arial"/>
          <w:color w:val="9CA3AF"/>
          <w:sz w:val="16"/>
          <w:szCs w:val="16"/>
        </w:rPr>
        <w:t xml:space="preserve">AGT Smart Mobility Platform  |  Prepared for Alex Thomas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374151"/>
        <w:sz w:val="16"/>
        <w:szCs w:val="16"/>
      </w:rPr>
      <w:t xml:space="preserve">AGT Smart Mobility Platform &amp;#x2013; Gap Analysis</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A" w:sz="4" w:space="4"/>
      </w:pBdr>
      <w:tabs>
        <w:tab w:val="right" w:pos="9360"/>
      </w:tabs>
    </w:pPr>
    <w:r>
      <w:rPr>
        <w:rFonts w:ascii="Arial" w:cs="Arial" w:eastAsia="Arial" w:hAnsi="Arial"/>
        <w:color w:val="2E5B9A"/>
        <w:sz w:val="16"/>
        <w:szCs w:val="16"/>
      </w:rPr>
      <w:t xml:space="preserve">AGT Smart Mobility Platform  |  Gap Analysis Report  |  April 2026</w:t>
    </w:r>
    <w:r>
      <w:rPr>
        <w:rFonts w:ascii="Arial" w:cs="Arial" w:eastAsia="Arial" w:hAnsi="Arial"/>
        <w:sz w:val="16"/>
        <w:szCs w:val="16"/>
      </w:rPr>
      <w:t xml:space="preserve">	</w:t>
    </w:r>
    <w:r>
      <w:rPr>
        <w:rFonts w:ascii="Arial" w:cs="Arial" w:eastAsia="Arial" w:hAnsi="Arial"/>
        <w:b/>
        <w:bCs/>
        <w:color w:val="9B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2026-04-13T07:49:55.856Z</dcterms:created>
  <dcterms:modified xsi:type="dcterms:W3CDTF">2026-04-13T07:49:55.857Z</dcterms:modified>
</cp:coreProperties>
</file>

<file path=docProps/custom.xml><?xml version="1.0" encoding="utf-8"?>
<Properties xmlns="http://schemas.openxmlformats.org/officeDocument/2006/custom-properties" xmlns:vt="http://schemas.openxmlformats.org/officeDocument/2006/docPropsVTypes"/>
</file>