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pPr>
      <w:r>
        <w:t>PRODUCT REQUIREMENTS</w:t>
      </w:r>
    </w:p>
    <w:p>
      <w:pPr>
        <w:pStyle w:val="Title"/>
      </w:pPr>
      <w:r>
        <w:t>Fleet360</w:t>
      </w:r>
    </w:p>
    <w:p>
      <w:pPr>
        <w:pStyle w:val="Subtitle"/>
      </w:pPr>
      <w:r>
        <w:t>UAE/GCC fleet operations</w:t>
        <w:br/>
        <w:t>Product strategy, technical audit and launch plan</w:t>
      </w:r>
    </w:p>
    <w:p>
      <w:pPr>
        <w:pStyle w:val="Lead"/>
      </w:pPr>
      <w:r>
        <w:t>Decision: harden one operational workflow before launching the full suite.</w:t>
      </w:r>
    </w:p>
    <w:p>
      <w:r>
        <w:t>Fleet360 contains a substantial operational platform: 449 page files, 811 API route files and 224 Prisma models. The strongest proposed entry point is UAE staff-transport and contracted passenger-fleet operators with 50–300 vehicles, multiple dispatchers and recurring daily trips. This is a target-customer hypothesis, not a validated segment result.</w:t>
      </w:r>
    </w:p>
    <w:p>
      <w:r>
        <w:t>The product promise: dispatch a ready vehicle and qualified driver, resolve exceptions quickly, and close every trip with an auditable operating cost. Reuse the existing fleet, bus-operations, driver and finance foundations; defer a broad rental, logistics marketplace and AI launch.</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300"/>
        <w:gridCol w:w="7060"/>
      </w:tblGrid>
      <w:tr>
        <w:trPr>
          <w:cantSplit/>
          <w:tblHeader/>
        </w:trPr>
        <w:tc>
          <w:tcPr>
            <w:tcW w:type="dxa" w:w="2300"/>
            <w:vAlign w:val="center"/>
            <w:shd w:fill="F2F4F7"/>
          </w:tcPr>
          <w:p>
            <w:pPr>
              <w:pStyle w:val="TableBody"/>
            </w:pPr>
            <w:r>
              <w:rPr>
                <w:b/>
              </w:rPr>
              <w:t>Decision area</w:t>
            </w:r>
          </w:p>
        </w:tc>
        <w:tc>
          <w:tcPr>
            <w:tcW w:type="dxa" w:w="7060"/>
            <w:vAlign w:val="center"/>
            <w:shd w:fill="F2F4F7"/>
          </w:tcPr>
          <w:p>
            <w:pPr>
              <w:pStyle w:val="TableBody"/>
            </w:pPr>
            <w:r>
              <w:rPr>
                <w:b/>
              </w:rPr>
              <w:t>Recommendation</w:t>
            </w:r>
          </w:p>
        </w:tc>
      </w:tr>
      <w:tr>
        <w:trPr>
          <w:cantSplit/>
        </w:trPr>
        <w:tc>
          <w:tcPr>
            <w:tcW w:type="dxa" w:w="2300"/>
            <w:vAlign w:val="center"/>
          </w:tcPr>
          <w:p>
            <w:pPr>
              <w:pStyle w:val="TableBody"/>
            </w:pPr>
            <w:r>
              <w:t>Launch posture</w:t>
            </w:r>
          </w:p>
        </w:tc>
        <w:tc>
          <w:tcPr>
            <w:tcW w:type="dxa" w:w="7060"/>
            <w:vAlign w:val="center"/>
          </w:tcPr>
          <w:p>
            <w:pPr>
              <w:pStyle w:val="TableBody"/>
            </w:pPr>
            <w:r>
              <w:t>Conditional no-go for general availability; proceed with hardening and controlled pilot preparation.</w:t>
            </w:r>
          </w:p>
        </w:tc>
      </w:tr>
      <w:tr>
        <w:trPr>
          <w:cantSplit/>
        </w:trPr>
        <w:tc>
          <w:tcPr>
            <w:tcW w:type="dxa" w:w="2300"/>
            <w:vAlign w:val="center"/>
          </w:tcPr>
          <w:p>
            <w:pPr>
              <w:pStyle w:val="TableBody"/>
            </w:pPr>
            <w:r>
              <w:t>Primary buyer</w:t>
            </w:r>
          </w:p>
        </w:tc>
        <w:tc>
          <w:tcPr>
            <w:tcW w:type="dxa" w:w="7060"/>
            <w:vAlign w:val="center"/>
          </w:tcPr>
          <w:p>
            <w:pPr>
              <w:pStyle w:val="TableBody"/>
            </w:pPr>
            <w:r>
              <w:t>Owner/COO or head of operations at a UAE contracted transport operator.</w:t>
            </w:r>
          </w:p>
        </w:tc>
      </w:tr>
      <w:tr>
        <w:trPr>
          <w:cantSplit/>
        </w:trPr>
        <w:tc>
          <w:tcPr>
            <w:tcW w:type="dxa" w:w="2300"/>
            <w:vAlign w:val="center"/>
          </w:tcPr>
          <w:p>
            <w:pPr>
              <w:pStyle w:val="TableBody"/>
            </w:pPr>
            <w:r>
              <w:t>Initial commercial offer</w:t>
            </w:r>
          </w:p>
        </w:tc>
        <w:tc>
          <w:tcPr>
            <w:tcW w:type="dxa" w:w="7060"/>
            <w:vAlign w:val="center"/>
          </w:tcPr>
          <w:p>
            <w:pPr>
              <w:pStyle w:val="TableBody"/>
            </w:pPr>
            <w:r>
              <w:t>Paid, assisted pilot with agreed baseline and success criteria.</w:t>
            </w:r>
          </w:p>
        </w:tc>
      </w:tr>
      <w:tr>
        <w:trPr>
          <w:cantSplit/>
        </w:trPr>
        <w:tc>
          <w:tcPr>
            <w:tcW w:type="dxa" w:w="2300"/>
            <w:vAlign w:val="center"/>
          </w:tcPr>
          <w:p>
            <w:pPr>
              <w:pStyle w:val="TableBody"/>
            </w:pPr>
            <w:r>
              <w:t>Differentiation to prove</w:t>
            </w:r>
          </w:p>
        </w:tc>
        <w:tc>
          <w:tcPr>
            <w:tcW w:type="dxa" w:w="7060"/>
            <w:vAlign w:val="center"/>
          </w:tcPr>
          <w:p>
            <w:pPr>
              <w:pStyle w:val="TableBody"/>
            </w:pPr>
            <w:r>
              <w:t>Faster readiness-to-dispatch decisions and exception-to-cost closure using existing tracking systems.</w:t>
            </w:r>
          </w:p>
        </w:tc>
      </w:tr>
      <w:tr>
        <w:trPr>
          <w:cantSplit/>
        </w:trPr>
        <w:tc>
          <w:tcPr>
            <w:tcW w:type="dxa" w:w="2300"/>
            <w:vAlign w:val="center"/>
          </w:tcPr>
          <w:p>
            <w:pPr>
              <w:pStyle w:val="TableBody"/>
            </w:pPr>
            <w:r>
              <w:t>Schedule assumption</w:t>
            </w:r>
          </w:p>
        </w:tc>
        <w:tc>
          <w:tcPr>
            <w:tcW w:type="dxa" w:w="7060"/>
            <w:vAlign w:val="center"/>
          </w:tcPr>
          <w:p>
            <w:pPr>
              <w:pStyle w:val="TableBody"/>
            </w:pPr>
            <w:r>
              <w:t>16 weeks from funded kickoff, with release gates overriding calendar dates.</w:t>
            </w:r>
          </w:p>
        </w:tc>
      </w:tr>
    </w:tbl>
    <w:p>
      <w:pPr>
        <w:pStyle w:val="Caption"/>
      </w:pPr>
    </w:p>
    <w:p>
      <w:pPr>
        <w:pStyle w:val="Metadata"/>
      </w:pPr>
      <w:r>
        <w:t>Version 1.0 • 15 September 2026 • Prepared for product and engineering leadership</w:t>
      </w:r>
    </w:p>
    <w:p>
      <w:pPr>
        <w:pStyle w:val="Metadata"/>
      </w:pPr>
      <w:r>
        <w:t>Scope: initial working tree at commit 733e26fa; final spot-check at 58005dd6 after concurrent external changes. Public competitor research. No customer interviews or production certification performed. Financial scenarios and product targets are explicitly proposed.</w:t>
      </w:r>
    </w:p>
    <w:p>
      <w:r>
        <w:br w:type="page"/>
      </w:r>
    </w:p>
    <w:p>
      <w:pPr>
        <w:pStyle w:val="Heading1"/>
      </w:pPr>
      <w:r>
        <w:t>01  Audit scope and evidence standard</w:t>
      </w:r>
    </w:p>
    <w:p>
      <w:r>
        <w:t>This assessment combines repository inventory, targeted code review, local check execution and primary-source market research. Existing documents claiming “production-ready” were treated as historical statements requiring fresh evidence.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900"/>
        <w:gridCol w:w="3650"/>
        <w:gridCol w:w="3810"/>
      </w:tblGrid>
      <w:tr>
        <w:trPr>
          <w:cantSplit/>
          <w:tblHeader/>
        </w:trPr>
        <w:tc>
          <w:tcPr>
            <w:tcW w:type="dxa" w:w="1900"/>
            <w:vAlign w:val="center"/>
            <w:shd w:fill="F2F4F7"/>
          </w:tcPr>
          <w:p>
            <w:pPr>
              <w:pStyle w:val="TableBody"/>
            </w:pPr>
            <w:r>
              <w:rPr>
                <w:b/>
              </w:rPr>
              <w:t>Evidence class</w:t>
            </w:r>
          </w:p>
        </w:tc>
        <w:tc>
          <w:tcPr>
            <w:tcW w:type="dxa" w:w="3650"/>
            <w:vAlign w:val="center"/>
            <w:shd w:fill="F2F4F7"/>
          </w:tcPr>
          <w:p>
            <w:pPr>
              <w:pStyle w:val="TableBody"/>
            </w:pPr>
            <w:r>
              <w:rPr>
                <w:b/>
              </w:rPr>
              <w:t>What it establishes</w:t>
            </w:r>
          </w:p>
        </w:tc>
        <w:tc>
          <w:tcPr>
            <w:tcW w:type="dxa" w:w="3810"/>
            <w:vAlign w:val="center"/>
            <w:shd w:fill="F2F4F7"/>
          </w:tcPr>
          <w:p>
            <w:pPr>
              <w:pStyle w:val="TableBody"/>
            </w:pPr>
            <w:r>
              <w:rPr>
                <w:b/>
              </w:rPr>
              <w:t>What it does not establish</w:t>
            </w:r>
          </w:p>
        </w:tc>
      </w:tr>
      <w:tr>
        <w:trPr>
          <w:cantSplit/>
        </w:trPr>
        <w:tc>
          <w:tcPr>
            <w:tcW w:type="dxa" w:w="1900"/>
            <w:vAlign w:val="center"/>
          </w:tcPr>
          <w:p>
            <w:pPr>
              <w:pStyle w:val="TableBody"/>
            </w:pPr>
            <w:r>
              <w:t>Repository inspection</w:t>
            </w:r>
          </w:p>
        </w:tc>
        <w:tc>
          <w:tcPr>
            <w:tcW w:type="dxa" w:w="3650"/>
            <w:vAlign w:val="center"/>
          </w:tcPr>
          <w:p>
            <w:pPr>
              <w:pStyle w:val="TableBody"/>
            </w:pPr>
            <w:r>
              <w:t>Modules, architecture, tests and configuration exist.</w:t>
            </w:r>
          </w:p>
        </w:tc>
        <w:tc>
          <w:tcPr>
            <w:tcW w:type="dxa" w:w="3810"/>
            <w:vAlign w:val="center"/>
          </w:tcPr>
          <w:p>
            <w:pPr>
              <w:pStyle w:val="TableBody"/>
            </w:pPr>
            <w:r>
              <w:t>Workflow correctness or customer adoption.</w:t>
            </w:r>
          </w:p>
        </w:tc>
      </w:tr>
      <w:tr>
        <w:trPr>
          <w:cantSplit/>
        </w:trPr>
        <w:tc>
          <w:tcPr>
            <w:tcW w:type="dxa" w:w="1900"/>
            <w:vAlign w:val="center"/>
          </w:tcPr>
          <w:p>
            <w:pPr>
              <w:pStyle w:val="TableBody"/>
            </w:pPr>
            <w:r>
              <w:t>Static scanners</w:t>
            </w:r>
          </w:p>
        </w:tc>
        <w:tc>
          <w:tcPr>
            <w:tcW w:type="dxa" w:w="3650"/>
            <w:vAlign w:val="center"/>
          </w:tcPr>
          <w:p>
            <w:pPr>
              <w:pStyle w:val="TableBody"/>
            </w:pPr>
            <w:r>
              <w:t>Repository patterns match the scanner rules.</w:t>
            </w:r>
          </w:p>
        </w:tc>
        <w:tc>
          <w:tcPr>
            <w:tcW w:type="dxa" w:w="3810"/>
            <w:vAlign w:val="center"/>
          </w:tcPr>
          <w:p>
            <w:pPr>
              <w:pStyle w:val="TableBody"/>
            </w:pPr>
            <w:r>
              <w:t>Database policy enforcement in production.</w:t>
            </w:r>
          </w:p>
        </w:tc>
      </w:tr>
      <w:tr>
        <w:trPr>
          <w:cantSplit/>
        </w:trPr>
        <w:tc>
          <w:tcPr>
            <w:tcW w:type="dxa" w:w="1900"/>
            <w:vAlign w:val="center"/>
          </w:tcPr>
          <w:p>
            <w:pPr>
              <w:pStyle w:val="TableBody"/>
            </w:pPr>
            <w:r>
              <w:t>Local execution</w:t>
            </w:r>
          </w:p>
        </w:tc>
        <w:tc>
          <w:tcPr>
            <w:tcW w:type="dxa" w:w="3650"/>
            <w:vAlign w:val="center"/>
          </w:tcPr>
          <w:p>
            <w:pPr>
              <w:pStyle w:val="TableBody"/>
            </w:pPr>
            <w:r>
              <w:t>Observed outcomes in this environment.</w:t>
            </w:r>
          </w:p>
        </w:tc>
        <w:tc>
          <w:tcPr>
            <w:tcW w:type="dxa" w:w="3810"/>
            <w:vAlign w:val="center"/>
          </w:tcPr>
          <w:p>
            <w:pPr>
              <w:pStyle w:val="TableBody"/>
            </w:pPr>
            <w:r>
              <w:t>Production capacity or third-party integrations.</w:t>
            </w:r>
          </w:p>
        </w:tc>
      </w:tr>
      <w:tr>
        <w:trPr>
          <w:cantSplit/>
        </w:trPr>
        <w:tc>
          <w:tcPr>
            <w:tcW w:type="dxa" w:w="1900"/>
            <w:vAlign w:val="center"/>
          </w:tcPr>
          <w:p>
            <w:pPr>
              <w:pStyle w:val="TableBody"/>
            </w:pPr>
            <w:r>
              <w:t>Vendor / authority sources</w:t>
            </w:r>
          </w:p>
        </w:tc>
        <w:tc>
          <w:tcPr>
            <w:tcW w:type="dxa" w:w="3650"/>
            <w:vAlign w:val="center"/>
          </w:tcPr>
          <w:p>
            <w:pPr>
              <w:pStyle w:val="TableBody"/>
            </w:pPr>
            <w:r>
              <w:t>Published capabilities, pricing and sector statistics.</w:t>
            </w:r>
          </w:p>
        </w:tc>
        <w:tc>
          <w:tcPr>
            <w:tcW w:type="dxa" w:w="3810"/>
            <w:vAlign w:val="center"/>
          </w:tcPr>
          <w:p>
            <w:pPr>
              <w:pStyle w:val="TableBody"/>
            </w:pPr>
            <w:r>
              <w:t>Independent performance or willingness to pay.</w:t>
            </w:r>
          </w:p>
        </w:tc>
      </w:tr>
      <w:tr>
        <w:trPr>
          <w:cantSplit/>
        </w:trPr>
        <w:tc>
          <w:tcPr>
            <w:tcW w:type="dxa" w:w="1900"/>
            <w:vAlign w:val="center"/>
          </w:tcPr>
          <w:p>
            <w:pPr>
              <w:pStyle w:val="TableBody"/>
            </w:pPr>
            <w:r>
              <w:t>Proposed PRD</w:t>
            </w:r>
          </w:p>
        </w:tc>
        <w:tc>
          <w:tcPr>
            <w:tcW w:type="dxa" w:w="3650"/>
            <w:vAlign w:val="center"/>
          </w:tcPr>
          <w:p>
            <w:pPr>
              <w:pStyle w:val="TableBody"/>
            </w:pPr>
            <w:r>
              <w:t>A testable product and delivery direction.</w:t>
            </w:r>
          </w:p>
        </w:tc>
        <w:tc>
          <w:tcPr>
            <w:tcW w:type="dxa" w:w="3810"/>
            <w:vAlign w:val="center"/>
          </w:tcPr>
          <w:p>
            <w:pPr>
              <w:pStyle w:val="TableBody"/>
            </w:pPr>
            <w:r>
              <w:t>Committed scope, budget or launch date.</w:t>
            </w:r>
          </w:p>
        </w:tc>
      </w:tr>
    </w:tbl>
    <w:p>
      <w:pPr>
        <w:pStyle w:val="Caption"/>
      </w:pPr>
    </w:p>
    <w:p>
      <w:pPr>
        <w:pStyle w:val="Heading2"/>
      </w:pPr>
      <w:r>
        <w:t>Inventory and current product surface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900"/>
        <w:gridCol w:w="3900"/>
        <w:gridCol w:w="3560"/>
      </w:tblGrid>
      <w:tr>
        <w:trPr>
          <w:cantSplit/>
          <w:tblHeader/>
        </w:trPr>
        <w:tc>
          <w:tcPr>
            <w:tcW w:type="dxa" w:w="1900"/>
            <w:vAlign w:val="center"/>
            <w:shd w:fill="F2F4F7"/>
          </w:tcPr>
          <w:p>
            <w:pPr>
              <w:pStyle w:val="TableBody"/>
            </w:pPr>
            <w:r>
              <w:rPr>
                <w:b/>
              </w:rPr>
              <w:t>Area</w:t>
            </w:r>
          </w:p>
        </w:tc>
        <w:tc>
          <w:tcPr>
            <w:tcW w:type="dxa" w:w="3900"/>
            <w:vAlign w:val="center"/>
            <w:shd w:fill="F2F4F7"/>
          </w:tcPr>
          <w:p>
            <w:pPr>
              <w:pStyle w:val="TableBody"/>
            </w:pPr>
            <w:r>
              <w:rPr>
                <w:b/>
              </w:rPr>
              <w:t>Observed evidence</w:t>
            </w:r>
          </w:p>
        </w:tc>
        <w:tc>
          <w:tcPr>
            <w:tcW w:type="dxa" w:w="3560"/>
            <w:vAlign w:val="center"/>
            <w:shd w:fill="F2F4F7"/>
          </w:tcPr>
          <w:p>
            <w:pPr>
              <w:pStyle w:val="TableBody"/>
            </w:pPr>
            <w:r>
              <w:rPr>
                <w:b/>
              </w:rPr>
              <w:t>Product implication</w:t>
            </w:r>
          </w:p>
        </w:tc>
      </w:tr>
      <w:tr>
        <w:trPr>
          <w:cantSplit/>
        </w:trPr>
        <w:tc>
          <w:tcPr>
            <w:tcW w:type="dxa" w:w="1900"/>
            <w:vAlign w:val="center"/>
          </w:tcPr>
          <w:p>
            <w:pPr>
              <w:pStyle w:val="TableBody"/>
            </w:pPr>
            <w:r>
              <w:t>Web and APIs</w:t>
            </w:r>
          </w:p>
        </w:tc>
        <w:tc>
          <w:tcPr>
            <w:tcW w:type="dxa" w:w="3900"/>
            <w:vAlign w:val="center"/>
          </w:tcPr>
          <w:p>
            <w:pPr>
              <w:pStyle w:val="TableBody"/>
            </w:pPr>
            <w:r>
              <w:t>449 page.tsx files; 811 route.ts files.</w:t>
            </w:r>
          </w:p>
        </w:tc>
        <w:tc>
          <w:tcPr>
            <w:tcW w:type="dxa" w:w="3560"/>
            <w:vAlign w:val="center"/>
          </w:tcPr>
          <w:p>
            <w:pPr>
              <w:pStyle w:val="TableBody"/>
            </w:pPr>
            <w:r>
              <w:t>Large regression and navigation surface.</w:t>
            </w:r>
          </w:p>
        </w:tc>
      </w:tr>
      <w:tr>
        <w:trPr>
          <w:cantSplit/>
        </w:trPr>
        <w:tc>
          <w:tcPr>
            <w:tcW w:type="dxa" w:w="1900"/>
            <w:vAlign w:val="center"/>
          </w:tcPr>
          <w:p>
            <w:pPr>
              <w:pStyle w:val="TableBody"/>
            </w:pPr>
            <w:r>
              <w:t>Data model</w:t>
            </w:r>
          </w:p>
        </w:tc>
        <w:tc>
          <w:tcPr>
            <w:tcW w:type="dxa" w:w="3900"/>
            <w:vAlign w:val="center"/>
          </w:tcPr>
          <w:p>
            <w:pPr>
              <w:pStyle w:val="TableBody"/>
            </w:pPr>
            <w:r>
              <w:t>224 model declarations in schema.prisma.</w:t>
            </w:r>
          </w:p>
        </w:tc>
        <w:tc>
          <w:tcPr>
            <w:tcW w:type="dxa" w:w="3560"/>
            <w:vAlign w:val="center"/>
          </w:tcPr>
          <w:p>
            <w:pPr>
              <w:pStyle w:val="TableBody"/>
            </w:pPr>
            <w:r>
              <w:t>Cross-module ownership requires discipline.</w:t>
            </w:r>
          </w:p>
        </w:tc>
      </w:tr>
      <w:tr>
        <w:trPr>
          <w:cantSplit/>
        </w:trPr>
        <w:tc>
          <w:tcPr>
            <w:tcW w:type="dxa" w:w="1900"/>
            <w:vAlign w:val="center"/>
          </w:tcPr>
          <w:p>
            <w:pPr>
              <w:pStyle w:val="TableBody"/>
            </w:pPr>
            <w:r>
              <w:t>Core operations</w:t>
            </w:r>
          </w:p>
        </w:tc>
        <w:tc>
          <w:tcPr>
            <w:tcW w:type="dxa" w:w="3900"/>
            <w:vAlign w:val="center"/>
          </w:tcPr>
          <w:p>
            <w:pPr>
              <w:pStyle w:val="TableBody"/>
            </w:pPr>
            <w:r>
              <w:t>Fleet, maintenance, dispatch, bus ops, logistics.</w:t>
            </w:r>
          </w:p>
        </w:tc>
        <w:tc>
          <w:tcPr>
            <w:tcW w:type="dxa" w:w="3560"/>
            <w:vAlign w:val="center"/>
          </w:tcPr>
          <w:p>
            <w:pPr>
              <w:pStyle w:val="TableBody"/>
            </w:pPr>
            <w:r>
              <w:t>Useful reusable domain foundations.</w:t>
            </w:r>
          </w:p>
        </w:tc>
      </w:tr>
      <w:tr>
        <w:trPr>
          <w:cantSplit/>
        </w:trPr>
        <w:tc>
          <w:tcPr>
            <w:tcW w:type="dxa" w:w="1900"/>
            <w:vAlign w:val="center"/>
          </w:tcPr>
          <w:p>
            <w:pPr>
              <w:pStyle w:val="TableBody"/>
            </w:pPr>
            <w:r>
              <w:t>Commercial suite</w:t>
            </w:r>
          </w:p>
        </w:tc>
        <w:tc>
          <w:tcPr>
            <w:tcW w:type="dxa" w:w="3900"/>
            <w:vAlign w:val="center"/>
          </w:tcPr>
          <w:p>
            <w:pPr>
              <w:pStyle w:val="TableBody"/>
            </w:pPr>
            <w:r>
              <w:t>Leasing, rental, finance and customer portals.</w:t>
            </w:r>
          </w:p>
        </w:tc>
        <w:tc>
          <w:tcPr>
            <w:tcW w:type="dxa" w:w="3560"/>
            <w:vAlign w:val="center"/>
          </w:tcPr>
          <w:p>
            <w:pPr>
              <w:pStyle w:val="TableBody"/>
            </w:pPr>
            <w:r>
              <w:t>Expansion potential; excessive initial scope.</w:t>
            </w:r>
          </w:p>
        </w:tc>
      </w:tr>
      <w:tr>
        <w:trPr>
          <w:cantSplit/>
        </w:trPr>
        <w:tc>
          <w:tcPr>
            <w:tcW w:type="dxa" w:w="1900"/>
            <w:vAlign w:val="center"/>
          </w:tcPr>
          <w:p>
            <w:pPr>
              <w:pStyle w:val="TableBody"/>
            </w:pPr>
            <w:r>
              <w:t>Field applications</w:t>
            </w:r>
          </w:p>
        </w:tc>
        <w:tc>
          <w:tcPr>
            <w:tcW w:type="dxa" w:w="3900"/>
            <w:vAlign w:val="center"/>
          </w:tcPr>
          <w:p>
            <w:pPr>
              <w:pStyle w:val="TableBody"/>
            </w:pPr>
            <w:r>
              <w:t>Driver offline queue; Capacitor iOS/Android shells.</w:t>
            </w:r>
          </w:p>
        </w:tc>
        <w:tc>
          <w:tcPr>
            <w:tcW w:type="dxa" w:w="3560"/>
            <w:vAlign w:val="center"/>
          </w:tcPr>
          <w:p>
            <w:pPr>
              <w:pStyle w:val="TableBody"/>
            </w:pPr>
            <w:r>
              <w:t>Field readiness must be tested on devices.</w:t>
            </w:r>
          </w:p>
        </w:tc>
      </w:tr>
      <w:tr>
        <w:trPr>
          <w:cantSplit/>
        </w:trPr>
        <w:tc>
          <w:tcPr>
            <w:tcW w:type="dxa" w:w="1900"/>
            <w:vAlign w:val="center"/>
          </w:tcPr>
          <w:p>
            <w:pPr>
              <w:pStyle w:val="TableBody"/>
            </w:pPr>
            <w:r>
              <w:t>Delivery controls</w:t>
            </w:r>
          </w:p>
        </w:tc>
        <w:tc>
          <w:tcPr>
            <w:tcW w:type="dxa" w:w="3900"/>
            <w:vAlign w:val="center"/>
          </w:tcPr>
          <w:p>
            <w:pPr>
              <w:pStyle w:val="TableBody"/>
            </w:pPr>
            <w:r>
              <w:t>Vitest, Playwright, Go tests, tenant scanners.</w:t>
            </w:r>
          </w:p>
        </w:tc>
        <w:tc>
          <w:tcPr>
            <w:tcW w:type="dxa" w:w="3560"/>
            <w:vAlign w:val="center"/>
          </w:tcPr>
          <w:p>
            <w:pPr>
              <w:pStyle w:val="TableBody"/>
            </w:pPr>
            <w:r>
              <w:t>Good test investment, weakened enforcement.</w:t>
            </w:r>
          </w:p>
        </w:tc>
      </w:tr>
    </w:tbl>
    <w:p>
      <w:pPr>
        <w:pStyle w:val="Caption"/>
      </w:pPr>
    </w:p>
    <w:p>
      <w:pPr>
        <w:pStyle w:val="Source"/>
      </w:pPr>
      <w:r>
        <w:t>Local evidence: package.json; prisma/schema.prisma; src/app; src/lib; mobile-app/package.json; .github/workflows/ci.yml. File counts are inventory counts, not feature-completion scores.</w:t>
      </w:r>
    </w:p>
    <w:p>
      <w:r>
        <w:br w:type="page"/>
      </w:r>
    </w:p>
    <w:p>
      <w:pPr>
        <w:pStyle w:val="Heading1"/>
      </w:pPr>
      <w:r>
        <w:t>02  Validation results and limits</w:t>
      </w:r>
    </w:p>
    <w:p>
      <w:pPr>
        <w:keepNext/>
      </w:pPr>
      <w:r>
        <w:drawing>
          <wp:inline xmlns:a="http://schemas.openxmlformats.org/drawingml/2006/main" xmlns:pic="http://schemas.openxmlformats.org/drawingml/2006/picture">
            <wp:extent cx="5943600" cy="1995351"/>
            <wp:docPr id="1" name="Picture 1" descr="Figure 1. Final scanner output after concurrent external changes. Initially 483 compliant / 1 violation; final 484 / 0. Warnings and exemptions do not prove production isolation."/>
            <wp:cNvGraphicFramePr>
              <a:graphicFrameLocks noChangeAspect="1"/>
            </wp:cNvGraphicFramePr>
            <a:graphic>
              <a:graphicData uri="http://schemas.openxmlformats.org/drawingml/2006/picture">
                <pic:pic>
                  <pic:nvPicPr>
                    <pic:cNvPr id="0" name="validation.png"/>
                    <pic:cNvPicPr/>
                  </pic:nvPicPr>
                  <pic:blipFill>
                    <a:blip r:embed="rId11"/>
                    <a:stretch>
                      <a:fillRect/>
                    </a:stretch>
                  </pic:blipFill>
                  <pic:spPr>
                    <a:xfrm>
                      <a:off x="0" y="0"/>
                      <a:ext cx="5943600" cy="1995351"/>
                    </a:xfrm>
                    <a:prstGeom prst="rect"/>
                  </pic:spPr>
                </pic:pic>
              </a:graphicData>
            </a:graphic>
          </wp:inline>
        </w:drawing>
      </w:r>
    </w:p>
    <w:p>
      <w:pPr>
        <w:pStyle w:val="Caption"/>
      </w:pPr>
      <w:r>
        <w:t>Figure 1. Final scanner output after concurrent external changes. Initially 483 compliant / 1 violation; final 484 / 0. Warnings and exemptions do not prove production isolation.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400"/>
        <w:gridCol w:w="3400"/>
        <w:gridCol w:w="3560"/>
      </w:tblGrid>
      <w:tr>
        <w:trPr>
          <w:cantSplit/>
          <w:tblHeader/>
        </w:trPr>
        <w:tc>
          <w:tcPr>
            <w:tcW w:type="dxa" w:w="2400"/>
            <w:vAlign w:val="center"/>
            <w:shd w:fill="F2F4F7"/>
          </w:tcPr>
          <w:p>
            <w:pPr>
              <w:pStyle w:val="TableBody"/>
            </w:pPr>
            <w:r>
              <w:rPr>
                <w:b/>
              </w:rPr>
              <w:t>Check</w:t>
            </w:r>
          </w:p>
        </w:tc>
        <w:tc>
          <w:tcPr>
            <w:tcW w:type="dxa" w:w="3400"/>
            <w:vAlign w:val="center"/>
            <w:shd w:fill="F2F4F7"/>
          </w:tcPr>
          <w:p>
            <w:pPr>
              <w:pStyle w:val="TableBody"/>
            </w:pPr>
            <w:r>
              <w:rPr>
                <w:b/>
              </w:rPr>
              <w:t>Observed outcome</w:t>
            </w:r>
          </w:p>
        </w:tc>
        <w:tc>
          <w:tcPr>
            <w:tcW w:type="dxa" w:w="3560"/>
            <w:vAlign w:val="center"/>
            <w:shd w:fill="F2F4F7"/>
          </w:tcPr>
          <w:p>
            <w:pPr>
              <w:pStyle w:val="TableBody"/>
            </w:pPr>
            <w:r>
              <w:rPr>
                <w:b/>
              </w:rPr>
              <w:t>Interpretation</w:t>
            </w:r>
          </w:p>
        </w:tc>
      </w:tr>
      <w:tr>
        <w:trPr>
          <w:cantSplit/>
        </w:trPr>
        <w:tc>
          <w:tcPr>
            <w:tcW w:type="dxa" w:w="2400"/>
            <w:vAlign w:val="center"/>
          </w:tcPr>
          <w:p>
            <w:pPr>
              <w:pStyle w:val="TableBody"/>
            </w:pPr>
            <w:r>
              <w:t>Tenant auth / RLS</w:t>
            </w:r>
          </w:p>
        </w:tc>
        <w:tc>
          <w:tcPr>
            <w:tcW w:type="dxa" w:w="3400"/>
            <w:vAlign w:val="center"/>
          </w:tcPr>
          <w:p>
            <w:pPr>
              <w:pStyle w:val="TableBody"/>
            </w:pPr>
            <w:r>
              <w:t>Initial checks failed on readyz; both final checks pass.</w:t>
            </w:r>
          </w:p>
        </w:tc>
        <w:tc>
          <w:tcPr>
            <w:tcW w:type="dxa" w:w="3560"/>
            <w:vAlign w:val="center"/>
          </w:tcPr>
          <w:p>
            <w:pPr>
              <w:pStyle w:val="TableBody"/>
            </w:pPr>
            <w:r>
              <w:t>Scanner classification changed during concurrent work; see final addendum.</w:t>
            </w:r>
          </w:p>
        </w:tc>
      </w:tr>
      <w:tr>
        <w:trPr>
          <w:cantSplit/>
        </w:trPr>
        <w:tc>
          <w:tcPr>
            <w:tcW w:type="dxa" w:w="2400"/>
            <w:vAlign w:val="center"/>
          </w:tcPr>
          <w:p>
            <w:pPr>
              <w:pStyle w:val="TableBody"/>
            </w:pPr>
            <w:r>
              <w:t>Tenant schema</w:t>
            </w:r>
          </w:p>
        </w:tc>
        <w:tc>
          <w:tcPr>
            <w:tcW w:type="dxa" w:w="3400"/>
            <w:vAlign w:val="center"/>
          </w:tcPr>
          <w:p>
            <w:pPr>
              <w:pStyle w:val="TableBody"/>
            </w:pPr>
            <w:r>
              <w:t>Pass: 12 checked models.</w:t>
            </w:r>
          </w:p>
        </w:tc>
        <w:tc>
          <w:tcPr>
            <w:tcW w:type="dxa" w:w="3560"/>
            <w:vAlign w:val="center"/>
          </w:tcPr>
          <w:p>
            <w:pPr>
              <w:pStyle w:val="TableBody"/>
            </w:pPr>
            <w:r>
              <w:t>Subset only; 224 total models exist.</w:t>
            </w:r>
          </w:p>
        </w:tc>
      </w:tr>
      <w:tr>
        <w:trPr>
          <w:cantSplit/>
        </w:trPr>
        <w:tc>
          <w:tcPr>
            <w:tcW w:type="dxa" w:w="2400"/>
            <w:vAlign w:val="center"/>
          </w:tcPr>
          <w:p>
            <w:pPr>
              <w:pStyle w:val="TableBody"/>
            </w:pPr>
            <w:r>
              <w:t>Migration safety</w:t>
            </w:r>
          </w:p>
        </w:tc>
        <w:tc>
          <w:tcPr>
            <w:tcW w:type="dxa" w:w="3400"/>
            <w:vAlign w:val="center"/>
          </w:tcPr>
          <w:p>
            <w:pPr>
              <w:pStyle w:val="TableBody"/>
            </w:pPr>
            <w:r>
              <w:t>Pass: 140 migrations; 3 allowlisted.</w:t>
            </w:r>
          </w:p>
        </w:tc>
        <w:tc>
          <w:tcPr>
            <w:tcW w:type="dxa" w:w="3560"/>
            <w:vAlign w:val="center"/>
          </w:tcPr>
          <w:p>
            <w:pPr>
              <w:pStyle w:val="TableBody"/>
            </w:pPr>
            <w:r>
              <w:t>No unapproved destructive SQL found by scanner.</w:t>
            </w:r>
          </w:p>
        </w:tc>
      </w:tr>
      <w:tr>
        <w:trPr>
          <w:cantSplit/>
        </w:trPr>
        <w:tc>
          <w:tcPr>
            <w:tcW w:type="dxa" w:w="2400"/>
            <w:vAlign w:val="center"/>
          </w:tcPr>
          <w:p>
            <w:pPr>
              <w:pStyle w:val="TableBody"/>
            </w:pPr>
            <w:r>
              <w:t>TypeScript</w:t>
            </w:r>
          </w:p>
        </w:tc>
        <w:tc>
          <w:tcPr>
            <w:tcW w:type="dxa" w:w="3400"/>
            <w:vAlign w:val="center"/>
          </w:tcPr>
          <w:p>
            <w:pPr>
              <w:pStyle w:val="TableBody"/>
            </w:pPr>
            <w:r>
              <w:t>Full check attempted, then retried.</w:t>
            </w:r>
          </w:p>
        </w:tc>
        <w:tc>
          <w:tcPr>
            <w:tcW w:type="dxa" w:w="3560"/>
            <w:vAlign w:val="center"/>
          </w:tcPr>
          <w:p>
            <w:pPr>
              <w:pStyle w:val="TableBody"/>
            </w:pPr>
            <w:r>
              <w:t>Final result in section 17; no assumed pass.</w:t>
            </w:r>
          </w:p>
        </w:tc>
      </w:tr>
      <w:tr>
        <w:trPr>
          <w:cantSplit/>
        </w:trPr>
        <w:tc>
          <w:tcPr>
            <w:tcW w:type="dxa" w:w="2400"/>
            <w:vAlign w:val="center"/>
          </w:tcPr>
          <w:p>
            <w:pPr>
              <w:pStyle w:val="TableBody"/>
            </w:pPr>
            <w:r>
              <w:t>Unit / lint / Go / runtime</w:t>
            </w:r>
          </w:p>
        </w:tc>
        <w:tc>
          <w:tcPr>
            <w:tcW w:type="dxa" w:w="3400"/>
            <w:vAlign w:val="center"/>
          </w:tcPr>
          <w:p>
            <w:pPr>
              <w:pStyle w:val="TableBody"/>
            </w:pPr>
            <w:r>
              <w:t>See execution addendum in section 17.</w:t>
            </w:r>
          </w:p>
        </w:tc>
        <w:tc>
          <w:tcPr>
            <w:tcW w:type="dxa" w:w="3560"/>
            <w:vAlign w:val="center"/>
          </w:tcPr>
          <w:p>
            <w:pPr>
              <w:pStyle w:val="TableBody"/>
            </w:pPr>
            <w:r>
              <w:t>Distinguishes completed results from blocked checks.</w:t>
            </w:r>
          </w:p>
        </w:tc>
      </w:tr>
      <w:tr>
        <w:trPr>
          <w:cantSplit/>
        </w:trPr>
        <w:tc>
          <w:tcPr>
            <w:tcW w:type="dxa" w:w="2400"/>
            <w:vAlign w:val="center"/>
          </w:tcPr>
          <w:p>
            <w:pPr>
              <w:pStyle w:val="TableBody"/>
            </w:pPr>
            <w:r>
              <w:t>Authenticated E2E / load</w:t>
            </w:r>
          </w:p>
        </w:tc>
        <w:tc>
          <w:tcPr>
            <w:tcW w:type="dxa" w:w="3400"/>
            <w:vAlign w:val="center"/>
          </w:tcPr>
          <w:p>
            <w:pPr>
              <w:pStyle w:val="TableBody"/>
            </w:pPr>
            <w:r>
              <w:t>Not certified against an isolated seeded stack.</w:t>
            </w:r>
          </w:p>
        </w:tc>
        <w:tc>
          <w:tcPr>
            <w:tcW w:type="dxa" w:w="3560"/>
            <w:vAlign w:val="center"/>
          </w:tcPr>
          <w:p>
            <w:pPr>
              <w:pStyle w:val="TableBody"/>
            </w:pPr>
            <w:r>
              <w:t>Required before a customer-data pilot.</w:t>
            </w:r>
          </w:p>
        </w:tc>
      </w:tr>
    </w:tbl>
    <w:p>
      <w:pPr>
        <w:pStyle w:val="Caption"/>
      </w:pPr>
    </w:p>
    <w:p>
      <w:r>
        <w:t>Test isolation: the Node test process was pointed at a dummy loopback database, with staging overrides disabled. This avoids using the hard-coded remote fallback. Database-dependent tests cannot establish correctness under this setup. No coverage percentage is inferred from file counts.</w:t>
      </w:r>
    </w:p>
    <w:p>
      <w:pPr>
        <w:pStyle w:val="Source"/>
      </w:pPr>
      <w:r>
        <w:t>Evidence files: .audit-reports/prd-2026-09-15/{tenant-auth,tenant-rls,tenant-schema,migrations,typecheck,unit,lint,server,go-test}.log. Existing source edits were not changed by this audit.</w:t>
      </w:r>
    </w:p>
    <w:p>
      <w:r>
        <w:br w:type="page"/>
      </w:r>
    </w:p>
    <w:p>
      <w:pPr>
        <w:pStyle w:val="Heading1"/>
      </w:pPr>
      <w:r>
        <w:t>03  Strengths, weaknesses and release risks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650"/>
        <w:gridCol w:w="4400"/>
        <w:gridCol w:w="4310"/>
      </w:tblGrid>
      <w:tr>
        <w:trPr>
          <w:cantSplit/>
          <w:tblHeader/>
        </w:trPr>
        <w:tc>
          <w:tcPr>
            <w:tcW w:type="dxa" w:w="650"/>
            <w:vAlign w:val="center"/>
            <w:shd w:fill="F2F4F7"/>
          </w:tcPr>
          <w:p>
            <w:pPr>
              <w:pStyle w:val="TableBody"/>
            </w:pPr>
            <w:r>
              <w:rPr>
                <w:b/>
              </w:rPr>
              <w:t>Priority</w:t>
            </w:r>
          </w:p>
        </w:tc>
        <w:tc>
          <w:tcPr>
            <w:tcW w:type="dxa" w:w="4400"/>
            <w:vAlign w:val="center"/>
            <w:shd w:fill="F2F4F7"/>
          </w:tcPr>
          <w:p>
            <w:pPr>
              <w:pStyle w:val="TableBody"/>
            </w:pPr>
            <w:r>
              <w:rPr>
                <w:b/>
              </w:rPr>
              <w:t>Finding and evidence</w:t>
            </w:r>
          </w:p>
        </w:tc>
        <w:tc>
          <w:tcPr>
            <w:tcW w:type="dxa" w:w="4310"/>
            <w:vAlign w:val="center"/>
            <w:shd w:fill="F2F4F7"/>
          </w:tcPr>
          <w:p>
            <w:pPr>
              <w:pStyle w:val="TableBody"/>
            </w:pPr>
            <w:r>
              <w:rPr>
                <w:b/>
              </w:rPr>
              <w:t>Required response</w:t>
            </w:r>
          </w:p>
        </w:tc>
      </w:tr>
      <w:tr>
        <w:trPr>
          <w:cantSplit/>
        </w:trPr>
        <w:tc>
          <w:tcPr>
            <w:tcW w:type="dxa" w:w="650"/>
            <w:vAlign w:val="center"/>
          </w:tcPr>
          <w:p>
            <w:pPr>
              <w:pStyle w:val="TableBody"/>
            </w:pPr>
            <w:r>
              <w:t>P0</w:t>
            </w:r>
          </w:p>
        </w:tc>
        <w:tc>
          <w:tcPr>
            <w:tcW w:type="dxa" w:w="4400"/>
            <w:vAlign w:val="center"/>
          </w:tcPr>
          <w:p>
            <w:pPr>
              <w:pStyle w:val="TableBody"/>
            </w:pPr>
            <w:r>
              <w:t>Hard-coded staging credential in tests/test-utils.ts. Validity was not tested.</w:t>
            </w:r>
          </w:p>
        </w:tc>
        <w:tc>
          <w:tcPr>
            <w:tcW w:type="dxa" w:w="4310"/>
            <w:vAlign w:val="center"/>
          </w:tcPr>
          <w:p>
            <w:pPr>
              <w:pStyle w:val="TableBody"/>
            </w:pPr>
            <w:r>
              <w:t>Rotate/revoke it; remove fallback; scan tracked history and build artifacts. Owner: security/backend.</w:t>
            </w:r>
          </w:p>
        </w:tc>
      </w:tr>
      <w:tr>
        <w:trPr>
          <w:cantSplit/>
        </w:trPr>
        <w:tc>
          <w:tcPr>
            <w:tcW w:type="dxa" w:w="650"/>
            <w:vAlign w:val="center"/>
          </w:tcPr>
          <w:p>
            <w:pPr>
              <w:pStyle w:val="TableBody"/>
            </w:pPr>
            <w:r>
              <w:t>P0</w:t>
            </w:r>
          </w:p>
        </w:tc>
        <w:tc>
          <w:tcPr>
            <w:tcW w:type="dxa" w:w="4400"/>
            <w:vAlign w:val="center"/>
          </w:tcPr>
          <w:p>
            <w:pPr>
              <w:pStyle w:val="TableBody"/>
            </w:pPr>
            <w:r>
              <w:t>tenant-session.ts: hmacVerify accepts the known development secret even when a different secret is configured.</w:t>
            </w:r>
          </w:p>
        </w:tc>
        <w:tc>
          <w:tcPr>
            <w:tcW w:type="dxa" w:w="4310"/>
            <w:vAlign w:val="center"/>
          </w:tcPr>
          <w:p>
            <w:pPr>
              <w:pStyle w:val="TableBody"/>
            </w:pPr>
            <w:r>
              <w:t>Remove fallback verification; invalidate affected sessions; require strong secret; test rejection of default-signed tokens.</w:t>
            </w:r>
          </w:p>
        </w:tc>
      </w:tr>
      <w:tr>
        <w:trPr>
          <w:cantSplit/>
        </w:trPr>
        <w:tc>
          <w:tcPr>
            <w:tcW w:type="dxa" w:w="650"/>
            <w:vAlign w:val="center"/>
          </w:tcPr>
          <w:p>
            <w:pPr>
              <w:pStyle w:val="TableBody"/>
            </w:pPr>
            <w:r>
              <w:t>P1</w:t>
            </w:r>
          </w:p>
        </w:tc>
        <w:tc>
          <w:tcPr>
            <w:tcW w:type="dxa" w:w="4400"/>
            <w:vAlign w:val="center"/>
          </w:tcPr>
          <w:p>
            <w:pPr>
              <w:pStyle w:val="TableBody"/>
            </w:pPr>
            <w:r>
              <w:t>npm production-tree audit: 35 findings, including 2 critical and 5 high severity dependency entries.</w:t>
            </w:r>
          </w:p>
        </w:tc>
        <w:tc>
          <w:tcPr>
            <w:tcW w:type="dxa" w:w="4310"/>
            <w:vAlign w:val="center"/>
          </w:tcPr>
          <w:p>
            <w:pPr>
              <w:pStyle w:val="TableBody"/>
            </w:pPr>
            <w:r>
              <w:t>Prioritize fast-xml-parser and form-data; assess reachability and upgrade parent packages with regression tests.</w:t>
            </w:r>
          </w:p>
        </w:tc>
      </w:tr>
      <w:tr>
        <w:trPr>
          <w:cantSplit/>
        </w:trPr>
        <w:tc>
          <w:tcPr>
            <w:tcW w:type="dxa" w:w="650"/>
            <w:vAlign w:val="center"/>
          </w:tcPr>
          <w:p>
            <w:pPr>
              <w:pStyle w:val="TableBody"/>
            </w:pPr>
            <w:r>
              <w:t>P1</w:t>
            </w:r>
          </w:p>
        </w:tc>
        <w:tc>
          <w:tcPr>
            <w:tcW w:type="dxa" w:w="4400"/>
            <w:vAlign w:val="center"/>
          </w:tcPr>
          <w:p>
            <w:pPr>
              <w:pStyle w:val="TableBody"/>
            </w:pPr>
            <w:r>
              <w:t>Build skips TS/lint; ci.yml soft-fails build, tests and schema drift.</w:t>
            </w:r>
          </w:p>
        </w:tc>
        <w:tc>
          <w:tcPr>
            <w:tcW w:type="dxa" w:w="4310"/>
            <w:vAlign w:val="center"/>
          </w:tcPr>
          <w:p>
            <w:pPr>
              <w:pStyle w:val="TableBody"/>
            </w:pPr>
            <w:r>
              <w:t>Make quality gates blocking after repair; align CI Node 20 with package Node 22 requirement.</w:t>
            </w:r>
          </w:p>
        </w:tc>
      </w:tr>
      <w:tr>
        <w:trPr>
          <w:cantSplit/>
        </w:trPr>
        <w:tc>
          <w:tcPr>
            <w:tcW w:type="dxa" w:w="650"/>
            <w:vAlign w:val="center"/>
          </w:tcPr>
          <w:p>
            <w:pPr>
              <w:pStyle w:val="TableBody"/>
            </w:pPr>
            <w:r>
              <w:t>P1</w:t>
            </w:r>
          </w:p>
        </w:tc>
        <w:tc>
          <w:tcPr>
            <w:tcW w:type="dxa" w:w="4400"/>
            <w:vAlign w:val="center"/>
          </w:tcPr>
          <w:p>
            <w:pPr>
              <w:pStyle w:val="TableBody"/>
            </w:pPr>
            <w:r>
              <w:t>Clean PostgreSQL 16 migration replay fails: rental_rate_quotes missing at 20260815140000_tenant_001_leasing_rental_isolation.</w:t>
            </w:r>
          </w:p>
        </w:tc>
        <w:tc>
          <w:tcPr>
            <w:tcW w:type="dxa" w:w="4310"/>
            <w:vAlign w:val="center"/>
          </w:tcPr>
          <w:p>
            <w:pPr>
              <w:pStyle w:val="TableBody"/>
            </w:pPr>
            <w:r>
              <w:t>Repair migration ordering/baseline; replay from empty DB and compare final schema before pilot.</w:t>
            </w:r>
          </w:p>
        </w:tc>
      </w:tr>
      <w:tr>
        <w:trPr>
          <w:cantSplit/>
        </w:trPr>
        <w:tc>
          <w:tcPr>
            <w:tcW w:type="dxa" w:w="650"/>
            <w:vAlign w:val="center"/>
          </w:tcPr>
          <w:p>
            <w:pPr>
              <w:pStyle w:val="TableBody"/>
            </w:pPr>
            <w:r>
              <w:t>P1</w:t>
            </w:r>
          </w:p>
        </w:tc>
        <w:tc>
          <w:tcPr>
            <w:tcW w:type="dxa" w:w="4400"/>
            <w:vAlign w:val="center"/>
          </w:tcPr>
          <w:p>
            <w:pPr>
              <w:pStyle w:val="TableBody"/>
            </w:pPr>
            <w:r>
              <w:t>Go proxy defaults to localhost:8080; next.config and api-shim both own routing.</w:t>
            </w:r>
          </w:p>
        </w:tc>
        <w:tc>
          <w:tcPr>
            <w:tcW w:type="dxa" w:w="4310"/>
            <w:vAlign w:val="center"/>
          </w:tcPr>
          <w:p>
            <w:pPr>
              <w:pStyle w:val="TableBody"/>
            </w:pPr>
            <w:r>
              <w:t>Publish one route-ownership manifest and prove deployed backend contract/readiness.</w:t>
            </w:r>
          </w:p>
        </w:tc>
      </w:tr>
      <w:tr>
        <w:trPr>
          <w:cantSplit/>
        </w:trPr>
        <w:tc>
          <w:tcPr>
            <w:tcW w:type="dxa" w:w="650"/>
            <w:vAlign w:val="center"/>
          </w:tcPr>
          <w:p>
            <w:pPr>
              <w:pStyle w:val="TableBody"/>
            </w:pPr>
            <w:r>
              <w:t>P1</w:t>
            </w:r>
          </w:p>
        </w:tc>
        <w:tc>
          <w:tcPr>
            <w:tcW w:type="dxa" w:w="4400"/>
            <w:vAlign w:val="center"/>
          </w:tcPr>
          <w:p>
            <w:pPr>
              <w:pStyle w:val="TableBody"/>
            </w:pPr>
            <w:r>
              <w:t>Health returns DB errors; readyz returns backend URL and has no fetch timeout.</w:t>
            </w:r>
          </w:p>
        </w:tc>
        <w:tc>
          <w:tcPr>
            <w:tcW w:type="dxa" w:w="4310"/>
            <w:vAlign w:val="center"/>
          </w:tcPr>
          <w:p>
            <w:pPr>
              <w:pStyle w:val="TableBody"/>
            </w:pPr>
            <w:r>
              <w:t>Public probes return minimal status; bound upstream calls; keep diagnostics private.</w:t>
            </w:r>
          </w:p>
        </w:tc>
      </w:tr>
      <w:tr>
        <w:trPr>
          <w:cantSplit/>
        </w:trPr>
        <w:tc>
          <w:tcPr>
            <w:tcW w:type="dxa" w:w="650"/>
            <w:vAlign w:val="center"/>
          </w:tcPr>
          <w:p>
            <w:pPr>
              <w:pStyle w:val="TableBody"/>
            </w:pPr>
            <w:r>
              <w:t>P1</w:t>
            </w:r>
          </w:p>
        </w:tc>
        <w:tc>
          <w:tcPr>
            <w:tcW w:type="dxa" w:w="4400"/>
            <w:vAlign w:val="center"/>
          </w:tcPr>
          <w:p>
            <w:pPr>
              <w:pStyle w:val="TableBody"/>
            </w:pPr>
            <w:r>
              <w:t>Initial readyz scanner failure cleared in final RLS rerun; public diagnostic response remains.</w:t>
            </w:r>
          </w:p>
        </w:tc>
        <w:tc>
          <w:tcPr>
            <w:tcW w:type="dxa" w:w="4310"/>
            <w:vAlign w:val="center"/>
          </w:tcPr>
          <w:p>
            <w:pPr>
              <w:pStyle w:val="TableBody"/>
            </w:pPr>
            <w:r>
              <w:t>Keep explicit probe policy and redaction tests; scanner clearance is not penetration-test evidence.</w:t>
            </w:r>
          </w:p>
        </w:tc>
      </w:tr>
      <w:tr>
        <w:trPr>
          <w:cantSplit/>
        </w:trPr>
        <w:tc>
          <w:tcPr>
            <w:tcW w:type="dxa" w:w="650"/>
            <w:vAlign w:val="center"/>
          </w:tcPr>
          <w:p>
            <w:pPr>
              <w:pStyle w:val="TableBody"/>
            </w:pPr>
            <w:r>
              <w:t>P2</w:t>
            </w:r>
          </w:p>
        </w:tc>
        <w:tc>
          <w:tcPr>
            <w:tcW w:type="dxa" w:w="4400"/>
            <w:vAlign w:val="center"/>
          </w:tcPr>
          <w:p>
            <w:pPr>
              <w:pStyle w:val="TableBody"/>
            </w:pPr>
            <w:r>
              <w:t>README is a C1 template; Compose references an absent root Dockerfile.</w:t>
            </w:r>
          </w:p>
        </w:tc>
        <w:tc>
          <w:tcPr>
            <w:tcW w:type="dxa" w:w="4310"/>
            <w:vAlign w:val="center"/>
          </w:tcPr>
          <w:p>
            <w:pPr>
              <w:pStyle w:val="TableBody"/>
            </w:pPr>
            <w:r>
              <w:t>Create reproducible operator/developer runbooks and a supported deployment path.</w:t>
            </w:r>
          </w:p>
        </w:tc>
      </w:tr>
    </w:tbl>
    <w:p>
      <w:pPr>
        <w:pStyle w:val="Caption"/>
      </w:pPr>
    </w:p>
    <w:p>
      <w:pPr>
        <w:pStyle w:val="Heading2"/>
      </w:pPr>
      <w:r>
        <w:t>Strengths worth retaining</w:t>
      </w:r>
    </w:p>
    <w:p>
      <w:r>
        <w:t>Tenant-scoped transactions and request-local RLS context provide a serious isolation foundation. Bus assignment validation covers availability, conflicts, document expiry and driver eligibility. The driver offline queue includes durable retry and failed-sync handling. Finance bridges and toll reconciliation support a closed operational loop.</w:t>
      </w:r>
    </w:p>
    <w:p>
      <w:pPr>
        <w:pStyle w:val="Heading2"/>
      </w:pPr>
      <w:r>
        <w:t>Commercial weaknesses</w:t>
      </w:r>
    </w:p>
    <w:p>
      <w:r>
        <w:t>Broad scope can bury daily work in navigation and increase onboarding effort. No customer interviews, usage funnel, retention cohort, unit economics or verified ROI were available in the reviewed evidence. Competitors already claim extensive functionality; execution quality must become the proof.</w:t>
      </w:r>
    </w:p>
    <w:p>
      <w:pPr>
        <w:pStyle w:val="Source"/>
      </w:pPr>
      <w:r>
        <w:t>Severity reflects release risk, not a penetration-test rating. Sources: tests/test-utils.ts; src/lib/tenant-session.ts; src/lib/api-shim.ts; next.config.ts; ci.yml; health and readyz routes; README.md; docker-compose.yml.</w:t>
      </w:r>
    </w:p>
    <w:p>
      <w:r>
        <w:br w:type="page"/>
      </w:r>
    </w:p>
    <w:p>
      <w:pPr>
        <w:pStyle w:val="Heading1"/>
      </w:pPr>
      <w:r>
        <w:t>04  Market context and opportunity sizing</w:t>
      </w:r>
    </w:p>
    <w:p>
      <w:pPr>
        <w:keepNext/>
      </w:pPr>
      <w:r>
        <w:drawing>
          <wp:inline xmlns:a="http://schemas.openxmlformats.org/drawingml/2006/main" xmlns:pic="http://schemas.openxmlformats.org/drawingml/2006/picture">
            <wp:extent cx="5943600" cy="1995351"/>
            <wp:docPr id="2" name="Picture 2" descr="Figure 2. RTA reported company counts for Dubai, 2024–2025 [S1]. Calculated growth is 39.8%; the authority describes growth as exceeding 40%."/>
            <wp:cNvGraphicFramePr>
              <a:graphicFrameLocks noChangeAspect="1"/>
            </wp:cNvGraphicFramePr>
            <a:graphic>
              <a:graphicData uri="http://schemas.openxmlformats.org/drawingml/2006/picture">
                <pic:pic>
                  <pic:nvPicPr>
                    <pic:cNvPr id="0" name="market.png"/>
                    <pic:cNvPicPr/>
                  </pic:nvPicPr>
                  <pic:blipFill>
                    <a:blip r:embed="rId12"/>
                    <a:stretch>
                      <a:fillRect/>
                    </a:stretch>
                  </pic:blipFill>
                  <pic:spPr>
                    <a:xfrm>
                      <a:off x="0" y="0"/>
                      <a:ext cx="5943600" cy="1995351"/>
                    </a:xfrm>
                    <a:prstGeom prst="rect"/>
                  </pic:spPr>
                </pic:pic>
              </a:graphicData>
            </a:graphic>
          </wp:inline>
        </w:drawing>
      </w:r>
    </w:p>
    <w:p>
      <w:pPr>
        <w:pStyle w:val="Caption"/>
      </w:pPr>
      <w:r>
        <w:t>Figure 2. RTA reported company counts for Dubai, 2024–2025 [S1]. Calculated growth is 39.8%; the authority describes growth as exceeding 40%.</w:t>
      </w:r>
    </w:p>
    <w:p>
      <w:r>
        <w:t>RTA reports 16,917 licensed commercial transport companies and more than 500,000 registered sector vehicles in 2025, with direct annual economic contribution above AED 8.4 billion [S1]. This signals an active buyer ecosystem; economic contribution is not software TAM. Counts include segments outside the recommended customer profile.</w:t>
      </w:r>
    </w:p>
    <w:p>
      <w:pPr>
        <w:pStyle w:val="Heading2"/>
      </w:pPr>
      <w:r>
        <w:t>Bottom-up planning model — assumptions, not market research</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550"/>
        <w:gridCol w:w="3700"/>
        <w:gridCol w:w="3110"/>
      </w:tblGrid>
      <w:tr>
        <w:trPr>
          <w:cantSplit/>
          <w:tblHeader/>
        </w:trPr>
        <w:tc>
          <w:tcPr>
            <w:tcW w:type="dxa" w:w="2550"/>
            <w:vAlign w:val="center"/>
            <w:shd w:fill="F2F4F7"/>
          </w:tcPr>
          <w:p>
            <w:pPr>
              <w:pStyle w:val="TableBody"/>
            </w:pPr>
            <w:r>
              <w:rPr>
                <w:b/>
              </w:rPr>
              <w:t>Scenario</w:t>
            </w:r>
          </w:p>
        </w:tc>
        <w:tc>
          <w:tcPr>
            <w:tcW w:type="dxa" w:w="3700"/>
            <w:vAlign w:val="center"/>
            <w:shd w:fill="F2F4F7"/>
          </w:tcPr>
          <w:p>
            <w:pPr>
              <w:pStyle w:val="TableBody"/>
            </w:pPr>
            <w:r>
              <w:rPr>
                <w:b/>
              </w:rPr>
              <w:t>Eligible accounts × annual contract</w:t>
            </w:r>
          </w:p>
        </w:tc>
        <w:tc>
          <w:tcPr>
            <w:tcW w:type="dxa" w:w="3110"/>
            <w:vAlign w:val="center"/>
            <w:shd w:fill="F2F4F7"/>
          </w:tcPr>
          <w:p>
            <w:pPr>
              <w:pStyle w:val="TableBody"/>
            </w:pPr>
            <w:r>
              <w:rPr>
                <w:b/>
              </w:rPr>
              <w:t>Illustrative annual revenue pool</w:t>
            </w:r>
          </w:p>
        </w:tc>
      </w:tr>
      <w:tr>
        <w:trPr>
          <w:cantSplit/>
        </w:trPr>
        <w:tc>
          <w:tcPr>
            <w:tcW w:type="dxa" w:w="2550"/>
            <w:vAlign w:val="center"/>
          </w:tcPr>
          <w:p>
            <w:pPr>
              <w:pStyle w:val="TableBody"/>
            </w:pPr>
            <w:r>
              <w:t>Narrow serviceable pool</w:t>
            </w:r>
          </w:p>
        </w:tc>
        <w:tc>
          <w:tcPr>
            <w:tcW w:type="dxa" w:w="3700"/>
            <w:vAlign w:val="center"/>
          </w:tcPr>
          <w:p>
            <w:pPr>
              <w:pStyle w:val="TableBody"/>
            </w:pPr>
            <w:r>
              <w:t>250 × AED 24,000</w:t>
            </w:r>
          </w:p>
        </w:tc>
        <w:tc>
          <w:tcPr>
            <w:tcW w:type="dxa" w:w="3110"/>
            <w:vAlign w:val="center"/>
          </w:tcPr>
          <w:p>
            <w:pPr>
              <w:pStyle w:val="TableBody"/>
            </w:pPr>
            <w:r>
              <w:t>AED 6.0 million</w:t>
            </w:r>
          </w:p>
        </w:tc>
      </w:tr>
      <w:tr>
        <w:trPr>
          <w:cantSplit/>
        </w:trPr>
        <w:tc>
          <w:tcPr>
            <w:tcW w:type="dxa" w:w="2550"/>
            <w:vAlign w:val="center"/>
          </w:tcPr>
          <w:p>
            <w:pPr>
              <w:pStyle w:val="TableBody"/>
            </w:pPr>
            <w:r>
              <w:t>Base planning pool</w:t>
            </w:r>
          </w:p>
        </w:tc>
        <w:tc>
          <w:tcPr>
            <w:tcW w:type="dxa" w:w="3700"/>
            <w:vAlign w:val="center"/>
          </w:tcPr>
          <w:p>
            <w:pPr>
              <w:pStyle w:val="TableBody"/>
            </w:pPr>
            <w:r>
              <w:t>750 × AED 36,000</w:t>
            </w:r>
          </w:p>
        </w:tc>
        <w:tc>
          <w:tcPr>
            <w:tcW w:type="dxa" w:w="3110"/>
            <w:vAlign w:val="center"/>
          </w:tcPr>
          <w:p>
            <w:pPr>
              <w:pStyle w:val="TableBody"/>
            </w:pPr>
            <w:r>
              <w:t>AED 27.0 million</w:t>
            </w:r>
          </w:p>
        </w:tc>
      </w:tr>
      <w:tr>
        <w:trPr>
          <w:cantSplit/>
        </w:trPr>
        <w:tc>
          <w:tcPr>
            <w:tcW w:type="dxa" w:w="2550"/>
            <w:vAlign w:val="center"/>
          </w:tcPr>
          <w:p>
            <w:pPr>
              <w:pStyle w:val="TableBody"/>
            </w:pPr>
            <w:r>
              <w:t>Broader expansion pool</w:t>
            </w:r>
          </w:p>
        </w:tc>
        <w:tc>
          <w:tcPr>
            <w:tcW w:type="dxa" w:w="3700"/>
            <w:vAlign w:val="center"/>
          </w:tcPr>
          <w:p>
            <w:pPr>
              <w:pStyle w:val="TableBody"/>
            </w:pPr>
            <w:r>
              <w:t>1,500 × AED 48,000</w:t>
            </w:r>
          </w:p>
        </w:tc>
        <w:tc>
          <w:tcPr>
            <w:tcW w:type="dxa" w:w="3110"/>
            <w:vAlign w:val="center"/>
          </w:tcPr>
          <w:p>
            <w:pPr>
              <w:pStyle w:val="TableBody"/>
            </w:pPr>
            <w:r>
              <w:t>AED 72.0 million</w:t>
            </w:r>
          </w:p>
        </w:tc>
      </w:tr>
      <w:tr>
        <w:trPr>
          <w:cantSplit/>
        </w:trPr>
        <w:tc>
          <w:tcPr>
            <w:tcW w:type="dxa" w:w="2550"/>
            <w:vAlign w:val="center"/>
          </w:tcPr>
          <w:p>
            <w:pPr>
              <w:pStyle w:val="TableBody"/>
            </w:pPr>
            <w:r>
              <w:t>Year-one base capture</w:t>
            </w:r>
          </w:p>
        </w:tc>
        <w:tc>
          <w:tcPr>
            <w:tcW w:type="dxa" w:w="3700"/>
            <w:vAlign w:val="center"/>
          </w:tcPr>
          <w:p>
            <w:pPr>
              <w:pStyle w:val="TableBody"/>
            </w:pPr>
            <w:r>
              <w:t>12 accounts × AED 36,000</w:t>
            </w:r>
          </w:p>
        </w:tc>
        <w:tc>
          <w:tcPr>
            <w:tcW w:type="dxa" w:w="3110"/>
            <w:vAlign w:val="center"/>
          </w:tcPr>
          <w:p>
            <w:pPr>
              <w:pStyle w:val="TableBody"/>
            </w:pPr>
            <w:r>
              <w:t>AED 432,000 exit ARR</w:t>
            </w:r>
          </w:p>
        </w:tc>
      </w:tr>
    </w:tbl>
    <w:p>
      <w:pPr>
        <w:pStyle w:val="Caption"/>
      </w:pPr>
    </w:p>
    <w:p>
      <w:r>
        <w:t>The assumed eligible accounts equal roughly 1.5%, 4.4% and 8.9% of the reported Dubai company base. These fractions are not observed segment shares. Validate fleet sizes and buying authority through a qualified account list before calling any scenario SAM. No unsupported GCC-wide TAM estimate is supplied.</w:t>
      </w:r>
    </w:p>
    <w:p>
      <w:r>
        <w:t>Demand hypothesis: growing transport operations need less manual coordination, clear document readiness and faster exception handling. Adoption barriers include incumbent tracking contracts, migration quality, driver training, local support and regulatory procurement requirements.</w:t>
      </w:r>
    </w:p>
    <w:p>
      <w:pPr>
        <w:pStyle w:val="Source"/>
      </w:pPr>
      <w:r>
        <w:t>[S1] RTA, 18 February 2026. Statistics concern Dubai commercial transport, not all UAE/GCC fleets. ARR excludes setup fees, hardware and tax; it is exit run rate, not recognized first-year revenue.</w:t>
      </w:r>
    </w:p>
    <w:p>
      <w:r>
        <w:br w:type="page"/>
      </w:r>
    </w:p>
    <w:p>
      <w:pPr>
        <w:pStyle w:val="Heading1"/>
      </w:pPr>
      <w:r>
        <w:t>05  Competitive landscape</w:t>
      </w:r>
    </w:p>
    <w:p>
      <w:r>
        <w:t>Comparison uses vendor-published capabilities. Pricing was checked on 15 September 2026; request current quotes before commercial decisions. Unlisted capabilities are unknown, not proven absent.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700"/>
        <w:gridCol w:w="4190"/>
        <w:gridCol w:w="3470"/>
      </w:tblGrid>
      <w:tr>
        <w:trPr>
          <w:cantSplit/>
          <w:tblHeader/>
        </w:trPr>
        <w:tc>
          <w:tcPr>
            <w:tcW w:type="dxa" w:w="1700"/>
            <w:vAlign w:val="center"/>
            <w:shd w:fill="F2F4F7"/>
          </w:tcPr>
          <w:p>
            <w:pPr>
              <w:pStyle w:val="TableBody"/>
            </w:pPr>
            <w:r>
              <w:rPr>
                <w:b/>
              </w:rPr>
              <w:t>Competitor</w:t>
            </w:r>
          </w:p>
        </w:tc>
        <w:tc>
          <w:tcPr>
            <w:tcW w:type="dxa" w:w="4190"/>
            <w:vAlign w:val="center"/>
            <w:shd w:fill="F2F4F7"/>
          </w:tcPr>
          <w:p>
            <w:pPr>
              <w:pStyle w:val="TableBody"/>
            </w:pPr>
            <w:r>
              <w:rPr>
                <w:b/>
              </w:rPr>
              <w:t>Published focus / price signal</w:t>
            </w:r>
          </w:p>
        </w:tc>
        <w:tc>
          <w:tcPr>
            <w:tcW w:type="dxa" w:w="3470"/>
            <w:vAlign w:val="center"/>
            <w:shd w:fill="F2F4F7"/>
          </w:tcPr>
          <w:p>
            <w:pPr>
              <w:pStyle w:val="TableBody"/>
            </w:pPr>
            <w:r>
              <w:rPr>
                <w:b/>
              </w:rPr>
              <w:t>Implication for Fleet360</w:t>
            </w:r>
          </w:p>
        </w:tc>
      </w:tr>
      <w:tr>
        <w:trPr>
          <w:cantSplit/>
        </w:trPr>
        <w:tc>
          <w:tcPr>
            <w:tcW w:type="dxa" w:w="1700"/>
            <w:vAlign w:val="center"/>
          </w:tcPr>
          <w:p>
            <w:pPr>
              <w:pStyle w:val="TableBody"/>
            </w:pPr>
            <w:r>
              <w:t>Fleetio [S2]</w:t>
            </w:r>
          </w:p>
        </w:tc>
        <w:tc>
          <w:tcPr>
            <w:tcW w:type="dxa" w:w="4190"/>
            <w:vAlign w:val="center"/>
          </w:tcPr>
          <w:p>
            <w:pPr>
              <w:pStyle w:val="TableBody"/>
            </w:pPr>
            <w:r>
              <w:t>Maintenance, inspections, work orders, TCO. Displayed annual plans: USD 4/7/10 per vehicle/month; fleet-band conditions apply.</w:t>
            </w:r>
          </w:p>
        </w:tc>
        <w:tc>
          <w:tcPr>
            <w:tcW w:type="dxa" w:w="3470"/>
            <w:vAlign w:val="center"/>
          </w:tcPr>
          <w:p>
            <w:pPr>
              <w:pStyle w:val="TableBody"/>
            </w:pPr>
            <w:r>
              <w:t>Maintenance alone is a crowded wedge. Prove operations-to-cost closure and local onboarding.</w:t>
            </w:r>
          </w:p>
        </w:tc>
      </w:tr>
      <w:tr>
        <w:trPr>
          <w:cantSplit/>
        </w:trPr>
        <w:tc>
          <w:tcPr>
            <w:tcW w:type="dxa" w:w="1700"/>
            <w:vAlign w:val="center"/>
          </w:tcPr>
          <w:p>
            <w:pPr>
              <w:pStyle w:val="TableBody"/>
            </w:pPr>
            <w:r>
              <w:t>Samsara [S3]</w:t>
            </w:r>
          </w:p>
        </w:tc>
        <w:tc>
          <w:tcPr>
            <w:tcW w:type="dxa" w:w="4190"/>
            <w:vAlign w:val="center"/>
          </w:tcPr>
          <w:p>
            <w:pPr>
              <w:pStyle w:val="TableBody"/>
            </w:pPr>
            <w:r>
              <w:t>GPS, diagnostics, routing, driver workflows, fuel and safety. Pricing inquiry required on reviewed page.</w:t>
            </w:r>
          </w:p>
        </w:tc>
        <w:tc>
          <w:tcPr>
            <w:tcW w:type="dxa" w:w="3470"/>
            <w:vAlign w:val="center"/>
          </w:tcPr>
          <w:p>
            <w:pPr>
              <w:pStyle w:val="TableBody"/>
            </w:pPr>
            <w:r>
              <w:t>Treat as a quality benchmark and potential integration, not a hardware business to replicate.</w:t>
            </w:r>
          </w:p>
        </w:tc>
      </w:tr>
      <w:tr>
        <w:trPr>
          <w:cantSplit/>
        </w:trPr>
        <w:tc>
          <w:tcPr>
            <w:tcW w:type="dxa" w:w="1700"/>
            <w:vAlign w:val="center"/>
          </w:tcPr>
          <w:p>
            <w:pPr>
              <w:pStyle w:val="TableBody"/>
            </w:pPr>
            <w:r>
              <w:t>Geotab [S4]</w:t>
            </w:r>
          </w:p>
        </w:tc>
        <w:tc>
          <w:tcPr>
            <w:tcW w:type="dxa" w:w="4190"/>
            <w:vAlign w:val="center"/>
          </w:tcPr>
          <w:p>
            <w:pPr>
              <w:pStyle w:val="TableBody"/>
            </w:pPr>
            <w:r>
              <w:t>Telematics, maintenance alerts, fuel, benchmarking and EV management. No comparable fixed price verified.</w:t>
            </w:r>
          </w:p>
        </w:tc>
        <w:tc>
          <w:tcPr>
            <w:tcW w:type="dxa" w:w="3470"/>
            <w:vAlign w:val="center"/>
          </w:tcPr>
          <w:p>
            <w:pPr>
              <w:pStyle w:val="TableBody"/>
            </w:pPr>
            <w:r>
              <w:t>Preserve customer tracking investments through normalized integrations.</w:t>
            </w:r>
          </w:p>
        </w:tc>
      </w:tr>
      <w:tr>
        <w:trPr>
          <w:cantSplit/>
        </w:trPr>
        <w:tc>
          <w:tcPr>
            <w:tcW w:type="dxa" w:w="1700"/>
            <w:vAlign w:val="center"/>
          </w:tcPr>
          <w:p>
            <w:pPr>
              <w:pStyle w:val="TableBody"/>
            </w:pPr>
            <w:r>
              <w:t>Fleetroot [S5]</w:t>
            </w:r>
          </w:p>
        </w:tc>
        <w:tc>
          <w:tcPr>
            <w:tcW w:type="dxa" w:w="4190"/>
            <w:vAlign w:val="center"/>
          </w:tcPr>
          <w:p>
            <w:pPr>
              <w:pStyle w:val="TableBody"/>
            </w:pPr>
            <w:r>
              <w:t>Delivery planning, dispatch, rider app and proof of delivery. Annual starter shown at USD 79/month for 800 deliveries.</w:t>
            </w:r>
          </w:p>
        </w:tc>
        <w:tc>
          <w:tcPr>
            <w:tcW w:type="dxa" w:w="3470"/>
            <w:vAlign w:val="center"/>
          </w:tcPr>
          <w:p>
            <w:pPr>
              <w:pStyle w:val="TableBody"/>
            </w:pPr>
            <w:r>
              <w:t>Avoid competing on generic dispatch or last-mile delivery breadth.</w:t>
            </w:r>
          </w:p>
        </w:tc>
      </w:tr>
      <w:tr>
        <w:trPr>
          <w:cantSplit/>
        </w:trPr>
        <w:tc>
          <w:tcPr>
            <w:tcW w:type="dxa" w:w="1700"/>
            <w:vAlign w:val="center"/>
          </w:tcPr>
          <w:p>
            <w:pPr>
              <w:pStyle w:val="TableBody"/>
            </w:pPr>
            <w:r>
              <w:t>FMS Tech [S6]</w:t>
            </w:r>
          </w:p>
        </w:tc>
        <w:tc>
          <w:tcPr>
            <w:tcW w:type="dxa" w:w="4190"/>
            <w:vAlign w:val="center"/>
          </w:tcPr>
          <w:p>
            <w:pPr>
              <w:pStyle w:val="TableBody"/>
            </w:pPr>
            <w:r>
              <w:t>UAE presence; IVMS, fatigue, fuel, journey management and passenger counting. Quote not verified.</w:t>
            </w:r>
          </w:p>
        </w:tc>
        <w:tc>
          <w:tcPr>
            <w:tcW w:type="dxa" w:w="3470"/>
            <w:vAlign w:val="center"/>
          </w:tcPr>
          <w:p>
            <w:pPr>
              <w:pStyle w:val="TableBody"/>
            </w:pPr>
            <w:r>
              <w:t>Local hardware and operational credibility matter; assess partner overlap.</w:t>
            </w:r>
          </w:p>
        </w:tc>
      </w:tr>
      <w:tr>
        <w:trPr>
          <w:cantSplit/>
        </w:trPr>
        <w:tc>
          <w:tcPr>
            <w:tcW w:type="dxa" w:w="1700"/>
            <w:vAlign w:val="center"/>
          </w:tcPr>
          <w:p>
            <w:pPr>
              <w:pStyle w:val="TableBody"/>
            </w:pPr>
            <w:r>
              <w:t>Speed Auto Systems [S7]</w:t>
            </w:r>
          </w:p>
        </w:tc>
        <w:tc>
          <w:tcPr>
            <w:tcW w:type="dxa" w:w="4190"/>
            <w:vAlign w:val="center"/>
          </w:tcPr>
          <w:p>
            <w:pPr>
              <w:pStyle w:val="TableBody"/>
            </w:pPr>
            <w:r>
              <w:t>Dubai-based automotive suite: leasing, rental, finance, fines, tolls, fuel and inspections. Quote not verified.</w:t>
            </w:r>
          </w:p>
        </w:tc>
        <w:tc>
          <w:tcPr>
            <w:tcW w:type="dxa" w:w="3470"/>
            <w:vAlign w:val="center"/>
          </w:tcPr>
          <w:p>
            <w:pPr>
              <w:pStyle w:val="TableBody"/>
            </w:pPr>
            <w:r>
              <w:t>Closest breadth competitor. A UAE “all-in-one” claim is insufficient.</w:t>
            </w:r>
          </w:p>
        </w:tc>
      </w:tr>
      <w:tr>
        <w:trPr>
          <w:cantSplit/>
        </w:trPr>
        <w:tc>
          <w:tcPr>
            <w:tcW w:type="dxa" w:w="1700"/>
            <w:vAlign w:val="center"/>
          </w:tcPr>
          <w:p>
            <w:pPr>
              <w:pStyle w:val="TableBody"/>
            </w:pPr>
            <w:r>
              <w:t>RentSyst [S8]</w:t>
            </w:r>
          </w:p>
        </w:tc>
        <w:tc>
          <w:tcPr>
            <w:tcW w:type="dxa" w:w="4190"/>
            <w:vAlign w:val="center"/>
          </w:tcPr>
          <w:p>
            <w:pPr>
              <w:pStyle w:val="TableBody"/>
            </w:pPr>
            <w:r>
              <w:t>Rental-focused cloud product with fleet-dependent pricing calculator.</w:t>
            </w:r>
          </w:p>
        </w:tc>
        <w:tc>
          <w:tcPr>
            <w:tcW w:type="dxa" w:w="3470"/>
            <w:vAlign w:val="center"/>
          </w:tcPr>
          <w:p>
            <w:pPr>
              <w:pStyle w:val="TableBody"/>
            </w:pPr>
            <w:r>
              <w:t>Defer rental as the first wedge unless interviews overturn the recommendation.</w:t>
            </w:r>
          </w:p>
        </w:tc>
      </w:tr>
    </w:tbl>
    <w:p>
      <w:pPr>
        <w:pStyle w:val="Caption"/>
      </w:pPr>
    </w:p>
    <w:p>
      <w:pPr>
        <w:pStyle w:val="Heading2"/>
      </w:pPr>
      <w:r>
        <w:t>Competitive position to test</w:t>
      </w:r>
    </w:p>
    <w:p>
      <w:r>
        <w:t>For contracted transport operators coordinating daily shifts across spreadsheets, messaging and tracking portals, Fleet360 should provide a single readiness-to-trip-close workflow with visible exception ownership. Win through time saved and reliable adoption, not a longer module list.</w:t>
      </w:r>
    </w:p>
    <w:p>
      <w:pPr>
        <w:pStyle w:val="Source"/>
      </w:pPr>
      <w:r>
        <w:t>Sources S2–S8 in section 16. Vendor claims are not independent product tests. Price units differ: vehicle subscriptions and delivery-task subscriptions are not directly comparable.</w:t>
      </w:r>
    </w:p>
    <w:p>
      <w:r>
        <w:br w:type="page"/>
      </w:r>
    </w:p>
    <w:p>
      <w:pPr>
        <w:pStyle w:val="Heading1"/>
      </w:pPr>
      <w:r>
        <w:t>06  Target users and jobs to be done</w:t>
      </w:r>
    </w:p>
    <w:p>
      <w:r>
        <w:t>Initial ICP: UAE contracted staff-transport operators with 50–300 active vehicles, recurring routes, at least two dispatchers and an existing tracking provider. Start with Dubai/Sharjah operations; add Abu Dhabi only with activity-specific tracking and permit requirements confirmed. GCC expansion follows one repeatable UAE deployment model.</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100"/>
        <w:gridCol w:w="4500"/>
        <w:gridCol w:w="2760"/>
      </w:tblGrid>
      <w:tr>
        <w:trPr>
          <w:cantSplit/>
          <w:tblHeader/>
        </w:trPr>
        <w:tc>
          <w:tcPr>
            <w:tcW w:type="dxa" w:w="2100"/>
            <w:vAlign w:val="center"/>
            <w:shd w:fill="F2F4F7"/>
          </w:tcPr>
          <w:p>
            <w:pPr>
              <w:pStyle w:val="TableBody"/>
            </w:pPr>
            <w:r>
              <w:rPr>
                <w:b/>
              </w:rPr>
              <w:t>Persona</w:t>
            </w:r>
          </w:p>
        </w:tc>
        <w:tc>
          <w:tcPr>
            <w:tcW w:type="dxa" w:w="4500"/>
            <w:vAlign w:val="center"/>
            <w:shd w:fill="F2F4F7"/>
          </w:tcPr>
          <w:p>
            <w:pPr>
              <w:pStyle w:val="TableBody"/>
            </w:pPr>
            <w:r>
              <w:rPr>
                <w:b/>
              </w:rPr>
              <w:t>Job / recurring pain hypothesis</w:t>
            </w:r>
          </w:p>
        </w:tc>
        <w:tc>
          <w:tcPr>
            <w:tcW w:type="dxa" w:w="2760"/>
            <w:vAlign w:val="center"/>
            <w:shd w:fill="F2F4F7"/>
          </w:tcPr>
          <w:p>
            <w:pPr>
              <w:pStyle w:val="TableBody"/>
            </w:pPr>
            <w:r>
              <w:rPr>
                <w:b/>
              </w:rPr>
              <w:t>Success measure</w:t>
            </w:r>
          </w:p>
        </w:tc>
      </w:tr>
      <w:tr>
        <w:trPr>
          <w:cantSplit/>
        </w:trPr>
        <w:tc>
          <w:tcPr>
            <w:tcW w:type="dxa" w:w="2100"/>
            <w:vAlign w:val="center"/>
          </w:tcPr>
          <w:p>
            <w:pPr>
              <w:pStyle w:val="TableBody"/>
            </w:pPr>
            <w:r>
              <w:t>Owner / COO — buyer</w:t>
            </w:r>
          </w:p>
        </w:tc>
        <w:tc>
          <w:tcPr>
            <w:tcW w:type="dxa" w:w="4500"/>
            <w:vAlign w:val="center"/>
          </w:tcPr>
          <w:p>
            <w:pPr>
              <w:pStyle w:val="TableBody"/>
            </w:pPr>
            <w:r>
              <w:t>Know service reliability and margin without reconciling multiple systems.</w:t>
            </w:r>
          </w:p>
        </w:tc>
        <w:tc>
          <w:tcPr>
            <w:tcW w:type="dxa" w:w="2760"/>
            <w:vAlign w:val="center"/>
          </w:tcPr>
          <w:p>
            <w:pPr>
              <w:pStyle w:val="TableBody"/>
            </w:pPr>
            <w:r>
              <w:t>Weekly cost visibility; renewal and paid conversion.</w:t>
            </w:r>
          </w:p>
        </w:tc>
      </w:tr>
      <w:tr>
        <w:trPr>
          <w:cantSplit/>
        </w:trPr>
        <w:tc>
          <w:tcPr>
            <w:tcW w:type="dxa" w:w="2100"/>
            <w:vAlign w:val="center"/>
          </w:tcPr>
          <w:p>
            <w:pPr>
              <w:pStyle w:val="TableBody"/>
            </w:pPr>
            <w:r>
              <w:t>Operations manager — champion</w:t>
            </w:r>
          </w:p>
        </w:tc>
        <w:tc>
          <w:tcPr>
            <w:tcW w:type="dxa" w:w="4500"/>
            <w:vAlign w:val="center"/>
          </w:tcPr>
          <w:p>
            <w:pPr>
              <w:pStyle w:val="TableBody"/>
            </w:pPr>
            <w:r>
              <w:t>Keep every shift covered with ready vehicles and eligible drivers.</w:t>
            </w:r>
          </w:p>
        </w:tc>
        <w:tc>
          <w:tcPr>
            <w:tcW w:type="dxa" w:w="2760"/>
            <w:vAlign w:val="center"/>
          </w:tcPr>
          <w:p>
            <w:pPr>
              <w:pStyle w:val="TableBody"/>
            </w:pPr>
            <w:r>
              <w:t>On-time starts; unassigned trips; override rate.</w:t>
            </w:r>
          </w:p>
        </w:tc>
      </w:tr>
      <w:tr>
        <w:trPr>
          <w:cantSplit/>
        </w:trPr>
        <w:tc>
          <w:tcPr>
            <w:tcW w:type="dxa" w:w="2100"/>
            <w:vAlign w:val="center"/>
          </w:tcPr>
          <w:p>
            <w:pPr>
              <w:pStyle w:val="TableBody"/>
            </w:pPr>
            <w:r>
              <w:t>Dispatcher — daily user</w:t>
            </w:r>
          </w:p>
        </w:tc>
        <w:tc>
          <w:tcPr>
            <w:tcW w:type="dxa" w:w="4500"/>
            <w:vAlign w:val="center"/>
          </w:tcPr>
          <w:p>
            <w:pPr>
              <w:pStyle w:val="TableBody"/>
            </w:pPr>
            <w:r>
              <w:t>Assign resources, see conflicts and resolve disruption quickly.</w:t>
            </w:r>
          </w:p>
        </w:tc>
        <w:tc>
          <w:tcPr>
            <w:tcW w:type="dxa" w:w="2760"/>
            <w:vAlign w:val="center"/>
          </w:tcPr>
          <w:p>
            <w:pPr>
              <w:pStyle w:val="TableBody"/>
            </w:pPr>
            <w:r>
              <w:t>Planning minutes; time to acknowledge exceptions.</w:t>
            </w:r>
          </w:p>
        </w:tc>
      </w:tr>
      <w:tr>
        <w:trPr>
          <w:cantSplit/>
        </w:trPr>
        <w:tc>
          <w:tcPr>
            <w:tcW w:type="dxa" w:w="2100"/>
            <w:vAlign w:val="center"/>
          </w:tcPr>
          <w:p>
            <w:pPr>
              <w:pStyle w:val="TableBody"/>
            </w:pPr>
            <w:r>
              <w:t>Driver — field user</w:t>
            </w:r>
          </w:p>
        </w:tc>
        <w:tc>
          <w:tcPr>
            <w:tcW w:type="dxa" w:w="4500"/>
            <w:vAlign w:val="center"/>
          </w:tcPr>
          <w:p>
            <w:pPr>
              <w:pStyle w:val="TableBody"/>
            </w:pPr>
            <w:r>
              <w:t>Receive clear assignments, inspect, execute and report issues in weak connectivity.</w:t>
            </w:r>
          </w:p>
        </w:tc>
        <w:tc>
          <w:tcPr>
            <w:tcW w:type="dxa" w:w="2760"/>
            <w:vAlign w:val="center"/>
          </w:tcPr>
          <w:p>
            <w:pPr>
              <w:pStyle w:val="TableBody"/>
            </w:pPr>
            <w:r>
              <w:t>Task completion; sync success; support requests.</w:t>
            </w:r>
          </w:p>
        </w:tc>
      </w:tr>
      <w:tr>
        <w:trPr>
          <w:cantSplit/>
        </w:trPr>
        <w:tc>
          <w:tcPr>
            <w:tcW w:type="dxa" w:w="2100"/>
            <w:vAlign w:val="center"/>
          </w:tcPr>
          <w:p>
            <w:pPr>
              <w:pStyle w:val="TableBody"/>
            </w:pPr>
            <w:r>
              <w:t>Maintenance coordinator</w:t>
            </w:r>
          </w:p>
        </w:tc>
        <w:tc>
          <w:tcPr>
            <w:tcW w:type="dxa" w:w="4500"/>
            <w:vAlign w:val="center"/>
          </w:tcPr>
          <w:p>
            <w:pPr>
              <w:pStyle w:val="TableBody"/>
            </w:pPr>
            <w:r>
              <w:t>Resolve defects and return vehicles to service with evidence.</w:t>
            </w:r>
          </w:p>
        </w:tc>
        <w:tc>
          <w:tcPr>
            <w:tcW w:type="dxa" w:w="2760"/>
            <w:vAlign w:val="center"/>
          </w:tcPr>
          <w:p>
            <w:pPr>
              <w:pStyle w:val="TableBody"/>
            </w:pPr>
            <w:r>
              <w:t>Downtime; overdue preventive maintenance.</w:t>
            </w:r>
          </w:p>
        </w:tc>
      </w:tr>
      <w:tr>
        <w:trPr>
          <w:cantSplit/>
        </w:trPr>
        <w:tc>
          <w:tcPr>
            <w:tcW w:type="dxa" w:w="2100"/>
            <w:vAlign w:val="center"/>
          </w:tcPr>
          <w:p>
            <w:pPr>
              <w:pStyle w:val="TableBody"/>
            </w:pPr>
            <w:r>
              <w:t>Finance controller</w:t>
            </w:r>
          </w:p>
        </w:tc>
        <w:tc>
          <w:tcPr>
            <w:tcW w:type="dxa" w:w="4500"/>
            <w:vAlign w:val="center"/>
          </w:tcPr>
          <w:p>
            <w:pPr>
              <w:pStyle w:val="TableBody"/>
            </w:pPr>
            <w:r>
              <w:t>Review trip costs and export reconciled records.</w:t>
            </w:r>
          </w:p>
        </w:tc>
        <w:tc>
          <w:tcPr>
            <w:tcW w:type="dxa" w:w="2760"/>
            <w:vAlign w:val="center"/>
          </w:tcPr>
          <w:p>
            <w:pPr>
              <w:pStyle w:val="TableBody"/>
            </w:pPr>
            <w:r>
              <w:t>Unmatched charges; close time; duplicates.</w:t>
            </w:r>
          </w:p>
        </w:tc>
      </w:tr>
    </w:tbl>
    <w:p>
      <w:pPr>
        <w:pStyle w:val="Caption"/>
      </w:pPr>
    </w:p>
    <w:p>
      <w:pPr>
        <w:pStyle w:val="Heading2"/>
      </w:pPr>
      <w:r>
        <w:t>Core jobs</w:t>
      </w:r>
    </w:p>
    <w:p>
      <w:r>
        <w:t>“Before the morning shift, tell me which trips lack a safe, available vehicle and eligible driver, and help me resolve them.” “During service, tell me which exception needs my attention and who owns it.” “At close, show what ran, what failed and which costs remain unexplained.”</w:t>
      </w:r>
    </w:p>
    <w:p>
      <w:pPr>
        <w:pStyle w:val="Heading2"/>
      </w:pPr>
      <w:r>
        <w:t>Initial exclusions</w:t>
      </w:r>
    </w:p>
    <w:p>
      <w:r>
        <w:t>Do not target owner-drivers, consumer ride hailing, school-child transport, emergency dispatch, large public-transit tenders or oil-and-gas safety-critical operations in the first pilot. Their economics, safeguarding, certifications or procurement needs require distinct validation.</w:t>
      </w:r>
    </w:p>
    <w:p>
      <w:r>
        <w:t>Research required: 12 operator interviews, five observed dispatch shifts and five driver usability sessions. Include at least three prospects using established regional competitors; log switching objections and evidence of budget.</w:t>
      </w:r>
    </w:p>
    <w:p>
      <w:r>
        <w:br w:type="page"/>
      </w:r>
    </w:p>
    <w:p>
      <w:pPr>
        <w:pStyle w:val="Heading1"/>
      </w:pPr>
      <w:r>
        <w:t>07  Core user loop and product experience</w:t>
      </w:r>
    </w:p>
    <w:p>
      <w:pPr>
        <w:pStyle w:val="Lead"/>
      </w:pPr>
      <w:r>
        <w:t>Prepare → validate → assign → execute → resolve → reconcile → improve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350"/>
        <w:gridCol w:w="5970"/>
        <w:gridCol w:w="2040"/>
      </w:tblGrid>
      <w:tr>
        <w:trPr>
          <w:cantSplit/>
          <w:tblHeader/>
        </w:trPr>
        <w:tc>
          <w:tcPr>
            <w:tcW w:type="dxa" w:w="1350"/>
            <w:vAlign w:val="center"/>
            <w:shd w:fill="F2F4F7"/>
          </w:tcPr>
          <w:p>
            <w:pPr>
              <w:pStyle w:val="TableBody"/>
            </w:pPr>
            <w:r>
              <w:rPr>
                <w:b/>
              </w:rPr>
              <w:t>Step</w:t>
            </w:r>
          </w:p>
        </w:tc>
        <w:tc>
          <w:tcPr>
            <w:tcW w:type="dxa" w:w="5970"/>
            <w:vAlign w:val="center"/>
            <w:shd w:fill="F2F4F7"/>
          </w:tcPr>
          <w:p>
            <w:pPr>
              <w:pStyle w:val="TableBody"/>
            </w:pPr>
            <w:r>
              <w:rPr>
                <w:b/>
              </w:rPr>
              <w:t>User action and system response</w:t>
            </w:r>
          </w:p>
        </w:tc>
        <w:tc>
          <w:tcPr>
            <w:tcW w:type="dxa" w:w="2040"/>
            <w:vAlign w:val="center"/>
            <w:shd w:fill="F2F4F7"/>
          </w:tcPr>
          <w:p>
            <w:pPr>
              <w:pStyle w:val="TableBody"/>
            </w:pPr>
            <w:r>
              <w:rPr>
                <w:b/>
              </w:rPr>
              <w:t>Required event</w:t>
            </w:r>
          </w:p>
        </w:tc>
      </w:tr>
      <w:tr>
        <w:trPr>
          <w:cantSplit/>
        </w:trPr>
        <w:tc>
          <w:tcPr>
            <w:tcW w:type="dxa" w:w="1350"/>
            <w:vAlign w:val="center"/>
          </w:tcPr>
          <w:p>
            <w:pPr>
              <w:pStyle w:val="TableBody"/>
            </w:pPr>
            <w:r>
              <w:t>1. Prepare</w:t>
            </w:r>
          </w:p>
        </w:tc>
        <w:tc>
          <w:tcPr>
            <w:tcW w:type="dxa" w:w="5970"/>
            <w:vAlign w:val="center"/>
          </w:tcPr>
          <w:p>
            <w:pPr>
              <w:pStyle w:val="TableBody"/>
            </w:pPr>
            <w:r>
              <w:t>Manager imports vehicles, drivers, documents and recurring routes; system reports row errors.</w:t>
            </w:r>
          </w:p>
        </w:tc>
        <w:tc>
          <w:tcPr>
            <w:tcW w:type="dxa" w:w="2040"/>
            <w:vAlign w:val="center"/>
          </w:tcPr>
          <w:p>
            <w:pPr>
              <w:pStyle w:val="TableBody"/>
            </w:pPr>
            <w:r>
              <w:t>import_completed</w:t>
            </w:r>
          </w:p>
        </w:tc>
      </w:tr>
      <w:tr>
        <w:trPr>
          <w:cantSplit/>
        </w:trPr>
        <w:tc>
          <w:tcPr>
            <w:tcW w:type="dxa" w:w="1350"/>
            <w:vAlign w:val="center"/>
          </w:tcPr>
          <w:p>
            <w:pPr>
              <w:pStyle w:val="TableBody"/>
            </w:pPr>
            <w:r>
              <w:t>2. Validate</w:t>
            </w:r>
          </w:p>
        </w:tc>
        <w:tc>
          <w:tcPr>
            <w:tcW w:type="dxa" w:w="5970"/>
            <w:vAlign w:val="center"/>
          </w:tcPr>
          <w:p>
            <w:pPr>
              <w:pStyle w:val="TableBody"/>
            </w:pPr>
            <w:r>
              <w:t>Dispatcher opens today’s board; system surfaces expiry, availability and assignment conflicts.</w:t>
            </w:r>
          </w:p>
        </w:tc>
        <w:tc>
          <w:tcPr>
            <w:tcW w:type="dxa" w:w="2040"/>
            <w:vAlign w:val="center"/>
          </w:tcPr>
          <w:p>
            <w:pPr>
              <w:pStyle w:val="TableBody"/>
            </w:pPr>
            <w:r>
              <w:t>readiness_checked</w:t>
            </w:r>
          </w:p>
        </w:tc>
      </w:tr>
      <w:tr>
        <w:trPr>
          <w:cantSplit/>
        </w:trPr>
        <w:tc>
          <w:tcPr>
            <w:tcW w:type="dxa" w:w="1350"/>
            <w:vAlign w:val="center"/>
          </w:tcPr>
          <w:p>
            <w:pPr>
              <w:pStyle w:val="TableBody"/>
            </w:pPr>
            <w:r>
              <w:t>3. Assign</w:t>
            </w:r>
          </w:p>
        </w:tc>
        <w:tc>
          <w:tcPr>
            <w:tcW w:type="dxa" w:w="5970"/>
            <w:vAlign w:val="center"/>
          </w:tcPr>
          <w:p>
            <w:pPr>
              <w:pStyle w:val="TableBody"/>
            </w:pPr>
            <w:r>
              <w:t>Dispatcher commits vehicle/driver assignment; atomic validation rejects concurrent conflicts.</w:t>
            </w:r>
          </w:p>
        </w:tc>
        <w:tc>
          <w:tcPr>
            <w:tcW w:type="dxa" w:w="2040"/>
            <w:vAlign w:val="center"/>
          </w:tcPr>
          <w:p>
            <w:pPr>
              <w:pStyle w:val="TableBody"/>
            </w:pPr>
            <w:r>
              <w:t>assignment_committed</w:t>
            </w:r>
          </w:p>
        </w:tc>
      </w:tr>
      <w:tr>
        <w:trPr>
          <w:cantSplit/>
        </w:trPr>
        <w:tc>
          <w:tcPr>
            <w:tcW w:type="dxa" w:w="1350"/>
            <w:vAlign w:val="center"/>
          </w:tcPr>
          <w:p>
            <w:pPr>
              <w:pStyle w:val="TableBody"/>
            </w:pPr>
            <w:r>
              <w:t>4. Execute</w:t>
            </w:r>
          </w:p>
        </w:tc>
        <w:tc>
          <w:tcPr>
            <w:tcW w:type="dxa" w:w="5970"/>
            <w:vAlign w:val="center"/>
          </w:tcPr>
          <w:p>
            <w:pPr>
              <w:pStyle w:val="TableBody"/>
            </w:pPr>
            <w:r>
              <w:t>Driver acknowledges, inspects, starts and completes the trip; pending uploads remain visible.</w:t>
            </w:r>
          </w:p>
        </w:tc>
        <w:tc>
          <w:tcPr>
            <w:tcW w:type="dxa" w:w="2040"/>
            <w:vAlign w:val="center"/>
          </w:tcPr>
          <w:p>
            <w:pPr>
              <w:pStyle w:val="TableBody"/>
            </w:pPr>
            <w:r>
              <w:t>trip_started / completed</w:t>
            </w:r>
          </w:p>
        </w:tc>
      </w:tr>
      <w:tr>
        <w:trPr>
          <w:cantSplit/>
        </w:trPr>
        <w:tc>
          <w:tcPr>
            <w:tcW w:type="dxa" w:w="1350"/>
            <w:vAlign w:val="center"/>
          </w:tcPr>
          <w:p>
            <w:pPr>
              <w:pStyle w:val="TableBody"/>
            </w:pPr>
            <w:r>
              <w:t>5. Resolve</w:t>
            </w:r>
          </w:p>
        </w:tc>
        <w:tc>
          <w:tcPr>
            <w:tcW w:type="dxa" w:w="5970"/>
            <w:vAlign w:val="center"/>
          </w:tcPr>
          <w:p>
            <w:pPr>
              <w:pStyle w:val="TableBody"/>
            </w:pPr>
            <w:r>
              <w:t>Dispatcher owns exceptions; maintenance blocks unsafe vehicles until authorized clearance.</w:t>
            </w:r>
          </w:p>
        </w:tc>
        <w:tc>
          <w:tcPr>
            <w:tcW w:type="dxa" w:w="2040"/>
            <w:vAlign w:val="center"/>
          </w:tcPr>
          <w:p>
            <w:pPr>
              <w:pStyle w:val="TableBody"/>
            </w:pPr>
            <w:r>
              <w:t>exception_resolved</w:t>
            </w:r>
          </w:p>
        </w:tc>
      </w:tr>
      <w:tr>
        <w:trPr>
          <w:cantSplit/>
        </w:trPr>
        <w:tc>
          <w:tcPr>
            <w:tcW w:type="dxa" w:w="1350"/>
            <w:vAlign w:val="center"/>
          </w:tcPr>
          <w:p>
            <w:pPr>
              <w:pStyle w:val="TableBody"/>
            </w:pPr>
            <w:r>
              <w:t>6. Reconcile</w:t>
            </w:r>
          </w:p>
        </w:tc>
        <w:tc>
          <w:tcPr>
            <w:tcW w:type="dxa" w:w="5970"/>
            <w:vAlign w:val="center"/>
          </w:tcPr>
          <w:p>
            <w:pPr>
              <w:pStyle w:val="TableBody"/>
            </w:pPr>
            <w:r>
              <w:t>Finance reviews fuel/toll/maintenance allocations and approves export.</w:t>
            </w:r>
          </w:p>
        </w:tc>
        <w:tc>
          <w:tcPr>
            <w:tcW w:type="dxa" w:w="2040"/>
            <w:vAlign w:val="center"/>
          </w:tcPr>
          <w:p>
            <w:pPr>
              <w:pStyle w:val="TableBody"/>
            </w:pPr>
            <w:r>
              <w:t>trip_cost_closed</w:t>
            </w:r>
          </w:p>
        </w:tc>
      </w:tr>
      <w:tr>
        <w:trPr>
          <w:cantSplit/>
        </w:trPr>
        <w:tc>
          <w:tcPr>
            <w:tcW w:type="dxa" w:w="1350"/>
            <w:vAlign w:val="center"/>
          </w:tcPr>
          <w:p>
            <w:pPr>
              <w:pStyle w:val="TableBody"/>
            </w:pPr>
            <w:r>
              <w:t>7. Improve</w:t>
            </w:r>
          </w:p>
        </w:tc>
        <w:tc>
          <w:tcPr>
            <w:tcW w:type="dxa" w:w="5970"/>
            <w:vAlign w:val="center"/>
          </w:tcPr>
          <w:p>
            <w:pPr>
              <w:pStyle w:val="TableBody"/>
            </w:pPr>
            <w:r>
              <w:t>Manager reviews recurring delays and defects, adjusts next schedule and repeats.</w:t>
            </w:r>
          </w:p>
        </w:tc>
        <w:tc>
          <w:tcPr>
            <w:tcW w:type="dxa" w:w="2040"/>
            <w:vAlign w:val="center"/>
          </w:tcPr>
          <w:p>
            <w:pPr>
              <w:pStyle w:val="TableBody"/>
            </w:pPr>
            <w:r>
              <w:t>weekly_review_completed</w:t>
            </w:r>
          </w:p>
        </w:tc>
      </w:tr>
    </w:tbl>
    <w:p>
      <w:pPr>
        <w:pStyle w:val="Caption"/>
      </w:pPr>
    </w:p>
    <w:p>
      <w:pPr>
        <w:pStyle w:val="Heading2"/>
      </w:pPr>
      <w:r>
        <w:t>First-session activation</w:t>
      </w:r>
    </w:p>
    <w:p>
      <w:r>
        <w:t>An organization activates when it imports at least 20 vehicles and associated drivers, schedules ten trips, completes one real trip with a driver and resolves its cost review within seven days. This is a proposed activation definition; confirm thresholds during discovery.</w:t>
      </w:r>
    </w:p>
    <w:p>
      <w:pPr>
        <w:pStyle w:val="Heading2"/>
      </w:pPr>
      <w:r>
        <w:t>Experience requirements</w:t>
      </w:r>
    </w:p>
    <w:p>
      <w:r>
        <w:t>Default to a role-specific “Today” view. Use clear states: ready, blocked, assigned, in progress, complete and needs review. Display the reason for a block and the action that resolves it. Show stale tracking as stale, not as live. Keep pending and failed sync visible to drivers. Critical tasks must work in English and Arabic with proper RTL layout.</w:t>
      </w:r>
    </w:p>
    <w:p>
      <w:r>
        <w:t>Every exception has an owner, severity, due time, linked trip/vehicle and audit trail. Refreshes and retries must not create duplicate assignments, inspections, costs or notifications.</w:t>
      </w:r>
    </w:p>
    <w:p>
      <w:r>
        <w:br w:type="page"/>
      </w:r>
    </w:p>
    <w:p>
      <w:pPr>
        <w:pStyle w:val="Heading1"/>
      </w:pPr>
      <w:r>
        <w:t>08  MVP functional requirements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400"/>
        <w:gridCol w:w="3300"/>
        <w:gridCol w:w="4660"/>
      </w:tblGrid>
      <w:tr>
        <w:trPr>
          <w:cantSplit/>
          <w:tblHeader/>
        </w:trPr>
        <w:tc>
          <w:tcPr>
            <w:tcW w:type="dxa" w:w="1400"/>
            <w:vAlign w:val="center"/>
            <w:shd w:fill="F2F4F7"/>
          </w:tcPr>
          <w:p>
            <w:pPr>
              <w:pStyle w:val="TableBody"/>
            </w:pPr>
            <w:r>
              <w:rPr>
                <w:b/>
              </w:rPr>
              <w:t>ID / priority</w:t>
            </w:r>
          </w:p>
        </w:tc>
        <w:tc>
          <w:tcPr>
            <w:tcW w:type="dxa" w:w="3300"/>
            <w:vAlign w:val="center"/>
            <w:shd w:fill="F2F4F7"/>
          </w:tcPr>
          <w:p>
            <w:pPr>
              <w:pStyle w:val="TableBody"/>
            </w:pPr>
            <w:r>
              <w:rPr>
                <w:b/>
              </w:rPr>
              <w:t>Requirement</w:t>
            </w:r>
          </w:p>
        </w:tc>
        <w:tc>
          <w:tcPr>
            <w:tcW w:type="dxa" w:w="4660"/>
            <w:vAlign w:val="center"/>
            <w:shd w:fill="F2F4F7"/>
          </w:tcPr>
          <w:p>
            <w:pPr>
              <w:pStyle w:val="TableBody"/>
            </w:pPr>
            <w:r>
              <w:rPr>
                <w:b/>
              </w:rPr>
              <w:t>Acceptance criterion</w:t>
            </w:r>
          </w:p>
        </w:tc>
      </w:tr>
      <w:tr>
        <w:trPr>
          <w:cantSplit/>
        </w:trPr>
        <w:tc>
          <w:tcPr>
            <w:tcW w:type="dxa" w:w="1400"/>
            <w:vAlign w:val="center"/>
          </w:tcPr>
          <w:p>
            <w:pPr>
              <w:pStyle w:val="TableBody"/>
            </w:pPr>
            <w:r>
              <w:t>F01 / Must</w:t>
            </w:r>
          </w:p>
        </w:tc>
        <w:tc>
          <w:tcPr>
            <w:tcW w:type="dxa" w:w="3300"/>
            <w:vAlign w:val="center"/>
          </w:tcPr>
          <w:p>
            <w:pPr>
              <w:pStyle w:val="TableBody"/>
            </w:pPr>
            <w:r>
              <w:t>Tenant onboarding, users and role permissions.</w:t>
            </w:r>
          </w:p>
        </w:tc>
        <w:tc>
          <w:tcPr>
            <w:tcW w:type="dxa" w:w="4660"/>
            <w:vAlign w:val="center"/>
          </w:tcPr>
          <w:p>
            <w:pPr>
              <w:pStyle w:val="TableBody"/>
            </w:pPr>
            <w:r>
              <w:t>Two seeded tenants cannot access each other’s records, exports or files; deny-by-default API tests pass.</w:t>
            </w:r>
          </w:p>
        </w:tc>
      </w:tr>
      <w:tr>
        <w:trPr>
          <w:cantSplit/>
        </w:trPr>
        <w:tc>
          <w:tcPr>
            <w:tcW w:type="dxa" w:w="1400"/>
            <w:vAlign w:val="center"/>
          </w:tcPr>
          <w:p>
            <w:pPr>
              <w:pStyle w:val="TableBody"/>
            </w:pPr>
            <w:r>
              <w:t>F02 / Must</w:t>
            </w:r>
          </w:p>
        </w:tc>
        <w:tc>
          <w:tcPr>
            <w:tcW w:type="dxa" w:w="3300"/>
            <w:vAlign w:val="center"/>
          </w:tcPr>
          <w:p>
            <w:pPr>
              <w:pStyle w:val="TableBody"/>
            </w:pPr>
            <w:r>
              <w:t>Vehicle, driver and document register; validated CSV import.</w:t>
            </w:r>
          </w:p>
        </w:tc>
        <w:tc>
          <w:tcPr>
            <w:tcW w:type="dxa" w:w="4660"/>
            <w:vAlign w:val="center"/>
          </w:tcPr>
          <w:p>
            <w:pPr>
              <w:pStyle w:val="TableBody"/>
            </w:pPr>
            <w:r>
              <w:t>A 300-vehicle import produces a preview and row-level errors; retry does not duplicate records.</w:t>
            </w:r>
          </w:p>
        </w:tc>
      </w:tr>
      <w:tr>
        <w:trPr>
          <w:cantSplit/>
        </w:trPr>
        <w:tc>
          <w:tcPr>
            <w:tcW w:type="dxa" w:w="1400"/>
            <w:vAlign w:val="center"/>
          </w:tcPr>
          <w:p>
            <w:pPr>
              <w:pStyle w:val="TableBody"/>
            </w:pPr>
            <w:r>
              <w:t>F03 / Must</w:t>
            </w:r>
          </w:p>
        </w:tc>
        <w:tc>
          <w:tcPr>
            <w:tcW w:type="dxa" w:w="3300"/>
            <w:vAlign w:val="center"/>
          </w:tcPr>
          <w:p>
            <w:pPr>
              <w:pStyle w:val="TableBody"/>
            </w:pPr>
            <w:r>
              <w:t>Readiness and expiry checks at trip time.</w:t>
            </w:r>
          </w:p>
        </w:tc>
        <w:tc>
          <w:tcPr>
            <w:tcW w:type="dxa" w:w="4660"/>
            <w:vAlign w:val="center"/>
          </w:tcPr>
          <w:p>
            <w:pPr>
              <w:pStyle w:val="TableBody"/>
            </w:pPr>
            <w:r>
              <w:t>Expired required documents and unavailable assets block assignment; missing data is actionable.</w:t>
            </w:r>
          </w:p>
        </w:tc>
      </w:tr>
      <w:tr>
        <w:trPr>
          <w:cantSplit/>
        </w:trPr>
        <w:tc>
          <w:tcPr>
            <w:tcW w:type="dxa" w:w="1400"/>
            <w:vAlign w:val="center"/>
          </w:tcPr>
          <w:p>
            <w:pPr>
              <w:pStyle w:val="TableBody"/>
            </w:pPr>
            <w:r>
              <w:t>F04 / Must</w:t>
            </w:r>
          </w:p>
        </w:tc>
        <w:tc>
          <w:tcPr>
            <w:tcW w:type="dxa" w:w="3300"/>
            <w:vAlign w:val="center"/>
          </w:tcPr>
          <w:p>
            <w:pPr>
              <w:pStyle w:val="TableBody"/>
            </w:pPr>
            <w:r>
              <w:t>Daily board and recurring trip assignments.</w:t>
            </w:r>
          </w:p>
        </w:tc>
        <w:tc>
          <w:tcPr>
            <w:tcW w:type="dxa" w:w="4660"/>
            <w:vAlign w:val="center"/>
          </w:tcPr>
          <w:p>
            <w:pPr>
              <w:pStyle w:val="TableBody"/>
            </w:pPr>
            <w:r>
              <w:t>Concurrent attempts to assign one resource to overlapping trips allow only one valid commit.</w:t>
            </w:r>
          </w:p>
        </w:tc>
      </w:tr>
      <w:tr>
        <w:trPr>
          <w:cantSplit/>
        </w:trPr>
        <w:tc>
          <w:tcPr>
            <w:tcW w:type="dxa" w:w="1400"/>
            <w:vAlign w:val="center"/>
          </w:tcPr>
          <w:p>
            <w:pPr>
              <w:pStyle w:val="TableBody"/>
            </w:pPr>
            <w:r>
              <w:t>F05 / Must</w:t>
            </w:r>
          </w:p>
        </w:tc>
        <w:tc>
          <w:tcPr>
            <w:tcW w:type="dxa" w:w="3300"/>
            <w:vAlign w:val="center"/>
          </w:tcPr>
          <w:p>
            <w:pPr>
              <w:pStyle w:val="TableBody"/>
            </w:pPr>
            <w:r>
              <w:t>Driver acknowledgement, inspection and trip states.</w:t>
            </w:r>
          </w:p>
        </w:tc>
        <w:tc>
          <w:tcPr>
            <w:tcW w:type="dxa" w:w="4660"/>
            <w:vAlign w:val="center"/>
          </w:tcPr>
          <w:p>
            <w:pPr>
              <w:pStyle w:val="TableBody"/>
            </w:pPr>
            <w:r>
              <w:t>A driver completes the critical journey on a low-end Android device; critical defect blocks departure.</w:t>
            </w:r>
          </w:p>
        </w:tc>
      </w:tr>
      <w:tr>
        <w:trPr>
          <w:cantSplit/>
        </w:trPr>
        <w:tc>
          <w:tcPr>
            <w:tcW w:type="dxa" w:w="1400"/>
            <w:vAlign w:val="center"/>
          </w:tcPr>
          <w:p>
            <w:pPr>
              <w:pStyle w:val="TableBody"/>
            </w:pPr>
            <w:r>
              <w:t>F06 / Must</w:t>
            </w:r>
          </w:p>
        </w:tc>
        <w:tc>
          <w:tcPr>
            <w:tcW w:type="dxa" w:w="3300"/>
            <w:vAlign w:val="center"/>
          </w:tcPr>
          <w:p>
            <w:pPr>
              <w:pStyle w:val="TableBody"/>
            </w:pPr>
            <w:r>
              <w:t>Offline capture with idempotent synchronization.</w:t>
            </w:r>
          </w:p>
        </w:tc>
        <w:tc>
          <w:tcPr>
            <w:tcW w:type="dxa" w:w="4660"/>
            <w:vAlign w:val="center"/>
          </w:tcPr>
          <w:p>
            <w:pPr>
              <w:pStyle w:val="TableBody"/>
            </w:pPr>
            <w:r>
              <w:t>A 30-minute outage and repeated reconnects preserve 100 queued pilot events without loss or duplicates.</w:t>
            </w:r>
          </w:p>
        </w:tc>
      </w:tr>
      <w:tr>
        <w:trPr>
          <w:cantSplit/>
        </w:trPr>
        <w:tc>
          <w:tcPr>
            <w:tcW w:type="dxa" w:w="1400"/>
            <w:vAlign w:val="center"/>
          </w:tcPr>
          <w:p>
            <w:pPr>
              <w:pStyle w:val="TableBody"/>
            </w:pPr>
            <w:r>
              <w:t>F07 / Must</w:t>
            </w:r>
          </w:p>
        </w:tc>
        <w:tc>
          <w:tcPr>
            <w:tcW w:type="dxa" w:w="3300"/>
            <w:vAlign w:val="center"/>
          </w:tcPr>
          <w:p>
            <w:pPr>
              <w:pStyle w:val="TableBody"/>
            </w:pPr>
            <w:r>
              <w:t>Exception ownership and maintenance handoff.</w:t>
            </w:r>
          </w:p>
        </w:tc>
        <w:tc>
          <w:tcPr>
            <w:tcW w:type="dxa" w:w="4660"/>
            <w:vAlign w:val="center"/>
          </w:tcPr>
          <w:p>
            <w:pPr>
              <w:pStyle w:val="TableBody"/>
            </w:pPr>
            <w:r>
              <w:t>A blocked vehicle returns to service only after authorized resolution with evidence and timestamps.</w:t>
            </w:r>
          </w:p>
        </w:tc>
      </w:tr>
      <w:tr>
        <w:trPr>
          <w:cantSplit/>
        </w:trPr>
        <w:tc>
          <w:tcPr>
            <w:tcW w:type="dxa" w:w="1400"/>
            <w:vAlign w:val="center"/>
          </w:tcPr>
          <w:p>
            <w:pPr>
              <w:pStyle w:val="TableBody"/>
            </w:pPr>
            <w:r>
              <w:t>F08 / Must</w:t>
            </w:r>
          </w:p>
        </w:tc>
        <w:tc>
          <w:tcPr>
            <w:tcW w:type="dxa" w:w="3300"/>
            <w:vAlign w:val="center"/>
          </w:tcPr>
          <w:p>
            <w:pPr>
              <w:pStyle w:val="TableBody"/>
            </w:pPr>
            <w:r>
              <w:t>Trip cost review, toll/fuel CSV matching and export.</w:t>
            </w:r>
          </w:p>
        </w:tc>
        <w:tc>
          <w:tcPr>
            <w:tcW w:type="dxa" w:w="4660"/>
            <w:vAlign w:val="center"/>
          </w:tcPr>
          <w:p>
            <w:pPr>
              <w:pStyle w:val="TableBody"/>
            </w:pPr>
            <w:r>
              <w:t>Repeat imports create no duplicate charges; unmatched items remain in a review queue; approved totals reconcile.</w:t>
            </w:r>
          </w:p>
        </w:tc>
      </w:tr>
      <w:tr>
        <w:trPr>
          <w:cantSplit/>
        </w:trPr>
        <w:tc>
          <w:tcPr>
            <w:tcW w:type="dxa" w:w="1400"/>
            <w:vAlign w:val="center"/>
          </w:tcPr>
          <w:p>
            <w:pPr>
              <w:pStyle w:val="TableBody"/>
            </w:pPr>
            <w:r>
              <w:t>F09 / Must</w:t>
            </w:r>
          </w:p>
        </w:tc>
        <w:tc>
          <w:tcPr>
            <w:tcW w:type="dxa" w:w="3300"/>
            <w:vAlign w:val="center"/>
          </w:tcPr>
          <w:p>
            <w:pPr>
              <w:pStyle w:val="TableBody"/>
            </w:pPr>
            <w:r>
              <w:t>Tenant audit trail and operational dashboard.</w:t>
            </w:r>
          </w:p>
        </w:tc>
        <w:tc>
          <w:tcPr>
            <w:tcW w:type="dxa" w:w="4660"/>
            <w:vAlign w:val="center"/>
          </w:tcPr>
          <w:p>
            <w:pPr>
              <w:pStyle w:val="TableBody"/>
            </w:pPr>
            <w:r>
              <w:t>All assignment, override, clearance and export actions record actor, time and entity.</w:t>
            </w:r>
          </w:p>
        </w:tc>
      </w:tr>
      <w:tr>
        <w:trPr>
          <w:cantSplit/>
        </w:trPr>
        <w:tc>
          <w:tcPr>
            <w:tcW w:type="dxa" w:w="1400"/>
            <w:vAlign w:val="center"/>
          </w:tcPr>
          <w:p>
            <w:pPr>
              <w:pStyle w:val="TableBody"/>
            </w:pPr>
            <w:r>
              <w:t>F10 / Should</w:t>
            </w:r>
          </w:p>
        </w:tc>
        <w:tc>
          <w:tcPr>
            <w:tcW w:type="dxa" w:w="3300"/>
            <w:vAlign w:val="center"/>
          </w:tcPr>
          <w:p>
            <w:pPr>
              <w:pStyle w:val="TableBody"/>
            </w:pPr>
            <w:r>
              <w:t>One existing telematics provider integration.</w:t>
            </w:r>
          </w:p>
        </w:tc>
        <w:tc>
          <w:tcPr>
            <w:tcW w:type="dxa" w:w="4660"/>
            <w:vAlign w:val="center"/>
          </w:tcPr>
          <w:p>
            <w:pPr>
              <w:pStyle w:val="TableBody"/>
            </w:pPr>
            <w:r>
              <w:t>Authenticated events update the correct tenant/vehicle; replays and stale data are handled explicitly.</w:t>
            </w:r>
          </w:p>
        </w:tc>
      </w:tr>
    </w:tbl>
    <w:p>
      <w:pPr>
        <w:pStyle w:val="Caption"/>
      </w:pPr>
    </w:p>
    <w:p>
      <w:pPr>
        <w:pStyle w:val="Source"/>
      </w:pPr>
      <w:r>
        <w:t>“Must” items define pilot scope. Existing code is an implementation starting point, not acceptance evidence. Product owner signs behavior; QA and engineering supply reproducible test evidence.</w:t>
      </w:r>
    </w:p>
    <w:p>
      <w:r>
        <w:br w:type="page"/>
      </w:r>
    </w:p>
    <w:p>
      <w:pPr>
        <w:pStyle w:val="Heading1"/>
      </w:pPr>
      <w:r>
        <w:t>09  Scope boundaries and localization</w:t>
      </w:r>
    </w:p>
    <w:p>
      <w:pPr>
        <w:pStyle w:val="Heading2"/>
      </w:pPr>
      <w:r>
        <w:t>Defer until after repeatable pilots</w:t>
      </w:r>
    </w:p>
    <w:p>
      <w:r>
        <w:t>Full leasing origination, consumer rental booking, freight bidding/exchange, advanced warehouse logistics, payroll, general-ledger replacement, school-parent portals, predictive maintenance claims, autonomous AI decisions and multi-country tax engines. Keep deferred modules disabled for pilot tenants rather than expanding their acceptance surface.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700"/>
        <w:gridCol w:w="3750"/>
        <w:gridCol w:w="3910"/>
      </w:tblGrid>
      <w:tr>
        <w:trPr>
          <w:cantSplit/>
          <w:tblHeader/>
        </w:trPr>
        <w:tc>
          <w:tcPr>
            <w:tcW w:type="dxa" w:w="1700"/>
            <w:vAlign w:val="center"/>
            <w:shd w:fill="F2F4F7"/>
          </w:tcPr>
          <w:p>
            <w:pPr>
              <w:pStyle w:val="TableBody"/>
            </w:pPr>
            <w:r>
              <w:rPr>
                <w:b/>
              </w:rPr>
              <w:t>Area</w:t>
            </w:r>
          </w:p>
        </w:tc>
        <w:tc>
          <w:tcPr>
            <w:tcW w:type="dxa" w:w="3750"/>
            <w:vAlign w:val="center"/>
            <w:shd w:fill="F2F4F7"/>
          </w:tcPr>
          <w:p>
            <w:pPr>
              <w:pStyle w:val="TableBody"/>
            </w:pPr>
            <w:r>
              <w:rPr>
                <w:b/>
              </w:rPr>
              <w:t>MVP behavior</w:t>
            </w:r>
          </w:p>
        </w:tc>
        <w:tc>
          <w:tcPr>
            <w:tcW w:type="dxa" w:w="3910"/>
            <w:vAlign w:val="center"/>
            <w:shd w:fill="F2F4F7"/>
          </w:tcPr>
          <w:p>
            <w:pPr>
              <w:pStyle w:val="TableBody"/>
            </w:pPr>
            <w:r>
              <w:rPr>
                <w:b/>
              </w:rPr>
              <w:t>Expansion gate</w:t>
            </w:r>
          </w:p>
        </w:tc>
      </w:tr>
      <w:tr>
        <w:trPr>
          <w:cantSplit/>
        </w:trPr>
        <w:tc>
          <w:tcPr>
            <w:tcW w:type="dxa" w:w="1700"/>
            <w:vAlign w:val="center"/>
          </w:tcPr>
          <w:p>
            <w:pPr>
              <w:pStyle w:val="TableBody"/>
            </w:pPr>
            <w:r>
              <w:t>Tracking</w:t>
            </w:r>
          </w:p>
        </w:tc>
        <w:tc>
          <w:tcPr>
            <w:tcW w:type="dxa" w:w="3750"/>
            <w:vAlign w:val="center"/>
          </w:tcPr>
          <w:p>
            <w:pPr>
              <w:pStyle w:val="TableBody"/>
            </w:pPr>
            <w:r>
              <w:t>One provider plus import/manual fallback.</w:t>
            </w:r>
          </w:p>
        </w:tc>
        <w:tc>
          <w:tcPr>
            <w:tcW w:type="dxa" w:w="3910"/>
            <w:vAlign w:val="center"/>
          </w:tcPr>
          <w:p>
            <w:pPr>
              <w:pStyle w:val="TableBody"/>
            </w:pPr>
            <w:r>
              <w:t>Three paid customers require the next connector.</w:t>
            </w:r>
          </w:p>
        </w:tc>
      </w:tr>
      <w:tr>
        <w:trPr>
          <w:cantSplit/>
        </w:trPr>
        <w:tc>
          <w:tcPr>
            <w:tcW w:type="dxa" w:w="1700"/>
            <w:vAlign w:val="center"/>
          </w:tcPr>
          <w:p>
            <w:pPr>
              <w:pStyle w:val="TableBody"/>
            </w:pPr>
            <w:r>
              <w:t>Finance</w:t>
            </w:r>
          </w:p>
        </w:tc>
        <w:tc>
          <w:tcPr>
            <w:tcW w:type="dxa" w:w="3750"/>
            <w:vAlign w:val="center"/>
          </w:tcPr>
          <w:p>
            <w:pPr>
              <w:pStyle w:val="TableBody"/>
            </w:pPr>
            <w:r>
              <w:t>Operational cost review and accounting export.</w:t>
            </w:r>
          </w:p>
        </w:tc>
        <w:tc>
          <w:tcPr>
            <w:tcW w:type="dxa" w:w="3910"/>
            <w:vAlign w:val="center"/>
          </w:tcPr>
          <w:p>
            <w:pPr>
              <w:pStyle w:val="TableBody"/>
            </w:pPr>
            <w:r>
              <w:t>Accountant-approved requirements justify native finance expansion.</w:t>
            </w:r>
          </w:p>
        </w:tc>
      </w:tr>
      <w:tr>
        <w:trPr>
          <w:cantSplit/>
        </w:trPr>
        <w:tc>
          <w:tcPr>
            <w:tcW w:type="dxa" w:w="1700"/>
            <w:vAlign w:val="center"/>
          </w:tcPr>
          <w:p>
            <w:pPr>
              <w:pStyle w:val="TableBody"/>
            </w:pPr>
            <w:r>
              <w:t>AI</w:t>
            </w:r>
          </w:p>
        </w:tc>
        <w:tc>
          <w:tcPr>
            <w:tcW w:type="dxa" w:w="3750"/>
            <w:vAlign w:val="center"/>
          </w:tcPr>
          <w:p>
            <w:pPr>
              <w:pStyle w:val="TableBody"/>
            </w:pPr>
            <w:r>
              <w:t>Optional read-only summaries after data-quality checks.</w:t>
            </w:r>
          </w:p>
        </w:tc>
        <w:tc>
          <w:tcPr>
            <w:tcW w:type="dxa" w:w="3910"/>
            <w:vAlign w:val="center"/>
          </w:tcPr>
          <w:p>
            <w:pPr>
              <w:pStyle w:val="TableBody"/>
            </w:pPr>
            <w:r>
              <w:t>Measured value and leakage/evaluation tests; human approval for actions.</w:t>
            </w:r>
          </w:p>
        </w:tc>
      </w:tr>
      <w:tr>
        <w:trPr>
          <w:cantSplit/>
        </w:trPr>
        <w:tc>
          <w:tcPr>
            <w:tcW w:type="dxa" w:w="1700"/>
            <w:vAlign w:val="center"/>
          </w:tcPr>
          <w:p>
            <w:pPr>
              <w:pStyle w:val="TableBody"/>
            </w:pPr>
            <w:r>
              <w:t>Mobile</w:t>
            </w:r>
          </w:p>
        </w:tc>
        <w:tc>
          <w:tcPr>
            <w:tcW w:type="dxa" w:w="3750"/>
            <w:vAlign w:val="center"/>
          </w:tcPr>
          <w:p>
            <w:pPr>
              <w:pStyle w:val="TableBody"/>
            </w:pPr>
            <w:r>
              <w:t>Android-first field validation; web dispatcher.</w:t>
            </w:r>
          </w:p>
        </w:tc>
        <w:tc>
          <w:tcPr>
            <w:tcW w:type="dxa" w:w="3910"/>
            <w:vAlign w:val="center"/>
          </w:tcPr>
          <w:p>
            <w:pPr>
              <w:pStyle w:val="TableBody"/>
            </w:pPr>
            <w:r>
              <w:t>iOS pilot demand and physical-device acceptance.</w:t>
            </w:r>
          </w:p>
        </w:tc>
      </w:tr>
      <w:tr>
        <w:trPr>
          <w:cantSplit/>
        </w:trPr>
        <w:tc>
          <w:tcPr>
            <w:tcW w:type="dxa" w:w="1700"/>
            <w:vAlign w:val="center"/>
          </w:tcPr>
          <w:p>
            <w:pPr>
              <w:pStyle w:val="TableBody"/>
            </w:pPr>
            <w:r>
              <w:t>Geography</w:t>
            </w:r>
          </w:p>
        </w:tc>
        <w:tc>
          <w:tcPr>
            <w:tcW w:type="dxa" w:w="3750"/>
            <w:vAlign w:val="center"/>
          </w:tcPr>
          <w:p>
            <w:pPr>
              <w:pStyle w:val="TableBody"/>
            </w:pPr>
            <w:r>
              <w:t>UAE pilot with explicit activity and emirate scope.</w:t>
            </w:r>
          </w:p>
        </w:tc>
        <w:tc>
          <w:tcPr>
            <w:tcW w:type="dxa" w:w="3910"/>
            <w:vAlign w:val="center"/>
          </w:tcPr>
          <w:p>
            <w:pPr>
              <w:pStyle w:val="TableBody"/>
            </w:pPr>
            <w:r>
              <w:t>Saudi/local legal, language and integration review before selling there.</w:t>
            </w:r>
          </w:p>
        </w:tc>
      </w:tr>
    </w:tbl>
    <w:p>
      <w:pPr>
        <w:pStyle w:val="Caption"/>
      </w:pPr>
    </w:p>
    <w:p>
      <w:pPr>
        <w:pStyle w:val="Heading2"/>
      </w:pPr>
      <w:r>
        <w:t>Local product requirements</w:t>
      </w:r>
    </w:p>
    <w:p>
      <w:r>
        <w:t>Store timestamps in UTC and render in the tenant’s IANA time zone. Use AED, kilometers, liters and configurable document categories. Translate action labels, errors, notifications and exported headings; verify RTL tables and mixed Arabic/Latin vehicle identifiers. Define branch access independently of tenant membership.</w:t>
      </w:r>
    </w:p>
    <w:p>
      <w:r>
        <w:t>Asateel ties relevant Abu Dhabi commercial transport permits to functioning approved tracking devices [S9]. Fleet360 must not advertise itself as an approved substitute without provider and authority validation. Start with record keeping and an approved tracking partner where applicable.</w:t>
      </w:r>
    </w:p>
    <w:p>
      <w:r>
        <w:t>UAE personal-data rules cover processing and cross-border transfer conditions [S10]. Map hosting, tracking, support and AI data flows; establish retention, access requests and processor contracts with qualified local review. Do not assume either blanket UAE-only hosting or blanket permission for foreign hosting.</w:t>
      </w:r>
    </w:p>
    <w:p>
      <w:r>
        <w:br w:type="page"/>
      </w:r>
    </w:p>
    <w:p>
      <w:pPr>
        <w:pStyle w:val="Heading1"/>
      </w:pPr>
      <w:r>
        <w:t>10  Nonfunctional requirements and safeguards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750"/>
        <w:gridCol w:w="4210"/>
        <w:gridCol w:w="4400"/>
      </w:tblGrid>
      <w:tr>
        <w:trPr>
          <w:cantSplit/>
          <w:tblHeader/>
        </w:trPr>
        <w:tc>
          <w:tcPr>
            <w:tcW w:type="dxa" w:w="750"/>
            <w:vAlign w:val="center"/>
            <w:shd w:fill="F2F4F7"/>
          </w:tcPr>
          <w:p>
            <w:pPr>
              <w:pStyle w:val="TableBody"/>
            </w:pPr>
            <w:r>
              <w:rPr>
                <w:b/>
              </w:rPr>
              <w:t>ID</w:t>
            </w:r>
          </w:p>
        </w:tc>
        <w:tc>
          <w:tcPr>
            <w:tcW w:type="dxa" w:w="4210"/>
            <w:vAlign w:val="center"/>
            <w:shd w:fill="F2F4F7"/>
          </w:tcPr>
          <w:p>
            <w:pPr>
              <w:pStyle w:val="TableBody"/>
            </w:pPr>
            <w:r>
              <w:rPr>
                <w:b/>
              </w:rPr>
              <w:t>Proposed release criterion</w:t>
            </w:r>
          </w:p>
        </w:tc>
        <w:tc>
          <w:tcPr>
            <w:tcW w:type="dxa" w:w="4400"/>
            <w:vAlign w:val="center"/>
            <w:shd w:fill="F2F4F7"/>
          </w:tcPr>
          <w:p>
            <w:pPr>
              <w:pStyle w:val="TableBody"/>
            </w:pPr>
            <w:r>
              <w:rPr>
                <w:b/>
              </w:rPr>
              <w:t>Verification</w:t>
            </w:r>
          </w:p>
        </w:tc>
      </w:tr>
      <w:tr>
        <w:trPr>
          <w:cantSplit/>
        </w:trPr>
        <w:tc>
          <w:tcPr>
            <w:tcW w:type="dxa" w:w="750"/>
            <w:vAlign w:val="center"/>
          </w:tcPr>
          <w:p>
            <w:pPr>
              <w:pStyle w:val="TableBody"/>
            </w:pPr>
            <w:r>
              <w:t>N01 Security</w:t>
            </w:r>
          </w:p>
        </w:tc>
        <w:tc>
          <w:tcPr>
            <w:tcW w:type="dxa" w:w="4210"/>
            <w:vAlign w:val="center"/>
          </w:tcPr>
          <w:p>
            <w:pPr>
              <w:pStyle w:val="TableBody"/>
            </w:pPr>
            <w:r>
              <w:t>Strong secrets required; no known exposed active credentials; tenant and role separation for APIs, files, exports and jobs.</w:t>
            </w:r>
          </w:p>
        </w:tc>
        <w:tc>
          <w:tcPr>
            <w:tcW w:type="dxa" w:w="4400"/>
            <w:vAlign w:val="center"/>
          </w:tcPr>
          <w:p>
            <w:pPr>
              <w:pStyle w:val="TableBody"/>
            </w:pPr>
            <w:r>
              <w:t>Secret scan, startup tests, adversarial two-tenant integration suite and independent security review.</w:t>
            </w:r>
          </w:p>
        </w:tc>
      </w:tr>
      <w:tr>
        <w:trPr>
          <w:cantSplit/>
        </w:trPr>
        <w:tc>
          <w:tcPr>
            <w:tcW w:type="dxa" w:w="750"/>
            <w:vAlign w:val="center"/>
          </w:tcPr>
          <w:p>
            <w:pPr>
              <w:pStyle w:val="TableBody"/>
            </w:pPr>
            <w:r>
              <w:t>N02 Performance</w:t>
            </w:r>
          </w:p>
        </w:tc>
        <w:tc>
          <w:tcPr>
            <w:tcW w:type="dxa" w:w="4210"/>
            <w:vAlign w:val="center"/>
          </w:tcPr>
          <w:p>
            <w:pPr>
              <w:pStyle w:val="TableBody"/>
            </w:pPr>
            <w:r>
              <w:t>At 300 vehicles and 20 concurrent office users: p95 critical API &lt;1 second, excluding external providers.</w:t>
            </w:r>
          </w:p>
        </w:tc>
        <w:tc>
          <w:tcPr>
            <w:tcW w:type="dxa" w:w="4400"/>
            <w:vAlign w:val="center"/>
          </w:tcPr>
          <w:p>
            <w:pPr>
              <w:pStyle w:val="TableBody"/>
            </w:pPr>
            <w:r>
              <w:t>30-minute representative load test with published dataset and error rate.</w:t>
            </w:r>
          </w:p>
        </w:tc>
      </w:tr>
      <w:tr>
        <w:trPr>
          <w:cantSplit/>
        </w:trPr>
        <w:tc>
          <w:tcPr>
            <w:tcW w:type="dxa" w:w="750"/>
            <w:vAlign w:val="center"/>
          </w:tcPr>
          <w:p>
            <w:pPr>
              <w:pStyle w:val="TableBody"/>
            </w:pPr>
            <w:r>
              <w:t>N03 Reliability</w:t>
            </w:r>
          </w:p>
        </w:tc>
        <w:tc>
          <w:tcPr>
            <w:tcW w:type="dxa" w:w="4210"/>
            <w:vAlign w:val="center"/>
          </w:tcPr>
          <w:p>
            <w:pPr>
              <w:pStyle w:val="TableBody"/>
            </w:pPr>
            <w:r>
              <w:t>Pilot critical-service availability target 99.5%; general-availability target 99.9%.</w:t>
            </w:r>
          </w:p>
        </w:tc>
        <w:tc>
          <w:tcPr>
            <w:tcW w:type="dxa" w:w="4400"/>
            <w:vAlign w:val="center"/>
          </w:tcPr>
          <w:p>
            <w:pPr>
              <w:pStyle w:val="TableBody"/>
            </w:pPr>
            <w:r>
              <w:t>Synthetic monitors; defined downtime window and exclusions; dependency incidents tracked.</w:t>
            </w:r>
          </w:p>
        </w:tc>
      </w:tr>
      <w:tr>
        <w:trPr>
          <w:cantSplit/>
        </w:trPr>
        <w:tc>
          <w:tcPr>
            <w:tcW w:type="dxa" w:w="750"/>
            <w:vAlign w:val="center"/>
          </w:tcPr>
          <w:p>
            <w:pPr>
              <w:pStyle w:val="TableBody"/>
            </w:pPr>
            <w:r>
              <w:t>N04 Recovery</w:t>
            </w:r>
          </w:p>
        </w:tc>
        <w:tc>
          <w:tcPr>
            <w:tcW w:type="dxa" w:w="4210"/>
            <w:vAlign w:val="center"/>
          </w:tcPr>
          <w:p>
            <w:pPr>
              <w:pStyle w:val="TableBody"/>
            </w:pPr>
            <w:r>
              <w:t>Proposed RPO ≤15 minutes and RTO ≤4 hours for operational data.</w:t>
            </w:r>
          </w:p>
        </w:tc>
        <w:tc>
          <w:tcPr>
            <w:tcW w:type="dxa" w:w="4400"/>
            <w:vAlign w:val="center"/>
          </w:tcPr>
          <w:p>
            <w:pPr>
              <w:pStyle w:val="TableBody"/>
            </w:pPr>
            <w:r>
              <w:t>Restore backup to isolated environment and replay documented recovery procedure.</w:t>
            </w:r>
          </w:p>
        </w:tc>
      </w:tr>
      <w:tr>
        <w:trPr>
          <w:cantSplit/>
        </w:trPr>
        <w:tc>
          <w:tcPr>
            <w:tcW w:type="dxa" w:w="750"/>
            <w:vAlign w:val="center"/>
          </w:tcPr>
          <w:p>
            <w:pPr>
              <w:pStyle w:val="TableBody"/>
            </w:pPr>
            <w:r>
              <w:t>N05 Field usability</w:t>
            </w:r>
          </w:p>
        </w:tc>
        <w:tc>
          <w:tcPr>
            <w:tcW w:type="dxa" w:w="4210"/>
            <w:vAlign w:val="center"/>
          </w:tcPr>
          <w:p>
            <w:pPr>
              <w:pStyle w:val="TableBody"/>
            </w:pPr>
            <w:r>
              <w:t>Critical tasks usable at 360 px width; touch targets ≥44 px; no loss after app restart during offline work.</w:t>
            </w:r>
          </w:p>
        </w:tc>
        <w:tc>
          <w:tcPr>
            <w:tcW w:type="dxa" w:w="4400"/>
            <w:vAlign w:val="center"/>
          </w:tcPr>
          <w:p>
            <w:pPr>
              <w:pStyle w:val="TableBody"/>
            </w:pPr>
            <w:r>
              <w:t>Android device test, outage simulation and five driver task observations.</w:t>
            </w:r>
          </w:p>
        </w:tc>
      </w:tr>
      <w:tr>
        <w:trPr>
          <w:cantSplit/>
        </w:trPr>
        <w:tc>
          <w:tcPr>
            <w:tcW w:type="dxa" w:w="750"/>
            <w:vAlign w:val="center"/>
          </w:tcPr>
          <w:p>
            <w:pPr>
              <w:pStyle w:val="TableBody"/>
            </w:pPr>
            <w:r>
              <w:t>N06 Accessibility</w:t>
            </w:r>
          </w:p>
        </w:tc>
        <w:tc>
          <w:tcPr>
            <w:tcW w:type="dxa" w:w="4210"/>
            <w:vAlign w:val="center"/>
          </w:tcPr>
          <w:p>
            <w:pPr>
              <w:pStyle w:val="TableBody"/>
            </w:pPr>
            <w:r>
              <w:t>Critical web flows meet WCAG 2.2 AA target.</w:t>
            </w:r>
          </w:p>
        </w:tc>
        <w:tc>
          <w:tcPr>
            <w:tcW w:type="dxa" w:w="4400"/>
            <w:vAlign w:val="center"/>
          </w:tcPr>
          <w:p>
            <w:pPr>
              <w:pStyle w:val="TableBody"/>
            </w:pPr>
            <w:r>
              <w:t>Keyboard, focus, labels, contrast and screen-reader checks alongside automated scans.</w:t>
            </w:r>
          </w:p>
        </w:tc>
      </w:tr>
      <w:tr>
        <w:trPr>
          <w:cantSplit/>
        </w:trPr>
        <w:tc>
          <w:tcPr>
            <w:tcW w:type="dxa" w:w="750"/>
            <w:vAlign w:val="center"/>
          </w:tcPr>
          <w:p>
            <w:pPr>
              <w:pStyle w:val="TableBody"/>
            </w:pPr>
            <w:r>
              <w:t>N07 Observability</w:t>
            </w:r>
          </w:p>
        </w:tc>
        <w:tc>
          <w:tcPr>
            <w:tcW w:type="dxa" w:w="4210"/>
            <w:vAlign w:val="center"/>
          </w:tcPr>
          <w:p>
            <w:pPr>
              <w:pStyle w:val="TableBody"/>
            </w:pPr>
            <w:r>
              <w:t>Correlation ID, tenant-safe logs, error rate and queue age visible; public probes reveal no internals.</w:t>
            </w:r>
          </w:p>
        </w:tc>
        <w:tc>
          <w:tcPr>
            <w:tcW w:type="dxa" w:w="4400"/>
            <w:vAlign w:val="center"/>
          </w:tcPr>
          <w:p>
            <w:pPr>
              <w:pStyle w:val="TableBody"/>
            </w:pPr>
            <w:r>
              <w:t>Synthetic failed dependency and delayed-job exercise.</w:t>
            </w:r>
          </w:p>
        </w:tc>
      </w:tr>
      <w:tr>
        <w:trPr>
          <w:cantSplit/>
        </w:trPr>
        <w:tc>
          <w:tcPr>
            <w:tcW w:type="dxa" w:w="750"/>
            <w:vAlign w:val="center"/>
          </w:tcPr>
          <w:p>
            <w:pPr>
              <w:pStyle w:val="TableBody"/>
            </w:pPr>
            <w:r>
              <w:t>N08 Data integrity</w:t>
            </w:r>
          </w:p>
        </w:tc>
        <w:tc>
          <w:tcPr>
            <w:tcW w:type="dxa" w:w="4210"/>
            <w:vAlign w:val="center"/>
          </w:tcPr>
          <w:p>
            <w:pPr>
              <w:pStyle w:val="TableBody"/>
            </w:pPr>
            <w:r>
              <w:t>Idempotent imports and events; auditable corrections; no negative or inconsistent trip allocations.</w:t>
            </w:r>
          </w:p>
        </w:tc>
        <w:tc>
          <w:tcPr>
            <w:tcW w:type="dxa" w:w="4400"/>
            <w:vAlign w:val="center"/>
          </w:tcPr>
          <w:p>
            <w:pPr>
              <w:pStyle w:val="TableBody"/>
            </w:pPr>
            <w:r>
              <w:t>Replay, concurrency, rollback and reconciliation tests.</w:t>
            </w:r>
          </w:p>
        </w:tc>
      </w:tr>
    </w:tbl>
    <w:p>
      <w:pPr>
        <w:pStyle w:val="Caption"/>
      </w:pPr>
    </w:p>
    <w:p>
      <w:r>
        <w:t>Performance, availability and recovery numbers are proposed acceptance targets, not measurements of the current app. Confirm them with the pilot’s service hours and architecture costs before contractual commitments.</w:t>
      </w:r>
    </w:p>
    <w:p>
      <w:r>
        <w:t>Safety guardrail: expired credentials, critical inspection defects and resource overlaps block assignment. Any policy override must be role-controlled, justified and auditable; define which conditions can never be overridden with the operator before deployment.</w:t>
      </w:r>
    </w:p>
    <w:p>
      <w:r>
        <w:br w:type="page"/>
      </w:r>
    </w:p>
    <w:p>
      <w:pPr>
        <w:pStyle w:val="Heading1"/>
      </w:pPr>
      <w:r>
        <w:t>11  Technology stack and architecture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750"/>
        <w:gridCol w:w="3650"/>
        <w:gridCol w:w="3960"/>
      </w:tblGrid>
      <w:tr>
        <w:trPr>
          <w:cantSplit/>
          <w:tblHeader/>
        </w:trPr>
        <w:tc>
          <w:tcPr>
            <w:tcW w:type="dxa" w:w="1750"/>
            <w:vAlign w:val="center"/>
            <w:shd w:fill="F2F4F7"/>
          </w:tcPr>
          <w:p>
            <w:pPr>
              <w:pStyle w:val="TableBody"/>
            </w:pPr>
            <w:r>
              <w:rPr>
                <w:b/>
              </w:rPr>
              <w:t>Layer</w:t>
            </w:r>
          </w:p>
        </w:tc>
        <w:tc>
          <w:tcPr>
            <w:tcW w:type="dxa" w:w="3650"/>
            <w:vAlign w:val="center"/>
            <w:shd w:fill="F2F4F7"/>
          </w:tcPr>
          <w:p>
            <w:pPr>
              <w:pStyle w:val="TableBody"/>
            </w:pPr>
            <w:r>
              <w:rPr>
                <w:b/>
              </w:rPr>
              <w:t>Observed stack</w:t>
            </w:r>
          </w:p>
        </w:tc>
        <w:tc>
          <w:tcPr>
            <w:tcW w:type="dxa" w:w="3960"/>
            <w:vAlign w:val="center"/>
            <w:shd w:fill="F2F4F7"/>
          </w:tcPr>
          <w:p>
            <w:pPr>
              <w:pStyle w:val="TableBody"/>
            </w:pPr>
            <w:r>
              <w:rPr>
                <w:b/>
              </w:rPr>
              <w:t>Recommended direction</w:t>
            </w:r>
          </w:p>
        </w:tc>
      </w:tr>
      <w:tr>
        <w:trPr>
          <w:cantSplit/>
        </w:trPr>
        <w:tc>
          <w:tcPr>
            <w:tcW w:type="dxa" w:w="1750"/>
            <w:vAlign w:val="center"/>
          </w:tcPr>
          <w:p>
            <w:pPr>
              <w:pStyle w:val="TableBody"/>
            </w:pPr>
            <w:r>
              <w:t>Web</w:t>
            </w:r>
          </w:p>
        </w:tc>
        <w:tc>
          <w:tcPr>
            <w:tcW w:type="dxa" w:w="3650"/>
            <w:vAlign w:val="center"/>
          </w:tcPr>
          <w:p>
            <w:pPr>
              <w:pStyle w:val="TableBody"/>
            </w:pPr>
            <w:r>
              <w:t>Next.js 15.5.24 observed at startup; React 19; TypeScript; Tailwind 4.</w:t>
            </w:r>
          </w:p>
        </w:tc>
        <w:tc>
          <w:tcPr>
            <w:tcW w:type="dxa" w:w="3960"/>
            <w:vAlign w:val="center"/>
          </w:tcPr>
          <w:p>
            <w:pPr>
              <w:pStyle w:val="TableBody"/>
            </w:pPr>
            <w:r>
              <w:t>Retain. Fix server/client boundaries and enforce build/type/lint gates.</w:t>
            </w:r>
          </w:p>
        </w:tc>
      </w:tr>
      <w:tr>
        <w:trPr>
          <w:cantSplit/>
        </w:trPr>
        <w:tc>
          <w:tcPr>
            <w:tcW w:type="dxa" w:w="1750"/>
            <w:vAlign w:val="center"/>
          </w:tcPr>
          <w:p>
            <w:pPr>
              <w:pStyle w:val="TableBody"/>
            </w:pPr>
            <w:r>
              <w:t>API / services</w:t>
            </w:r>
          </w:p>
        </w:tc>
        <w:tc>
          <w:tcPr>
            <w:tcW w:type="dxa" w:w="3650"/>
            <w:vAlign w:val="center"/>
          </w:tcPr>
          <w:p>
            <w:pPr>
              <w:pStyle w:val="TableBody"/>
            </w:pPr>
            <w:r>
              <w:t>Next route handlers plus Go 1.25, Gin and GORM.</w:t>
            </w:r>
          </w:p>
        </w:tc>
        <w:tc>
          <w:tcPr>
            <w:tcW w:type="dxa" w:w="3960"/>
            <w:vAlign w:val="center"/>
          </w:tcPr>
          <w:p>
            <w:pPr>
              <w:pStyle w:val="TableBody"/>
            </w:pPr>
            <w:r>
              <w:t>Avoid a rewrite. Assign one owner per endpoint; test proxy contracts and authentication.</w:t>
            </w:r>
          </w:p>
        </w:tc>
      </w:tr>
      <w:tr>
        <w:trPr>
          <w:cantSplit/>
        </w:trPr>
        <w:tc>
          <w:tcPr>
            <w:tcW w:type="dxa" w:w="1750"/>
            <w:vAlign w:val="center"/>
          </w:tcPr>
          <w:p>
            <w:pPr>
              <w:pStyle w:val="TableBody"/>
            </w:pPr>
            <w:r>
              <w:t>Data</w:t>
            </w:r>
          </w:p>
        </w:tc>
        <w:tc>
          <w:tcPr>
            <w:tcW w:type="dxa" w:w="3650"/>
            <w:vAlign w:val="center"/>
          </w:tcPr>
          <w:p>
            <w:pPr>
              <w:pStyle w:val="TableBody"/>
            </w:pPr>
            <w:r>
              <w:t>PostgreSQL, Prisma 5.22, Neon-related dependencies, RLS helpers.</w:t>
            </w:r>
          </w:p>
        </w:tc>
        <w:tc>
          <w:tcPr>
            <w:tcW w:type="dxa" w:w="3960"/>
            <w:vAlign w:val="center"/>
          </w:tcPr>
          <w:p>
            <w:pPr>
              <w:pStyle w:val="TableBody"/>
            </w:pPr>
            <w:r>
              <w:t>Use migration-managed schema; pooled tenant-context tests; region choice after data-flow review.</w:t>
            </w:r>
          </w:p>
        </w:tc>
      </w:tr>
      <w:tr>
        <w:trPr>
          <w:cantSplit/>
        </w:trPr>
        <w:tc>
          <w:tcPr>
            <w:tcW w:type="dxa" w:w="1750"/>
            <w:vAlign w:val="center"/>
          </w:tcPr>
          <w:p>
            <w:pPr>
              <w:pStyle w:val="TableBody"/>
            </w:pPr>
            <w:r>
              <w:t>Mobile</w:t>
            </w:r>
          </w:p>
        </w:tc>
        <w:tc>
          <w:tcPr>
            <w:tcW w:type="dxa" w:w="3650"/>
            <w:vAlign w:val="center"/>
          </w:tcPr>
          <w:p>
            <w:pPr>
              <w:pStyle w:val="TableBody"/>
            </w:pPr>
            <w:r>
              <w:t>Separate Next export; Capacitor 6; IndexedDB/SQLite-related packages.</w:t>
            </w:r>
          </w:p>
        </w:tc>
        <w:tc>
          <w:tcPr>
            <w:tcW w:type="dxa" w:w="3960"/>
            <w:vAlign w:val="center"/>
          </w:tcPr>
          <w:p>
            <w:pPr>
              <w:pStyle w:val="TableBody"/>
            </w:pPr>
            <w:r>
              <w:t>Retain Android-first shell and durable offline queue; verify native permissions and restart recovery.</w:t>
            </w:r>
          </w:p>
        </w:tc>
      </w:tr>
      <w:tr>
        <w:trPr>
          <w:cantSplit/>
        </w:trPr>
        <w:tc>
          <w:tcPr>
            <w:tcW w:type="dxa" w:w="1750"/>
            <w:vAlign w:val="center"/>
          </w:tcPr>
          <w:p>
            <w:pPr>
              <w:pStyle w:val="TableBody"/>
            </w:pPr>
            <w:r>
              <w:t>Async / integrations</w:t>
            </w:r>
          </w:p>
        </w:tc>
        <w:tc>
          <w:tcPr>
            <w:tcW w:type="dxa" w:w="3650"/>
            <w:vAlign w:val="center"/>
          </w:tcPr>
          <w:p>
            <w:pPr>
              <w:pStyle w:val="TableBody"/>
            </w:pPr>
            <w:r>
              <w:t>Outbox modules, jobs, Redis/Upstash packages, telematics, email and WhatsApp code.</w:t>
            </w:r>
          </w:p>
        </w:tc>
        <w:tc>
          <w:tcPr>
            <w:tcW w:type="dxa" w:w="3960"/>
            <w:vAlign w:val="center"/>
          </w:tcPr>
          <w:p>
            <w:pPr>
              <w:pStyle w:val="TableBody"/>
            </w:pPr>
            <w:r>
              <w:t>Durable worker with retries, dead-letter handling and idempotency; verify each live integration.</w:t>
            </w:r>
          </w:p>
        </w:tc>
      </w:tr>
      <w:tr>
        <w:trPr>
          <w:cantSplit/>
        </w:trPr>
        <w:tc>
          <w:tcPr>
            <w:tcW w:type="dxa" w:w="1750"/>
            <w:vAlign w:val="center"/>
          </w:tcPr>
          <w:p>
            <w:pPr>
              <w:pStyle w:val="TableBody"/>
            </w:pPr>
            <w:r>
              <w:t>Quality</w:t>
            </w:r>
          </w:p>
        </w:tc>
        <w:tc>
          <w:tcPr>
            <w:tcW w:type="dxa" w:w="3650"/>
            <w:vAlign w:val="center"/>
          </w:tcPr>
          <w:p>
            <w:pPr>
              <w:pStyle w:val="TableBody"/>
            </w:pPr>
            <w:r>
              <w:t>Vitest, Playwright, Go test, tenant and migration scanners.</w:t>
            </w:r>
          </w:p>
        </w:tc>
        <w:tc>
          <w:tcPr>
            <w:tcW w:type="dxa" w:w="3960"/>
            <w:vAlign w:val="center"/>
          </w:tcPr>
          <w:p>
            <w:pPr>
              <w:pStyle w:val="TableBody"/>
            </w:pPr>
            <w:r>
              <w:t>One blocking CI pipeline with isolated Postgres, smoke stack and release evidence.</w:t>
            </w:r>
          </w:p>
        </w:tc>
      </w:tr>
    </w:tbl>
    <w:p>
      <w:pPr>
        <w:pStyle w:val="Caption"/>
      </w:pPr>
    </w:p>
    <w:p>
      <w:pPr>
        <w:pStyle w:val="Heading2"/>
      </w:pPr>
      <w:r>
        <w:t>Target deployment topology</w:t>
      </w:r>
    </w:p>
    <w:p>
      <w:r>
        <w:t>Web/driver clients → authenticated API boundary → explicit Next or Go route owner → PostgreSQL tenant-scoped transaction. Domain changes also write an outbox record in the same transaction. A worker publishes notifications and integrations; consumers deduplicate event IDs. Files use tenant-scoped object storage and short-lived access URLs.</w:t>
      </w:r>
    </w:p>
    <w:p>
      <w:r>
        <w:t>The operational source of truth is the committed assignment and trip state, not a map marker or push message. Telematics is evidence attached to the trip. Define one vehicle/driver identifier map per provider and tenant. Missing or delayed providers degrade visibly without silently completing a workflow.</w:t>
      </w:r>
    </w:p>
    <w:p>
      <w:pPr>
        <w:pStyle w:val="Source"/>
      </w:pPr>
      <w:r>
        <w:t>Observed technologies from package.json, backend/go.mod and source directories. Presence of a dependency is not proof of production configuration. Node 22 is declared locally while ci.yml uses Node 20; standardize the supported runtime.</w:t>
      </w:r>
    </w:p>
    <w:p>
      <w:r>
        <w:br w:type="page"/>
      </w:r>
    </w:p>
    <w:p>
      <w:pPr>
        <w:pStyle w:val="Heading1"/>
      </w:pPr>
      <w:r>
        <w:t>12  Delivery timeline and ownership</w:t>
      </w:r>
    </w:p>
    <w:p>
      <w:pPr>
        <w:keepNext/>
      </w:pPr>
      <w:r>
        <w:drawing>
          <wp:inline xmlns:a="http://schemas.openxmlformats.org/drawingml/2006/main" xmlns:pic="http://schemas.openxmlformats.org/drawingml/2006/picture">
            <wp:extent cx="5943600" cy="2165169"/>
            <wp:docPr id="3" name="Picture 3" descr="Figure 3. Proposed 16-week delivery plan. Workstreams overlap; release gates and staffing determine the actual date."/>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943600" cy="2165169"/>
                    </a:xfrm>
                    <a:prstGeom prst="rect"/>
                  </pic:spPr>
                </pic:pic>
              </a:graphicData>
            </a:graphic>
          </wp:inline>
        </w:drawing>
      </w:r>
    </w:p>
    <w:p>
      <w:pPr>
        <w:pStyle w:val="Caption"/>
      </w:pPr>
      <w:r>
        <w:t>Figure 3. Proposed 16-week delivery plan. Workstreams overlap; release gates and staffing determine the actual date.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600"/>
        <w:gridCol w:w="3250"/>
        <w:gridCol w:w="3510"/>
      </w:tblGrid>
      <w:tr>
        <w:trPr>
          <w:cantSplit/>
          <w:tblHeader/>
        </w:trPr>
        <w:tc>
          <w:tcPr>
            <w:tcW w:type="dxa" w:w="2600"/>
            <w:vAlign w:val="center"/>
            <w:shd w:fill="F2F4F7"/>
          </w:tcPr>
          <w:p>
            <w:pPr>
              <w:pStyle w:val="TableBody"/>
            </w:pPr>
            <w:r>
              <w:rPr>
                <w:b/>
              </w:rPr>
              <w:t>Milestone</w:t>
            </w:r>
          </w:p>
        </w:tc>
        <w:tc>
          <w:tcPr>
            <w:tcW w:type="dxa" w:w="3250"/>
            <w:vAlign w:val="center"/>
            <w:shd w:fill="F2F4F7"/>
          </w:tcPr>
          <w:p>
            <w:pPr>
              <w:pStyle w:val="TableBody"/>
            </w:pPr>
            <w:r>
              <w:rPr>
                <w:b/>
              </w:rPr>
              <w:t>Owner / staffing assumption</w:t>
            </w:r>
          </w:p>
        </w:tc>
        <w:tc>
          <w:tcPr>
            <w:tcW w:type="dxa" w:w="3510"/>
            <w:vAlign w:val="center"/>
            <w:shd w:fill="F2F4F7"/>
          </w:tcPr>
          <w:p>
            <w:pPr>
              <w:pStyle w:val="TableBody"/>
            </w:pPr>
            <w:r>
              <w:rPr>
                <w:b/>
              </w:rPr>
              <w:t>Exit condition</w:t>
            </w:r>
          </w:p>
        </w:tc>
      </w:tr>
      <w:tr>
        <w:trPr>
          <w:cantSplit/>
        </w:trPr>
        <w:tc>
          <w:tcPr>
            <w:tcW w:type="dxa" w:w="2600"/>
            <w:vAlign w:val="center"/>
          </w:tcPr>
          <w:p>
            <w:pPr>
              <w:pStyle w:val="TableBody"/>
            </w:pPr>
            <w:r>
              <w:t>Weeks 1–3: foundation</w:t>
            </w:r>
          </w:p>
        </w:tc>
        <w:tc>
          <w:tcPr>
            <w:tcW w:type="dxa" w:w="3250"/>
            <w:vAlign w:val="center"/>
          </w:tcPr>
          <w:p>
            <w:pPr>
              <w:pStyle w:val="TableBody"/>
            </w:pPr>
            <w:r>
              <w:t>Tech lead + 2 full-stack engineers; part-time security/DevOps.</w:t>
            </w:r>
          </w:p>
        </w:tc>
        <w:tc>
          <w:tcPr>
            <w:tcW w:type="dxa" w:w="3510"/>
            <w:vAlign w:val="center"/>
          </w:tcPr>
          <w:p>
            <w:pPr>
              <w:pStyle w:val="TableBody"/>
            </w:pPr>
            <w:r>
              <w:t>Rotate secrets; hard-fail missing config; reproducible stack; blocking checks; interview evidence.</w:t>
            </w:r>
          </w:p>
        </w:tc>
      </w:tr>
      <w:tr>
        <w:trPr>
          <w:cantSplit/>
        </w:trPr>
        <w:tc>
          <w:tcPr>
            <w:tcW w:type="dxa" w:w="2600"/>
            <w:vAlign w:val="center"/>
          </w:tcPr>
          <w:p>
            <w:pPr>
              <w:pStyle w:val="TableBody"/>
            </w:pPr>
            <w:r>
              <w:t>Weeks 3–7: core loop</w:t>
            </w:r>
          </w:p>
        </w:tc>
        <w:tc>
          <w:tcPr>
            <w:tcW w:type="dxa" w:w="3250"/>
            <w:vAlign w:val="center"/>
          </w:tcPr>
          <w:p>
            <w:pPr>
              <w:pStyle w:val="TableBody"/>
            </w:pPr>
            <w:r>
              <w:t>Same engineers + mobile engineer + product designer.</w:t>
            </w:r>
          </w:p>
        </w:tc>
        <w:tc>
          <w:tcPr>
            <w:tcW w:type="dxa" w:w="3510"/>
            <w:vAlign w:val="center"/>
          </w:tcPr>
          <w:p>
            <w:pPr>
              <w:pStyle w:val="TableBody"/>
            </w:pPr>
            <w:r>
              <w:t>F01–F09 work with two isolated tenants; operator and driver task tests pass.</w:t>
            </w:r>
          </w:p>
        </w:tc>
      </w:tr>
      <w:tr>
        <w:trPr>
          <w:cantSplit/>
        </w:trPr>
        <w:tc>
          <w:tcPr>
            <w:tcW w:type="dxa" w:w="2600"/>
            <w:vAlign w:val="center"/>
          </w:tcPr>
          <w:p>
            <w:pPr>
              <w:pStyle w:val="TableBody"/>
            </w:pPr>
            <w:r>
              <w:t>Weeks 7–9: integration</w:t>
            </w:r>
          </w:p>
        </w:tc>
        <w:tc>
          <w:tcPr>
            <w:tcW w:type="dxa" w:w="3250"/>
            <w:vAlign w:val="center"/>
          </w:tcPr>
          <w:p>
            <w:pPr>
              <w:pStyle w:val="TableBody"/>
            </w:pPr>
            <w:r>
              <w:t>Backend/mobile + QA automation engineer.</w:t>
            </w:r>
          </w:p>
        </w:tc>
        <w:tc>
          <w:tcPr>
            <w:tcW w:type="dxa" w:w="3510"/>
            <w:vAlign w:val="center"/>
          </w:tcPr>
          <w:p>
            <w:pPr>
              <w:pStyle w:val="TableBody"/>
            </w:pPr>
            <w:r>
              <w:t>One tracking connector; offline replay; cost reconciliation and exports verified.</w:t>
            </w:r>
          </w:p>
        </w:tc>
      </w:tr>
      <w:tr>
        <w:trPr>
          <w:cantSplit/>
        </w:trPr>
        <w:tc>
          <w:tcPr>
            <w:tcW w:type="dxa" w:w="2600"/>
            <w:vAlign w:val="center"/>
          </w:tcPr>
          <w:p>
            <w:pPr>
              <w:pStyle w:val="TableBody"/>
            </w:pPr>
            <w:r>
              <w:t>Weeks 9–12: controlled pilot</w:t>
            </w:r>
          </w:p>
        </w:tc>
        <w:tc>
          <w:tcPr>
            <w:tcW w:type="dxa" w:w="3250"/>
            <w:vAlign w:val="center"/>
          </w:tcPr>
          <w:p>
            <w:pPr>
              <w:pStyle w:val="TableBody"/>
            </w:pPr>
            <w:r>
              <w:t>Product lead, QA, onboarding specialist and operator champions.</w:t>
            </w:r>
          </w:p>
        </w:tc>
        <w:tc>
          <w:tcPr>
            <w:tcW w:type="dxa" w:w="3510"/>
            <w:vAlign w:val="center"/>
          </w:tcPr>
          <w:p>
            <w:pPr>
              <w:pStyle w:val="TableBody"/>
            </w:pPr>
            <w:r>
              <w:t>Three pilot operators complete four weeks with documented baseline and incidents.</w:t>
            </w:r>
          </w:p>
        </w:tc>
      </w:tr>
      <w:tr>
        <w:trPr>
          <w:cantSplit/>
        </w:trPr>
        <w:tc>
          <w:tcPr>
            <w:tcW w:type="dxa" w:w="2600"/>
            <w:vAlign w:val="center"/>
          </w:tcPr>
          <w:p>
            <w:pPr>
              <w:pStyle w:val="TableBody"/>
            </w:pPr>
            <w:r>
              <w:t>Weeks 13–16: launch gate</w:t>
            </w:r>
          </w:p>
        </w:tc>
        <w:tc>
          <w:tcPr>
            <w:tcW w:type="dxa" w:w="3250"/>
            <w:vAlign w:val="center"/>
          </w:tcPr>
          <w:p>
            <w:pPr>
              <w:pStyle w:val="TableBody"/>
            </w:pPr>
            <w:r>
              <w:t>Product + engineering + customer success.</w:t>
            </w:r>
          </w:p>
        </w:tc>
        <w:tc>
          <w:tcPr>
            <w:tcW w:type="dxa" w:w="3510"/>
            <w:vAlign w:val="center"/>
          </w:tcPr>
          <w:p>
            <w:pPr>
              <w:pStyle w:val="TableBody"/>
            </w:pPr>
            <w:r>
              <w:t>Paid conversion, acceptable support effort and all security/recovery gates pass.</w:t>
            </w:r>
          </w:p>
        </w:tc>
      </w:tr>
    </w:tbl>
    <w:p>
      <w:pPr>
        <w:pStyle w:val="Caption"/>
      </w:pPr>
    </w:p>
    <w:p>
      <w:r>
        <w:t>Plan assumes a dedicated product lead, three product engineers plus tech lead, one QA engineer, and fractional design, DevOps/security and onboarding capacity. These are planning assumptions; availability and unresolved architecture work can extend the schedule.</w:t>
      </w:r>
    </w:p>
    <w:p>
      <w:r>
        <w:t>Critical path: secret/configuration repair → reproducible isolated stack → assignment and offline correctness → integration reliability → pilot outcomes. Maintain a two-week contingency within the final phase; cut deferred scope before weakening release gates.</w:t>
      </w:r>
    </w:p>
    <w:p>
      <w:r>
        <w:br w:type="page"/>
      </w:r>
    </w:p>
    <w:p>
      <w:pPr>
        <w:pStyle w:val="Heading1"/>
      </w:pPr>
      <w:r>
        <w:t>13  Packaging, pricing and unit economics</w:t>
      </w:r>
    </w:p>
    <w:p>
      <w:r>
        <w:t>Use assisted B2B selling with a platform minimum and active-vehicle pricing. Price the operational result and onboarding effort; avoid subsidizing bespoke integrations. All amounts below are hypotheses in AED, excluding tax and hardware.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350"/>
        <w:gridCol w:w="3350"/>
        <w:gridCol w:w="3660"/>
      </w:tblGrid>
      <w:tr>
        <w:trPr>
          <w:cantSplit/>
          <w:tblHeader/>
        </w:trPr>
        <w:tc>
          <w:tcPr>
            <w:tcW w:type="dxa" w:w="2350"/>
            <w:vAlign w:val="center"/>
            <w:shd w:fill="F2F4F7"/>
          </w:tcPr>
          <w:p>
            <w:pPr>
              <w:pStyle w:val="TableBody"/>
            </w:pPr>
            <w:r>
              <w:rPr>
                <w:b/>
              </w:rPr>
              <w:t>Offer</w:t>
            </w:r>
          </w:p>
        </w:tc>
        <w:tc>
          <w:tcPr>
            <w:tcW w:type="dxa" w:w="3350"/>
            <w:vAlign w:val="center"/>
            <w:shd w:fill="F2F4F7"/>
          </w:tcPr>
          <w:p>
            <w:pPr>
              <w:pStyle w:val="TableBody"/>
            </w:pPr>
            <w:r>
              <w:rPr>
                <w:b/>
              </w:rPr>
              <w:t>Proposed price experiment</w:t>
            </w:r>
          </w:p>
        </w:tc>
        <w:tc>
          <w:tcPr>
            <w:tcW w:type="dxa" w:w="3660"/>
            <w:vAlign w:val="center"/>
            <w:shd w:fill="F2F4F7"/>
          </w:tcPr>
          <w:p>
            <w:pPr>
              <w:pStyle w:val="TableBody"/>
            </w:pPr>
            <w:r>
              <w:rPr>
                <w:b/>
              </w:rPr>
              <w:t>Included / boundary</w:t>
            </w:r>
          </w:p>
        </w:tc>
      </w:tr>
      <w:tr>
        <w:trPr>
          <w:cantSplit/>
        </w:trPr>
        <w:tc>
          <w:tcPr>
            <w:tcW w:type="dxa" w:w="2350"/>
            <w:vAlign w:val="center"/>
          </w:tcPr>
          <w:p>
            <w:pPr>
              <w:pStyle w:val="TableBody"/>
            </w:pPr>
            <w:r>
              <w:t>Design-partner pilot</w:t>
            </w:r>
          </w:p>
        </w:tc>
        <w:tc>
          <w:tcPr>
            <w:tcW w:type="dxa" w:w="3350"/>
            <w:vAlign w:val="center"/>
          </w:tcPr>
          <w:p>
            <w:pPr>
              <w:pStyle w:val="TableBody"/>
            </w:pPr>
            <w:r>
              <w:t>AED 3,000–6,000 for 6 weeks.</w:t>
            </w:r>
          </w:p>
        </w:tc>
        <w:tc>
          <w:tcPr>
            <w:tcW w:type="dxa" w:w="3660"/>
            <w:vAlign w:val="center"/>
          </w:tcPr>
          <w:p>
            <w:pPr>
              <w:pStyle w:val="TableBody"/>
            </w:pPr>
            <w:r>
              <w:t>One operator, one agreed workflow, assisted import; success criteria signed upfront.</w:t>
            </w:r>
          </w:p>
        </w:tc>
      </w:tr>
      <w:tr>
        <w:trPr>
          <w:cantSplit/>
        </w:trPr>
        <w:tc>
          <w:tcPr>
            <w:tcW w:type="dxa" w:w="2350"/>
            <w:vAlign w:val="center"/>
          </w:tcPr>
          <w:p>
            <w:pPr>
              <w:pStyle w:val="TableBody"/>
            </w:pPr>
            <w:r>
              <w:t>Operations subscription</w:t>
            </w:r>
          </w:p>
        </w:tc>
        <w:tc>
          <w:tcPr>
            <w:tcW w:type="dxa" w:w="3350"/>
            <w:vAlign w:val="center"/>
          </w:tcPr>
          <w:p>
            <w:pPr>
              <w:pStyle w:val="TableBody"/>
            </w:pPr>
            <w:r>
              <w:t>AED 1,000/month + AED 20/active vehicle/month.</w:t>
            </w:r>
          </w:p>
        </w:tc>
        <w:tc>
          <w:tcPr>
            <w:tcW w:type="dxa" w:w="3660"/>
            <w:vAlign w:val="center"/>
          </w:tcPr>
          <w:p>
            <w:pPr>
              <w:pStyle w:val="TableBody"/>
            </w:pPr>
            <w:r>
              <w:t>Core workflow, office roles and driver access; fair-use messaging/storage limits.</w:t>
            </w:r>
          </w:p>
        </w:tc>
      </w:tr>
      <w:tr>
        <w:trPr>
          <w:cantSplit/>
        </w:trPr>
        <w:tc>
          <w:tcPr>
            <w:tcW w:type="dxa" w:w="2350"/>
            <w:vAlign w:val="center"/>
          </w:tcPr>
          <w:p>
            <w:pPr>
              <w:pStyle w:val="TableBody"/>
            </w:pPr>
            <w:r>
              <w:t>Implementation</w:t>
            </w:r>
          </w:p>
        </w:tc>
        <w:tc>
          <w:tcPr>
            <w:tcW w:type="dxa" w:w="3350"/>
            <w:vAlign w:val="center"/>
          </w:tcPr>
          <w:p>
            <w:pPr>
              <w:pStyle w:val="TableBody"/>
            </w:pPr>
            <w:r>
              <w:t>AED 3,000–10,000 once.</w:t>
            </w:r>
          </w:p>
        </w:tc>
        <w:tc>
          <w:tcPr>
            <w:tcW w:type="dxa" w:w="3660"/>
            <w:vAlign w:val="center"/>
          </w:tcPr>
          <w:p>
            <w:pPr>
              <w:pStyle w:val="TableBody"/>
            </w:pPr>
            <w:r>
              <w:t>Data mapping, standard import, training and one supported connector.</w:t>
            </w:r>
          </w:p>
        </w:tc>
      </w:tr>
      <w:tr>
        <w:trPr>
          <w:cantSplit/>
        </w:trPr>
        <w:tc>
          <w:tcPr>
            <w:tcW w:type="dxa" w:w="2350"/>
            <w:vAlign w:val="center"/>
          </w:tcPr>
          <w:p>
            <w:pPr>
              <w:pStyle w:val="TableBody"/>
            </w:pPr>
            <w:r>
              <w:t>Custom / enterprise</w:t>
            </w:r>
          </w:p>
        </w:tc>
        <w:tc>
          <w:tcPr>
            <w:tcW w:type="dxa" w:w="3350"/>
            <w:vAlign w:val="center"/>
          </w:tcPr>
          <w:p>
            <w:pPr>
              <w:pStyle w:val="TableBody"/>
            </w:pPr>
            <w:r>
              <w:t>Scoped quotation.</w:t>
            </w:r>
          </w:p>
        </w:tc>
        <w:tc>
          <w:tcPr>
            <w:tcW w:type="dxa" w:w="3660"/>
            <w:vAlign w:val="center"/>
          </w:tcPr>
          <w:p>
            <w:pPr>
              <w:pStyle w:val="TableBody"/>
            </w:pPr>
            <w:r>
              <w:t>Additional integrations, support SLA, hosting or complex migration.</w:t>
            </w:r>
          </w:p>
        </w:tc>
      </w:tr>
    </w:tbl>
    <w:p>
      <w:pPr>
        <w:pStyle w:val="Caption"/>
      </w:pPr>
    </w:p>
    <w:p>
      <w:pPr>
        <w:pStyle w:val="Heading2"/>
      </w:pPr>
      <w:r>
        <w:t>Illustrative 100-vehicle customer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900"/>
        <w:gridCol w:w="3950"/>
        <w:gridCol w:w="2510"/>
      </w:tblGrid>
      <w:tr>
        <w:trPr>
          <w:cantSplit/>
          <w:tblHeader/>
        </w:trPr>
        <w:tc>
          <w:tcPr>
            <w:tcW w:type="dxa" w:w="2900"/>
            <w:vAlign w:val="center"/>
            <w:shd w:fill="F2F4F7"/>
          </w:tcPr>
          <w:p>
            <w:pPr>
              <w:pStyle w:val="TableBody"/>
            </w:pPr>
            <w:r>
              <w:rPr>
                <w:b/>
              </w:rPr>
              <w:t>Metric</w:t>
            </w:r>
          </w:p>
        </w:tc>
        <w:tc>
          <w:tcPr>
            <w:tcW w:type="dxa" w:w="3950"/>
            <w:vAlign w:val="center"/>
            <w:shd w:fill="F2F4F7"/>
          </w:tcPr>
          <w:p>
            <w:pPr>
              <w:pStyle w:val="TableBody"/>
            </w:pPr>
            <w:r>
              <w:rPr>
                <w:b/>
              </w:rPr>
              <w:t>Arithmetic</w:t>
            </w:r>
          </w:p>
        </w:tc>
        <w:tc>
          <w:tcPr>
            <w:tcW w:type="dxa" w:w="2510"/>
            <w:vAlign w:val="center"/>
            <w:shd w:fill="F2F4F7"/>
          </w:tcPr>
          <w:p>
            <w:pPr>
              <w:pStyle w:val="TableBody"/>
            </w:pPr>
            <w:r>
              <w:rPr>
                <w:b/>
              </w:rPr>
              <w:t>Result</w:t>
            </w:r>
          </w:p>
        </w:tc>
      </w:tr>
      <w:tr>
        <w:trPr>
          <w:cantSplit/>
        </w:trPr>
        <w:tc>
          <w:tcPr>
            <w:tcW w:type="dxa" w:w="2900"/>
            <w:vAlign w:val="center"/>
          </w:tcPr>
          <w:p>
            <w:pPr>
              <w:pStyle w:val="TableBody"/>
            </w:pPr>
            <w:r>
              <w:t>Monthly recurring revenue</w:t>
            </w:r>
          </w:p>
        </w:tc>
        <w:tc>
          <w:tcPr>
            <w:tcW w:type="dxa" w:w="3950"/>
            <w:vAlign w:val="center"/>
          </w:tcPr>
          <w:p>
            <w:pPr>
              <w:pStyle w:val="TableBody"/>
            </w:pPr>
            <w:r>
              <w:t>1,000 + 100 × 20</w:t>
            </w:r>
          </w:p>
        </w:tc>
        <w:tc>
          <w:tcPr>
            <w:tcW w:type="dxa" w:w="2510"/>
            <w:vAlign w:val="center"/>
          </w:tcPr>
          <w:p>
            <w:pPr>
              <w:pStyle w:val="TableBody"/>
            </w:pPr>
            <w:r>
              <w:t>AED 3,000</w:t>
            </w:r>
          </w:p>
        </w:tc>
      </w:tr>
      <w:tr>
        <w:trPr>
          <w:cantSplit/>
        </w:trPr>
        <w:tc>
          <w:tcPr>
            <w:tcW w:type="dxa" w:w="2900"/>
            <w:vAlign w:val="center"/>
          </w:tcPr>
          <w:p>
            <w:pPr>
              <w:pStyle w:val="TableBody"/>
            </w:pPr>
            <w:r>
              <w:t>Assumed service cost</w:t>
            </w:r>
          </w:p>
        </w:tc>
        <w:tc>
          <w:tcPr>
            <w:tcW w:type="dxa" w:w="3950"/>
            <w:vAlign w:val="center"/>
          </w:tcPr>
          <w:p>
            <w:pPr>
              <w:pStyle w:val="TableBody"/>
            </w:pPr>
            <w:r>
              <w:t>Hosting 250 + APIs 150 + support 350</w:t>
            </w:r>
          </w:p>
        </w:tc>
        <w:tc>
          <w:tcPr>
            <w:tcW w:type="dxa" w:w="2510"/>
            <w:vAlign w:val="center"/>
          </w:tcPr>
          <w:p>
            <w:pPr>
              <w:pStyle w:val="TableBody"/>
            </w:pPr>
            <w:r>
              <w:t>AED 750/month</w:t>
            </w:r>
          </w:p>
        </w:tc>
      </w:tr>
      <w:tr>
        <w:trPr>
          <w:cantSplit/>
        </w:trPr>
        <w:tc>
          <w:tcPr>
            <w:tcW w:type="dxa" w:w="2900"/>
            <w:vAlign w:val="center"/>
          </w:tcPr>
          <w:p>
            <w:pPr>
              <w:pStyle w:val="TableBody"/>
            </w:pPr>
            <w:r>
              <w:t>Gross contribution</w:t>
            </w:r>
          </w:p>
        </w:tc>
        <w:tc>
          <w:tcPr>
            <w:tcW w:type="dxa" w:w="3950"/>
            <w:vAlign w:val="center"/>
          </w:tcPr>
          <w:p>
            <w:pPr>
              <w:pStyle w:val="TableBody"/>
            </w:pPr>
            <w:r>
              <w:t>3,000 − 750</w:t>
            </w:r>
          </w:p>
        </w:tc>
        <w:tc>
          <w:tcPr>
            <w:tcW w:type="dxa" w:w="2510"/>
            <w:vAlign w:val="center"/>
          </w:tcPr>
          <w:p>
            <w:pPr>
              <w:pStyle w:val="TableBody"/>
            </w:pPr>
            <w:r>
              <w:t>AED 2,250/month; 75%</w:t>
            </w:r>
          </w:p>
        </w:tc>
      </w:tr>
      <w:tr>
        <w:trPr>
          <w:cantSplit/>
        </w:trPr>
        <w:tc>
          <w:tcPr>
            <w:tcW w:type="dxa" w:w="2900"/>
            <w:vAlign w:val="center"/>
          </w:tcPr>
          <w:p>
            <w:pPr>
              <w:pStyle w:val="TableBody"/>
            </w:pPr>
            <w:r>
              <w:t>Illustrative acquisition cost</w:t>
            </w:r>
          </w:p>
        </w:tc>
        <w:tc>
          <w:tcPr>
            <w:tcW w:type="dxa" w:w="3950"/>
            <w:vAlign w:val="center"/>
          </w:tcPr>
          <w:p>
            <w:pPr>
              <w:pStyle w:val="TableBody"/>
            </w:pPr>
            <w:r>
              <w:t>Sales and acquisition expense assumption</w:t>
            </w:r>
          </w:p>
        </w:tc>
        <w:tc>
          <w:tcPr>
            <w:tcW w:type="dxa" w:w="2510"/>
            <w:vAlign w:val="center"/>
          </w:tcPr>
          <w:p>
            <w:pPr>
              <w:pStyle w:val="TableBody"/>
            </w:pPr>
            <w:r>
              <w:t>AED 9,000</w:t>
            </w:r>
          </w:p>
        </w:tc>
      </w:tr>
      <w:tr>
        <w:trPr>
          <w:cantSplit/>
        </w:trPr>
        <w:tc>
          <w:tcPr>
            <w:tcW w:type="dxa" w:w="2900"/>
            <w:vAlign w:val="center"/>
          </w:tcPr>
          <w:p>
            <w:pPr>
              <w:pStyle w:val="TableBody"/>
            </w:pPr>
            <w:r>
              <w:t>CAC payback</w:t>
            </w:r>
          </w:p>
        </w:tc>
        <w:tc>
          <w:tcPr>
            <w:tcW w:type="dxa" w:w="3950"/>
            <w:vAlign w:val="center"/>
          </w:tcPr>
          <w:p>
            <w:pPr>
              <w:pStyle w:val="TableBody"/>
            </w:pPr>
            <w:r>
              <w:t>9,000 ÷ 2,250</w:t>
            </w:r>
          </w:p>
        </w:tc>
        <w:tc>
          <w:tcPr>
            <w:tcW w:type="dxa" w:w="2510"/>
            <w:vAlign w:val="center"/>
          </w:tcPr>
          <w:p>
            <w:pPr>
              <w:pStyle w:val="TableBody"/>
            </w:pPr>
            <w:r>
              <w:t>4 months, before onboarding shortfall</w:t>
            </w:r>
          </w:p>
        </w:tc>
      </w:tr>
    </w:tbl>
    <w:p>
      <w:pPr>
        <w:pStyle w:val="Caption"/>
      </w:pPr>
    </w:p>
    <w:p>
      <w:r>
        <w:t>These figures are not observed costs. Track support time, cloud usage, messaging and map usage by tenant during the pilot. Price onboarding to cover its direct cost. Compute CAC from actual sales effort and conversion; do not calculate LTV before reliable churn evidence exists.</w:t>
      </w:r>
    </w:p>
    <w:p>
      <w:r>
        <w:t>Revenue sensitivity: six, twelve or twenty paying 100-vehicle accounts at this price imply AED 216k, 432k or 720k exit ARR. The target must be constrained by implementation capacity and qualified pipeline, not by multiplying the whole transport sector by a subscription price.</w:t>
      </w:r>
    </w:p>
    <w:p>
      <w:r>
        <w:br w:type="page"/>
      </w:r>
    </w:p>
    <w:p>
      <w:pPr>
        <w:pStyle w:val="Heading1"/>
      </w:pPr>
      <w:r>
        <w:t>14  Naming and domain direction</w:t>
      </w:r>
    </w:p>
    <w:p>
      <w:r>
        <w:t>Recommend a distinctive master brand before a public launch. “Fleet360” is descriptive and crowded: existing fleet software appears at fleet360.io, Fleet Innovation’s Fleet360 page and RTA Fleet documentation [S11–S13]. RTA Fleet is a separate software brand; it is not Dubai’s Roads and Transport Authority.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200"/>
        <w:gridCol w:w="4200"/>
        <w:gridCol w:w="2960"/>
      </w:tblGrid>
      <w:tr>
        <w:trPr>
          <w:cantSplit/>
          <w:tblHeader/>
        </w:trPr>
        <w:tc>
          <w:tcPr>
            <w:tcW w:type="dxa" w:w="2200"/>
            <w:vAlign w:val="center"/>
            <w:shd w:fill="F2F4F7"/>
          </w:tcPr>
          <w:p>
            <w:pPr>
              <w:pStyle w:val="TableBody"/>
            </w:pPr>
            <w:r>
              <w:rPr>
                <w:b/>
              </w:rPr>
              <w:t>Candidate</w:t>
            </w:r>
          </w:p>
        </w:tc>
        <w:tc>
          <w:tcPr>
            <w:tcW w:type="dxa" w:w="4200"/>
            <w:vAlign w:val="center"/>
            <w:shd w:fill="F2F4F7"/>
          </w:tcPr>
          <w:p>
            <w:pPr>
              <w:pStyle w:val="TableBody"/>
            </w:pPr>
            <w:r>
              <w:rPr>
                <w:b/>
              </w:rPr>
              <w:t>Positioning rationale</w:t>
            </w:r>
          </w:p>
        </w:tc>
        <w:tc>
          <w:tcPr>
            <w:tcW w:type="dxa" w:w="2960"/>
            <w:vAlign w:val="center"/>
            <w:shd w:fill="F2F4F7"/>
          </w:tcPr>
          <w:p>
            <w:pPr>
              <w:pStyle w:val="TableBody"/>
            </w:pPr>
            <w:r>
              <w:rPr>
                <w:b/>
              </w:rPr>
              <w:t>Domain strings to investigate</w:t>
            </w:r>
          </w:p>
        </w:tc>
      </w:tr>
      <w:tr>
        <w:trPr>
          <w:cantSplit/>
        </w:trPr>
        <w:tc>
          <w:tcPr>
            <w:tcW w:type="dxa" w:w="2200"/>
            <w:vAlign w:val="center"/>
          </w:tcPr>
          <w:p>
            <w:pPr>
              <w:pStyle w:val="TableBody"/>
            </w:pPr>
            <w:r>
              <w:t>Fleet360 — internal codename</w:t>
            </w:r>
          </w:p>
        </w:tc>
        <w:tc>
          <w:tcPr>
            <w:tcW w:type="dxa" w:w="4200"/>
            <w:vAlign w:val="center"/>
          </w:tcPr>
          <w:p>
            <w:pPr>
              <w:pStyle w:val="TableBody"/>
            </w:pPr>
            <w:r>
              <w:t>Retains existing product continuity; weakest differentiation and search ownership.</w:t>
            </w:r>
          </w:p>
        </w:tc>
        <w:tc>
          <w:tcPr>
            <w:tcW w:type="dxa" w:w="2960"/>
            <w:vAlign w:val="center"/>
          </w:tcPr>
          <w:p>
            <w:pPr>
              <w:pStyle w:val="TableBody"/>
            </w:pPr>
            <w:r>
              <w:t>A modifier may help discovery but does not resolve naming conflicts.</w:t>
            </w:r>
          </w:p>
        </w:tc>
      </w:tr>
      <w:tr>
        <w:trPr>
          <w:cantSplit/>
        </w:trPr>
        <w:tc>
          <w:tcPr>
            <w:tcW w:type="dxa" w:w="2200"/>
            <w:vAlign w:val="center"/>
          </w:tcPr>
          <w:p>
            <w:pPr>
              <w:pStyle w:val="TableBody"/>
            </w:pPr>
            <w:r>
              <w:t>DarbPilot</w:t>
            </w:r>
          </w:p>
        </w:tc>
        <w:tc>
          <w:tcPr>
            <w:tcW w:type="dxa" w:w="4200"/>
            <w:vAlign w:val="center"/>
          </w:tcPr>
          <w:p>
            <w:pPr>
              <w:pStyle w:val="TableBody"/>
            </w:pPr>
            <w:r>
              <w:t>Route-oriented regional identity; test pronunciation and Arabic meaning with native speakers.</w:t>
            </w:r>
          </w:p>
        </w:tc>
        <w:tc>
          <w:tcPr>
            <w:tcW w:type="dxa" w:w="2960"/>
            <w:vAlign w:val="center"/>
          </w:tcPr>
          <w:p>
            <w:pPr>
              <w:pStyle w:val="TableBody"/>
            </w:pPr>
            <w:r>
              <w:t>darbpilot.com / darbpilot.ae</w:t>
            </w:r>
          </w:p>
        </w:tc>
      </w:tr>
      <w:tr>
        <w:trPr>
          <w:cantSplit/>
        </w:trPr>
        <w:tc>
          <w:tcPr>
            <w:tcW w:type="dxa" w:w="2200"/>
            <w:vAlign w:val="center"/>
          </w:tcPr>
          <w:p>
            <w:pPr>
              <w:pStyle w:val="TableBody"/>
            </w:pPr>
            <w:r>
              <w:t>ShiftHarbor</w:t>
            </w:r>
          </w:p>
        </w:tc>
        <w:tc>
          <w:tcPr>
            <w:tcW w:type="dxa" w:w="4200"/>
            <w:vAlign w:val="center"/>
          </w:tcPr>
          <w:p>
            <w:pPr>
              <w:pStyle w:val="TableBody"/>
            </w:pPr>
            <w:r>
              <w:t>Daily shift coordination and dependable operations.</w:t>
            </w:r>
          </w:p>
        </w:tc>
        <w:tc>
          <w:tcPr>
            <w:tcW w:type="dxa" w:w="2960"/>
            <w:vAlign w:val="center"/>
          </w:tcPr>
          <w:p>
            <w:pPr>
              <w:pStyle w:val="TableBody"/>
            </w:pPr>
            <w:r>
              <w:t>shiftharbor.com / shiftharbor.ae</w:t>
            </w:r>
          </w:p>
        </w:tc>
      </w:tr>
      <w:tr>
        <w:trPr>
          <w:cantSplit/>
        </w:trPr>
        <w:tc>
          <w:tcPr>
            <w:tcW w:type="dxa" w:w="2200"/>
            <w:vAlign w:val="center"/>
          </w:tcPr>
          <w:p>
            <w:pPr>
              <w:pStyle w:val="TableBody"/>
            </w:pPr>
            <w:r>
              <w:t>RouteMajlis</w:t>
            </w:r>
          </w:p>
        </w:tc>
        <w:tc>
          <w:tcPr>
            <w:tcW w:type="dxa" w:w="4200"/>
            <w:vAlign w:val="center"/>
          </w:tcPr>
          <w:p>
            <w:pPr>
              <w:pStyle w:val="TableBody"/>
            </w:pPr>
            <w:r>
              <w:t>Regional coordination concept; test whether the meaning fits an operations product.</w:t>
            </w:r>
          </w:p>
        </w:tc>
        <w:tc>
          <w:tcPr>
            <w:tcW w:type="dxa" w:w="2960"/>
            <w:vAlign w:val="center"/>
          </w:tcPr>
          <w:p>
            <w:pPr>
              <w:pStyle w:val="TableBody"/>
            </w:pPr>
            <w:r>
              <w:t>routemajlis.com / routemajlis.ae</w:t>
            </w:r>
          </w:p>
        </w:tc>
      </w:tr>
      <w:tr>
        <w:trPr>
          <w:cantSplit/>
        </w:trPr>
        <w:tc>
          <w:tcPr>
            <w:tcW w:type="dxa" w:w="2200"/>
            <w:vAlign w:val="center"/>
          </w:tcPr>
          <w:p>
            <w:pPr>
              <w:pStyle w:val="TableBody"/>
            </w:pPr>
            <w:r>
              <w:t>FleetNamaa</w:t>
            </w:r>
          </w:p>
        </w:tc>
        <w:tc>
          <w:tcPr>
            <w:tcW w:type="dxa" w:w="4200"/>
            <w:vAlign w:val="center"/>
          </w:tcPr>
          <w:p>
            <w:pPr>
              <w:pStyle w:val="TableBody"/>
            </w:pPr>
            <w:r>
              <w:t>Growth-oriented regional identity; requires linguistic and trademark review.</w:t>
            </w:r>
          </w:p>
        </w:tc>
        <w:tc>
          <w:tcPr>
            <w:tcW w:type="dxa" w:w="2960"/>
            <w:vAlign w:val="center"/>
          </w:tcPr>
          <w:p>
            <w:pPr>
              <w:pStyle w:val="TableBody"/>
            </w:pPr>
            <w:r>
              <w:t>fleetnamaa.com / fleetnamaa.ae</w:t>
            </w:r>
          </w:p>
        </w:tc>
      </w:tr>
    </w:tbl>
    <w:p>
      <w:pPr>
        <w:pStyle w:val="Caption"/>
      </w:pPr>
    </w:p>
    <w:p>
      <w:pPr>
        <w:pStyle w:val="Heading2"/>
      </w:pPr>
      <w:r>
        <w:t>Selection method</w:t>
      </w:r>
    </w:p>
    <w:p>
      <w:r>
        <w:t>Score candidates on distinctiveness (30%), recall/pronunciation (25%), Arabic/English usability (20%), category fit (15%) and domain/handle practicality (10%). Test three names with ten target buyers; reject confusing or culturally awkward options before visual branding.</w:t>
      </w:r>
    </w:p>
    <w:p>
      <w:pPr>
        <w:pStyle w:val="Heading2"/>
      </w:pPr>
      <w:r>
        <w:t>Availability and clearance</w:t>
      </w:r>
    </w:p>
    <w:p>
      <w:r>
        <w:t>These are creative suggestions, not available-domain claims. No registrar availability, ownership or trademark clearance was verified for the proposed alternatives. Check .com and .ae live with an accredited registrar, relevant UAE/GCC trademarks, app stores and social handles. An unregistered domain is not legal clearance. Do not buy until the shortlist passes review.</w:t>
      </w:r>
    </w:p>
    <w:p>
      <w:r>
        <w:t>Preferred positioning line for testing: “Ready fleets. Reliable shifts.” Describe the product underneath as fleet operations software for contracted transport operators, rather than leading with AI or a catalogue of modules.</w:t>
      </w:r>
    </w:p>
    <w:p>
      <w:r>
        <w:br w:type="page"/>
      </w:r>
    </w:p>
    <w:p>
      <w:pPr>
        <w:pStyle w:val="Heading1"/>
      </w:pPr>
      <w:r>
        <w:t>15  Launch strategy and validation plan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1400"/>
        <w:gridCol w:w="4510"/>
        <w:gridCol w:w="3450"/>
      </w:tblGrid>
      <w:tr>
        <w:trPr>
          <w:cantSplit/>
          <w:tblHeader/>
        </w:trPr>
        <w:tc>
          <w:tcPr>
            <w:tcW w:type="dxa" w:w="1400"/>
            <w:vAlign w:val="center"/>
            <w:shd w:fill="F2F4F7"/>
          </w:tcPr>
          <w:p>
            <w:pPr>
              <w:pStyle w:val="TableBody"/>
            </w:pPr>
            <w:r>
              <w:rPr>
                <w:b/>
              </w:rPr>
              <w:t>Phase</w:t>
            </w:r>
          </w:p>
        </w:tc>
        <w:tc>
          <w:tcPr>
            <w:tcW w:type="dxa" w:w="4510"/>
            <w:vAlign w:val="center"/>
            <w:shd w:fill="F2F4F7"/>
          </w:tcPr>
          <w:p>
            <w:pPr>
              <w:pStyle w:val="TableBody"/>
            </w:pPr>
            <w:r>
              <w:rPr>
                <w:b/>
              </w:rPr>
              <w:t>Action</w:t>
            </w:r>
          </w:p>
        </w:tc>
        <w:tc>
          <w:tcPr>
            <w:tcW w:type="dxa" w:w="3450"/>
            <w:vAlign w:val="center"/>
            <w:shd w:fill="F2F4F7"/>
          </w:tcPr>
          <w:p>
            <w:pPr>
              <w:pStyle w:val="TableBody"/>
            </w:pPr>
            <w:r>
              <w:rPr>
                <w:b/>
              </w:rPr>
              <w:t>Proposed gate / metric</w:t>
            </w:r>
          </w:p>
        </w:tc>
      </w:tr>
      <w:tr>
        <w:trPr>
          <w:cantSplit/>
        </w:trPr>
        <w:tc>
          <w:tcPr>
            <w:tcW w:type="dxa" w:w="1400"/>
            <w:vAlign w:val="center"/>
          </w:tcPr>
          <w:p>
            <w:pPr>
              <w:pStyle w:val="TableBody"/>
            </w:pPr>
            <w:r>
              <w:t>Discover</w:t>
            </w:r>
          </w:p>
        </w:tc>
        <w:tc>
          <w:tcPr>
            <w:tcW w:type="dxa" w:w="4510"/>
            <w:vAlign w:val="center"/>
          </w:tcPr>
          <w:p>
            <w:pPr>
              <w:pStyle w:val="TableBody"/>
            </w:pPr>
            <w:r>
              <w:t>Interview 12 operators; observe 5 shifts; identify current software, costs and approval path.</w:t>
            </w:r>
          </w:p>
        </w:tc>
        <w:tc>
          <w:tcPr>
            <w:tcW w:type="dxa" w:w="3450"/>
            <w:vAlign w:val="center"/>
          </w:tcPr>
          <w:p>
            <w:pPr>
              <w:pStyle w:val="TableBody"/>
            </w:pPr>
            <w:r>
              <w:t>At least 8 confirm the same frequent pain; 3 agree to a scoped paid pilot.</w:t>
            </w:r>
          </w:p>
        </w:tc>
      </w:tr>
      <w:tr>
        <w:trPr>
          <w:cantSplit/>
        </w:trPr>
        <w:tc>
          <w:tcPr>
            <w:tcW w:type="dxa" w:w="1400"/>
            <w:vAlign w:val="center"/>
          </w:tcPr>
          <w:p>
            <w:pPr>
              <w:pStyle w:val="TableBody"/>
            </w:pPr>
            <w:r>
              <w:t>Prepare</w:t>
            </w:r>
          </w:p>
        </w:tc>
        <w:tc>
          <w:tcPr>
            <w:tcW w:type="dxa" w:w="4510"/>
            <w:vAlign w:val="center"/>
          </w:tcPr>
          <w:p>
            <w:pPr>
              <w:pStyle w:val="TableBody"/>
            </w:pPr>
            <w:r>
              <w:t>Build a list of 60 qualified UAE accounts; select 3 design partners with named champions.</w:t>
            </w:r>
          </w:p>
        </w:tc>
        <w:tc>
          <w:tcPr>
            <w:tcW w:type="dxa" w:w="3450"/>
            <w:vAlign w:val="center"/>
          </w:tcPr>
          <w:p>
            <w:pPr>
              <w:pStyle w:val="TableBody"/>
            </w:pPr>
            <w:r>
              <w:t>Each partner supplies usable data, time and a baseline; scope fits one workflow.</w:t>
            </w:r>
          </w:p>
        </w:tc>
      </w:tr>
      <w:tr>
        <w:trPr>
          <w:cantSplit/>
        </w:trPr>
        <w:tc>
          <w:tcPr>
            <w:tcW w:type="dxa" w:w="1400"/>
            <w:vAlign w:val="center"/>
          </w:tcPr>
          <w:p>
            <w:pPr>
              <w:pStyle w:val="TableBody"/>
            </w:pPr>
            <w:r>
              <w:t>Pilot</w:t>
            </w:r>
          </w:p>
        </w:tc>
        <w:tc>
          <w:tcPr>
            <w:tcW w:type="dxa" w:w="4510"/>
            <w:vAlign w:val="center"/>
          </w:tcPr>
          <w:p>
            <w:pPr>
              <w:pStyle w:val="TableBody"/>
            </w:pPr>
            <w:r>
              <w:t>Import, train dispatchers, shadow first shifts, track usage and incidents for 4 weeks.</w:t>
            </w:r>
          </w:p>
        </w:tc>
        <w:tc>
          <w:tcPr>
            <w:tcW w:type="dxa" w:w="3450"/>
            <w:vAlign w:val="center"/>
          </w:tcPr>
          <w:p>
            <w:pPr>
              <w:pStyle w:val="TableBody"/>
            </w:pPr>
            <w:r>
              <w:t>2 of 3 convert to paid annual/monthly operation; no unresolved P0/P1 defects.</w:t>
            </w:r>
          </w:p>
        </w:tc>
      </w:tr>
      <w:tr>
        <w:trPr>
          <w:cantSplit/>
        </w:trPr>
        <w:tc>
          <w:tcPr>
            <w:tcW w:type="dxa" w:w="1400"/>
            <w:vAlign w:val="center"/>
          </w:tcPr>
          <w:p>
            <w:pPr>
              <w:pStyle w:val="TableBody"/>
            </w:pPr>
            <w:r>
              <w:t>Launch</w:t>
            </w:r>
          </w:p>
        </w:tc>
        <w:tc>
          <w:tcPr>
            <w:tcW w:type="dxa" w:w="4510"/>
            <w:vAlign w:val="center"/>
          </w:tcPr>
          <w:p>
            <w:pPr>
              <w:pStyle w:val="TableBody"/>
            </w:pPr>
            <w:r>
              <w:t>Publish evidence-based case study and workflow demo; run founder-led outbound and local partner referrals.</w:t>
            </w:r>
          </w:p>
        </w:tc>
        <w:tc>
          <w:tcPr>
            <w:tcW w:type="dxa" w:w="3450"/>
            <w:vAlign w:val="center"/>
          </w:tcPr>
          <w:p>
            <w:pPr>
              <w:pStyle w:val="TableBody"/>
            </w:pPr>
            <w:r>
              <w:t>10 qualified demos/month; target 30% demo-to-pilot conversion.</w:t>
            </w:r>
          </w:p>
        </w:tc>
      </w:tr>
      <w:tr>
        <w:trPr>
          <w:cantSplit/>
        </w:trPr>
        <w:tc>
          <w:tcPr>
            <w:tcW w:type="dxa" w:w="1400"/>
            <w:vAlign w:val="center"/>
          </w:tcPr>
          <w:p>
            <w:pPr>
              <w:pStyle w:val="TableBody"/>
            </w:pPr>
            <w:r>
              <w:t>Expand</w:t>
            </w:r>
          </w:p>
        </w:tc>
        <w:tc>
          <w:tcPr>
            <w:tcW w:type="dxa" w:w="4510"/>
            <w:vAlign w:val="center"/>
          </w:tcPr>
          <w:p>
            <w:pPr>
              <w:pStyle w:val="TableBody"/>
            </w:pPr>
            <w:r>
              <w:t>Add customers within the same operator segment before new verticals/countries.</w:t>
            </w:r>
          </w:p>
        </w:tc>
        <w:tc>
          <w:tcPr>
            <w:tcW w:type="dxa" w:w="3450"/>
            <w:vAlign w:val="center"/>
          </w:tcPr>
          <w:p>
            <w:pPr>
              <w:pStyle w:val="TableBody"/>
            </w:pPr>
            <w:r>
              <w:t>Onboarding ≤10 staff-hours/account and support ≤2 hours/account/month after stabilization.</w:t>
            </w:r>
          </w:p>
        </w:tc>
      </w:tr>
    </w:tbl>
    <w:p>
      <w:pPr>
        <w:pStyle w:val="Caption"/>
      </w:pPr>
    </w:p>
    <w:p>
      <w:pPr>
        <w:pStyle w:val="Heading2"/>
      </w:pPr>
      <w:r>
        <w:t>Channels and message</w:t>
      </w:r>
    </w:p>
    <w:p>
      <w:r>
        <w:t>Start with founder-led sales to operations leaders, customer referrals, local tracking integrators and maintenance partners. Demonstrate a real shift: identify a blocked vehicle, substitute a valid resource, capture an offline inspection, resolve the exception and close its cost. Publish Arabic/English workflow pages and a practical import guide. Spend on broad paid acquisition only after conversion is repeatable.</w:t>
      </w:r>
    </w:p>
    <w:p>
      <w:pPr>
        <w:pStyle w:val="Heading2"/>
      </w:pPr>
      <w:r>
        <w:t>Evidence needed to continue</w:t>
      </w:r>
    </w:p>
    <w:p>
      <w:r>
        <w:t>Measure planning time and exception age for two baseline weeks, then four pilot weeks. Target ≥25% reduction in daily planning time and ≥20% reduction in median exception age, with no safety deterioration. Treat these as test thresholds, not promised ROI. Report sample sizes, route mix and missing data; stop or change scope if the gains are not credible.</w:t>
      </w:r>
    </w:p>
    <w:p>
      <w:r>
        <w:t>Weekly review: activated tenants, dispatcher weekly activity, completed trips, sync failures, support hours and willingness to pay. A pilot that depends on repeated engineering intervention is not evidence of a scalable launch.</w:t>
      </w:r>
    </w:p>
    <w:p>
      <w:r>
        <w:br w:type="page"/>
      </w:r>
    </w:p>
    <w:p>
      <w:pPr>
        <w:pStyle w:val="Heading1"/>
      </w:pPr>
      <w:r>
        <w:t>16  Sources and traceability</w:t>
      </w:r>
    </w:p>
    <w:p>
      <w:pPr>
        <w:pStyle w:val="Source"/>
      </w:pPr>
      <w:r>
        <w:t>Public sources reviewed 15 September 2026. Authority statistics and vendor statements are attributed below; strategic conclusions, targets and estimates are the author’s analysis. URLs are included so a reviewer can verify the original context.</w:t>
      </w:r>
    </w:p>
    <w:p>
      <w:pPr>
        <w:pStyle w:val="Source"/>
      </w:pPr>
      <w:r>
        <w:t>[S1] Dubai RTA: 2025 commercial transport company and vehicle counts; published 18 February 2026.</w:t>
      </w:r>
    </w:p>
    <w:p>
      <w:pPr>
        <w:pStyle w:val="Source"/>
      </w:pPr>
      <w:r>
        <w:t>https://rta.ae/wps/portal/rta/ae/home/news-and-media/all-news/NewsDetails/40-growth-in-dubai-commercial-transport-sector-with-annual-revenues-reaching-aed-8-billion</w:t>
      </w:r>
    </w:p>
    <w:p>
      <w:pPr>
        <w:pStyle w:val="Source"/>
      </w:pPr>
      <w:r>
        <w:t>[S2] Fleetio pricing: displayed annual fleet-band prices and maintenance capabilities.</w:t>
      </w:r>
    </w:p>
    <w:p>
      <w:pPr>
        <w:pStyle w:val="Source"/>
      </w:pPr>
      <w:r>
        <w:t>https://www.fleetio.com/pricing</w:t>
      </w:r>
    </w:p>
    <w:p>
      <w:pPr>
        <w:pStyle w:val="Source"/>
      </w:pPr>
      <w:r>
        <w:t>[S3] Samsara: fleet telematics product capabilities.</w:t>
      </w:r>
    </w:p>
    <w:p>
      <w:pPr>
        <w:pStyle w:val="Source"/>
      </w:pPr>
      <w:r>
        <w:t>https://www.samsara.com/products/telematics</w:t>
      </w:r>
    </w:p>
    <w:p>
      <w:pPr>
        <w:pStyle w:val="Source"/>
      </w:pPr>
      <w:r>
        <w:t>[S4] Geotab: fleet management solutions.</w:t>
      </w:r>
    </w:p>
    <w:p>
      <w:pPr>
        <w:pStyle w:val="Source"/>
      </w:pPr>
      <w:r>
        <w:t>https://www.geotab.com/fleet-management-solutions/</w:t>
      </w:r>
    </w:p>
    <w:p>
      <w:pPr>
        <w:pStyle w:val="Source"/>
      </w:pPr>
      <w:r>
        <w:t>[S5] Fleetroot: delivery/dispatch features and published task-based pricing.</w:t>
      </w:r>
    </w:p>
    <w:p>
      <w:pPr>
        <w:pStyle w:val="Source"/>
      </w:pPr>
      <w:r>
        <w:t>https://fleetroot.com/pricing/</w:t>
      </w:r>
    </w:p>
    <w:p>
      <w:pPr>
        <w:pStyle w:val="Source"/>
      </w:pPr>
      <w:r>
        <w:t>[S6] FMS Tech: UAE presence and IVMS/fuel/journey solutions.</w:t>
      </w:r>
    </w:p>
    <w:p>
      <w:pPr>
        <w:pStyle w:val="Source"/>
      </w:pPr>
      <w:r>
        <w:t>https://fms-tech.com/</w:t>
      </w:r>
    </w:p>
    <w:p>
      <w:pPr>
        <w:pStyle w:val="Source"/>
      </w:pPr>
      <w:r>
        <w:t>[S7] Speed Auto Systems: automotive product suite and Dubai office.</w:t>
      </w:r>
    </w:p>
    <w:p>
      <w:pPr>
        <w:pStyle w:val="Source"/>
      </w:pPr>
      <w:r>
        <w:t>https://speedautosystems.com/</w:t>
      </w:r>
    </w:p>
    <w:p>
      <w:pPr>
        <w:pStyle w:val="Source"/>
      </w:pPr>
      <w:r>
        <w:t>[S8] RentSyst: rental software pricing calculator.</w:t>
      </w:r>
    </w:p>
    <w:p>
      <w:pPr>
        <w:pStyle w:val="Source"/>
      </w:pPr>
      <w:r>
        <w:t>https://rentsyst.com/price/</w:t>
      </w:r>
    </w:p>
    <w:p>
      <w:pPr>
        <w:pStyle w:val="Source"/>
      </w:pPr>
      <w:r>
        <w:t>[S9] Abu Dhabi Mobility: commercial transport / Asateel requirements.</w:t>
      </w:r>
    </w:p>
    <w:p>
      <w:pPr>
        <w:pStyle w:val="Source"/>
      </w:pPr>
      <w:r>
        <w:t>https://admobility.gov.ae/en/digital-services/commercial-transport</w:t>
      </w:r>
    </w:p>
    <w:p>
      <w:pPr>
        <w:pStyle w:val="Source"/>
      </w:pPr>
      <w:r>
        <w:t>[S10] UAE Government: data protection laws and cross-border transfer context.</w:t>
      </w:r>
    </w:p>
    <w:p>
      <w:pPr>
        <w:pStyle w:val="Source"/>
      </w:pPr>
      <w:r>
        <w:t>https://u.ae/en/about-the-uae/digital-uae/data/data-protection-laws.</w:t>
      </w:r>
    </w:p>
    <w:p>
      <w:pPr>
        <w:pStyle w:val="Source"/>
      </w:pPr>
      <w:r>
        <w:t>[S11] Existing Fleet360 software pricing site; naming conflict signal.</w:t>
      </w:r>
    </w:p>
    <w:p>
      <w:pPr>
        <w:pStyle w:val="Source"/>
      </w:pPr>
      <w:r>
        <w:t>https://en.fleet360.io/prices/</w:t>
      </w:r>
    </w:p>
    <w:p>
      <w:pPr>
        <w:pStyle w:val="Source"/>
      </w:pPr>
      <w:r>
        <w:t>[S12] Fleet Innovation: Fleet360 product; naming conflict signal.</w:t>
      </w:r>
    </w:p>
    <w:p>
      <w:pPr>
        <w:pStyle w:val="Source"/>
      </w:pPr>
      <w:r>
        <w:t>https://fleet.fi/en/solutions/fleet360/</w:t>
      </w:r>
    </w:p>
    <w:p>
      <w:pPr>
        <w:pStyle w:val="Source"/>
      </w:pPr>
      <w:r>
        <w:t>[S13] RTA Fleet: Fleet360 product documentation; naming conflict signal.</w:t>
      </w:r>
    </w:p>
    <w:p>
      <w:pPr>
        <w:pStyle w:val="Source"/>
      </w:pPr>
      <w:r>
        <w:t>https://docs.rtafleet.com/fleet360-articles-table-of-contents/getting-started-with-fleet360/</w:t>
      </w:r>
    </w:p>
    <w:p>
      <w:r>
        <w:br w:type="page"/>
      </w:r>
    </w:p>
    <w:p>
      <w:pPr>
        <w:pStyle w:val="Heading1"/>
      </w:pPr>
      <w:r>
        <w:t>17  Execution addendum and final release gate</w:t>
      </w:r>
    </w:p>
    <w:p>
      <w:pPr>
        <w:pStyle w:val="Lead"/>
      </w:pPr>
      <w:r>
        <w:t>This section records final check outcomes from this audit session. A successful isolated check does not establish production readiness.</w:t>
      </w:r>
    </w:p>
    <w:p>
      <w:pPr>
        <w:pStyle w:val="Source"/>
      </w:pPr>
      <w:r>
        <w:t>The shared repository changed during the audit. Inventory and initial test results belong to the initial snapshot; auth/RLS scanners and high-risk source paths were rechecked at commit 58005dd6. The entire suite was not rerun at the final commit. Treat this as a bounded audit, not a certification of an immutable release.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6"/>
          <w:left w:val="single" w:sz="4" w:color="D9DFE6"/>
          <w:bottom w:val="single" w:sz="4" w:color="D9DFE6"/>
          <w:right w:val="single" w:sz="4" w:color="D9DFE6"/>
          <w:insideH w:val="single" w:sz="4" w:color="D9DFE6"/>
          <w:insideV w:val="single" w:sz="4" w:color="D9DFE6"/>
        </w:tblBorders>
      </w:tblPr>
      <w:tblGrid>
        <w:gridCol w:w="2450"/>
        <w:gridCol w:w="6910"/>
      </w:tblGrid>
      <w:tr>
        <w:trPr>
          <w:cantSplit/>
          <w:tblHeader/>
        </w:trPr>
        <w:tc>
          <w:tcPr>
            <w:tcW w:type="dxa" w:w="2450"/>
            <w:vAlign w:val="center"/>
            <w:shd w:fill="F2F4F7"/>
          </w:tcPr>
          <w:p>
            <w:pPr>
              <w:pStyle w:val="TableBody"/>
            </w:pPr>
            <w:r>
              <w:rPr>
                <w:b/>
              </w:rPr>
              <w:t>Check</w:t>
            </w:r>
          </w:p>
        </w:tc>
        <w:tc>
          <w:tcPr>
            <w:tcW w:type="dxa" w:w="6910"/>
            <w:vAlign w:val="center"/>
            <w:shd w:fill="F2F4F7"/>
          </w:tcPr>
          <w:p>
            <w:pPr>
              <w:pStyle w:val="TableBody"/>
            </w:pPr>
            <w:r>
              <w:rPr>
                <w:b/>
              </w:rPr>
              <w:t>Final audit result</w:t>
            </w:r>
          </w:p>
        </w:tc>
      </w:tr>
      <w:tr>
        <w:trPr>
          <w:cantSplit/>
        </w:trPr>
        <w:tc>
          <w:tcPr>
            <w:tcW w:type="dxa" w:w="2450"/>
            <w:vAlign w:val="center"/>
          </w:tcPr>
          <w:p>
            <w:pPr>
              <w:pStyle w:val="TableBody"/>
            </w:pPr>
            <w:r>
              <w:t>Unit suite</w:t>
            </w:r>
          </w:p>
        </w:tc>
        <w:tc>
          <w:tcPr>
            <w:tcW w:type="dxa" w:w="6910"/>
            <w:vAlign w:val="center"/>
          </w:tcPr>
          <w:p>
            <w:pPr>
              <w:pStyle w:val="TableBody"/>
            </w:pPr>
            <w:r>
              <w:t>Completed: 114 files passed, 13 failed; 1,496 tests passed and 51 failed (1,547 total). Runtime 919.71 seconds. Database and provider failures mixed with code/test mismatches.</w:t>
            </w:r>
          </w:p>
        </w:tc>
      </w:tr>
      <w:tr>
        <w:trPr>
          <w:cantSplit/>
        </w:trPr>
        <w:tc>
          <w:tcPr>
            <w:tcW w:type="dxa" w:w="2450"/>
            <w:vAlign w:val="center"/>
          </w:tcPr>
          <w:p>
            <w:pPr>
              <w:pStyle w:val="TableBody"/>
            </w:pPr>
            <w:r>
              <w:t>Lint</w:t>
            </w:r>
          </w:p>
        </w:tc>
        <w:tc>
          <w:tcPr>
            <w:tcW w:type="dxa" w:w="6910"/>
            <w:vAlign w:val="center"/>
          </w:tcPr>
          <w:p>
            <w:pPr>
              <w:pStyle w:val="TableBody"/>
            </w:pPr>
            <w:r>
              <w:t>Completed with errors: 2,683 Error entries and 54 Warning entries counted in next lint output. These are diagnostic counts, not unique defects.</w:t>
            </w:r>
          </w:p>
        </w:tc>
      </w:tr>
      <w:tr>
        <w:trPr>
          <w:cantSplit/>
        </w:trPr>
        <w:tc>
          <w:tcPr>
            <w:tcW w:type="dxa" w:w="2450"/>
            <w:vAlign w:val="center"/>
          </w:tcPr>
          <w:p>
            <w:pPr>
              <w:pStyle w:val="TableBody"/>
            </w:pPr>
            <w:r>
              <w:t>Tenant checks</w:t>
            </w:r>
          </w:p>
        </w:tc>
        <w:tc>
          <w:tcPr>
            <w:tcW w:type="dxa" w:w="6910"/>
            <w:vAlign w:val="center"/>
          </w:tcPr>
          <w:p>
            <w:pPr>
              <w:pStyle w:val="TableBody"/>
            </w:pPr>
            <w:r>
              <w:t>Final auth and RLS checks both exit 0. RLS: 484 compliant, 285 warnings, 42 exemptions, zero violations across 811 route files.</w:t>
            </w:r>
          </w:p>
        </w:tc>
      </w:tr>
      <w:tr>
        <w:trPr>
          <w:cantSplit/>
        </w:trPr>
        <w:tc>
          <w:tcPr>
            <w:tcW w:type="dxa" w:w="2450"/>
            <w:vAlign w:val="center"/>
          </w:tcPr>
          <w:p>
            <w:pPr>
              <w:pStyle w:val="TableBody"/>
            </w:pPr>
            <w:r>
              <w:t>Schema / migrations</w:t>
            </w:r>
          </w:p>
        </w:tc>
        <w:tc>
          <w:tcPr>
            <w:tcW w:type="dxa" w:w="6910"/>
            <w:vAlign w:val="center"/>
          </w:tcPr>
          <w:p>
            <w:pPr>
              <w:pStyle w:val="TableBody"/>
            </w:pPr>
            <w:r>
              <w:t>Static checks pass (12 models; 140 migration files). Clean-install migrate deploy on a disposable PostgreSQL 16 database fails P3018 / SQL 42P01 at 20260815140000_tenant_001_leasing_rental_isolation: rental_rate_quotes does not exist. This blocks reliable fresh setup.</w:t>
            </w:r>
          </w:p>
        </w:tc>
      </w:tr>
      <w:tr>
        <w:trPr>
          <w:cantSplit/>
        </w:trPr>
        <w:tc>
          <w:tcPr>
            <w:tcW w:type="dxa" w:w="2450"/>
            <w:vAlign w:val="center"/>
          </w:tcPr>
          <w:p>
            <w:pPr>
              <w:pStyle w:val="TableBody"/>
            </w:pPr>
            <w:r>
              <w:t>TypeScript</w:t>
            </w:r>
          </w:p>
        </w:tc>
        <w:tc>
          <w:tcPr>
            <w:tcW w:type="dxa" w:w="6910"/>
            <w:vAlign w:val="center"/>
          </w:tcPr>
          <w:p>
            <w:pPr>
              <w:pStyle w:val="TableBody"/>
            </w:pPr>
            <w:r>
              <w:t>Full tsc attempts, including a final rerun, were interrupted after prolonged execution without a terminal diagnostic result. Type correctness remains unverified.</w:t>
            </w:r>
          </w:p>
        </w:tc>
      </w:tr>
      <w:tr>
        <w:trPr>
          <w:cantSplit/>
        </w:trPr>
        <w:tc>
          <w:tcPr>
            <w:tcW w:type="dxa" w:w="2450"/>
            <w:vAlign w:val="center"/>
          </w:tcPr>
          <w:p>
            <w:pPr>
              <w:pStyle w:val="TableBody"/>
            </w:pPr>
            <w:r>
              <w:t>Go suite</w:t>
            </w:r>
          </w:p>
        </w:tc>
        <w:tc>
          <w:tcPr>
            <w:tcW w:type="dxa" w:w="6910"/>
            <w:vAlign w:val="center"/>
          </w:tcPr>
          <w:p>
            <w:pPr>
              <w:pStyle w:val="TableBody"/>
            </w:pPr>
            <w:r>
              <w:t>Writable-cache rerun compiled the backend and passed 14 test packages; phasegate failed 17 DB integration cases because DATABASE_URL was deliberately unset. A later non-DB rerun was interrupted; no blanket pass claimed.</w:t>
            </w:r>
          </w:p>
        </w:tc>
      </w:tr>
      <w:tr>
        <w:trPr>
          <w:cantSplit/>
        </w:trPr>
        <w:tc>
          <w:tcPr>
            <w:tcW w:type="dxa" w:w="2450"/>
            <w:vAlign w:val="center"/>
          </w:tcPr>
          <w:p>
            <w:pPr>
              <w:pStyle w:val="TableBody"/>
            </w:pPr>
            <w:r>
              <w:t>Dependency audit</w:t>
            </w:r>
          </w:p>
        </w:tc>
        <w:tc>
          <w:tcPr>
            <w:tcW w:type="dxa" w:w="6910"/>
            <w:vAlign w:val="center"/>
          </w:tcPr>
          <w:p>
            <w:pPr>
              <w:pStyle w:val="TableBody"/>
            </w:pPr>
            <w:r>
              <w:t>Registry retry completed: 35 production-tree vulnerability entries: 2 critical, 5 high, 27 moderate, 1 low. These are npm dependency findings, not 35 demonstrated application exploits.</w:t>
            </w:r>
          </w:p>
        </w:tc>
      </w:tr>
      <w:tr>
        <w:trPr>
          <w:cantSplit/>
        </w:trPr>
        <w:tc>
          <w:tcPr>
            <w:tcW w:type="dxa" w:w="2450"/>
            <w:vAlign w:val="center"/>
          </w:tcPr>
          <w:p>
            <w:pPr>
              <w:pStyle w:val="TableBody"/>
            </w:pPr>
            <w:r>
              <w:t>Local runtime</w:t>
            </w:r>
          </w:p>
        </w:tc>
        <w:tc>
          <w:tcPr>
            <w:tcW w:type="dxa" w:w="6910"/>
            <w:vAlign w:val="center"/>
          </w:tcPr>
          <w:p>
            <w:pPr>
              <w:pStyle w:val="TableBody"/>
            </w:pPr>
            <w:r>
              <w:t>Dev started in 172.9s; /fleet redirected to login; login/readiness timed out. Built-server smoke returned 404, while the shared app-paths manifest had changed to a single jobs route. Artifact contention makes production smoke inconclusive; rerun from an isolated checkout.</w:t>
            </w:r>
          </w:p>
        </w:tc>
      </w:tr>
      <w:tr>
        <w:trPr>
          <w:cantSplit/>
        </w:trPr>
        <w:tc>
          <w:tcPr>
            <w:tcW w:type="dxa" w:w="2450"/>
            <w:vAlign w:val="center"/>
          </w:tcPr>
          <w:p>
            <w:pPr>
              <w:pStyle w:val="TableBody"/>
            </w:pPr>
            <w:r>
              <w:t>Production build</w:t>
            </w:r>
          </w:p>
        </w:tc>
        <w:tc>
          <w:tcPr>
            <w:tcW w:type="dxa" w:w="6910"/>
            <w:vAlign w:val="center"/>
          </w:tcPr>
          <w:p>
            <w:pPr>
              <w:pStyle w:val="TableBody"/>
            </w:pPr>
            <w:r>
              <w:t>Completed: next build exit 0; compiled with an Edge Runtime process.version warning through Upstash/session code. TypeScript and lint are disabled in build configuration; neither gate is cleared.</w:t>
            </w:r>
          </w:p>
        </w:tc>
      </w:tr>
      <w:tr>
        <w:trPr>
          <w:cantSplit/>
        </w:trPr>
        <w:tc>
          <w:tcPr>
            <w:tcW w:type="dxa" w:w="2450"/>
            <w:vAlign w:val="center"/>
          </w:tcPr>
          <w:p>
            <w:pPr>
              <w:pStyle w:val="TableBody"/>
            </w:pPr>
            <w:r>
              <w:t>E2E / device / load</w:t>
            </w:r>
          </w:p>
        </w:tc>
        <w:tc>
          <w:tcPr>
            <w:tcW w:type="dxa" w:w="6910"/>
            <w:vAlign w:val="center"/>
          </w:tcPr>
          <w:p>
            <w:pPr>
              <w:pStyle w:val="TableBody"/>
            </w:pPr>
            <w:r>
              <w:t>No complete seeded-stack E2E certification: clean migrations fail and build artifacts changed concurrently. Physical-device, restore, live integration and load tests remain release gates. Disposable DB removed after testing.</w:t>
            </w:r>
          </w:p>
        </w:tc>
      </w:tr>
    </w:tbl>
    <w:p>
      <w:pPr>
        <w:pStyle w:val="Caption"/>
      </w:pPr>
    </w:p>
    <w:p>
      <w:pPr>
        <w:pStyle w:val="Heading2"/>
      </w:pPr>
      <w:r>
        <w:t>Test failures and environment separation</w:t>
      </w:r>
    </w:p>
    <w:p>
      <w:r>
        <w:t>The 51 unit failures mix database-dependent tests, external-service failures and mismatches such as missing distance-matrix test hooks and changed geocoder expectations. Do not attribute all failures to the environment. Move integration-dependent cases out of the unit suite, mock provider selection deterministically and rerun with no ambient service credentials. A newly added risk register describes shared-bucket staging/production storage with application prefix controls; independently validate those controls and schedule separate credential boundaries.</w:t>
      </w:r>
    </w:p>
    <w:p>
      <w:pPr>
        <w:pStyle w:val="Source"/>
      </w:pPr>
      <w:r>
        <w:t>Dependency evidence: dependency-audit-retry.json. Critical entries: fast-xml-parser and form-data. High entries: lodash, lodash-es, nanoid, nodemailer and postcss. npm suggests some major-version upgrades; validate API compatibility and affected runtime paths instead of applying a forced bulk fix. Representative advisories: github.com/advisories/GHSA-fjxv-7rqg-78g4 and github.com/advisories/GHSA-jmr7-xgp7-cmfj.</w:t>
      </w:r>
    </w:p>
    <w:p>
      <w:pPr>
        <w:pStyle w:val="Heading2"/>
      </w:pPr>
      <w:r>
        <w:t>Required before using customer operational data</w:t>
      </w:r>
    </w:p>
    <w:p>
      <w:r>
        <w:t>Engineering must demonstrate a clean install/build, blocking CI, isolated two-tenant tests across Next and Go, private-file isolation, physical-device offline recovery, backup restoration and a complete readiness-to-cost-close journey. Product must confirm the ICP, paid-pilot commitment, operator-approved safety rules and baseline measurement plan.</w:t>
      </w:r>
    </w:p>
    <w:p>
      <w:pPr>
        <w:pStyle w:val="Heading2"/>
      </w:pPr>
      <w:r>
        <w:t>Decisions for the product owner</w:t>
      </w:r>
    </w:p>
    <w:p>
      <w:r>
        <w:t>Approve or revise the staff-transport wedge, available team, pilot price and acceptance thresholds. Choose a tracking provider with real pilot demand. Assign an owner for each P0/P1 risk. Keep Fleet360 as an internal name until naming clearance. Defer broader launch until technical gates and paid-pilot evidence both support it.</w:t>
      </w:r>
    </w:p>
    <w:p>
      <w:pPr>
        <w:pStyle w:val="Lead"/>
      </w:pPr>
      <w:r>
        <w:t>Conclusion: the repository is a substantial reusable base, but the available evidence does not justify a general-availability claim. The next investment should turn one daily operating loop into a reliable, measurable product that UAE operators will pay to keep.</w:t>
      </w:r>
    </w:p>
    <w:p>
      <w:pPr>
        <w:pStyle w:val="Source"/>
      </w:pPr>
      <w:r>
        <w:t>Document QA: fixed table geometry, heading hierarchy, chart embedding and content completeness checked structurally. The canonical renderer could not run because LibreOffice was unavailable; final page layout has not been visually certified.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FLEET360  /  PRODUCT STRATEGY &amp;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02B36"/>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b w:val="0"/>
      <w:color w:val="657384"/>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b w:val="0"/>
      <w:color w:val="657384"/>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6573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80"/>
    </w:pPr>
    <w:rPr>
      <w:rFonts w:ascii="Calibri" w:hAnsi="Calibri"/>
      <w:b w:val="0"/>
      <w:bCs/>
      <w:color w:val="6573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before="0" w:after="60" w:line="264" w:lineRule="auto"/>
    </w:pPr>
    <w:rPr>
      <w:rFonts w:ascii="Calibri" w:hAnsi="Calibri"/>
      <w:b w:val="0"/>
      <w:color w:val="202B36"/>
      <w:sz w:val="18"/>
    </w:rPr>
  </w:style>
  <w:style w:type="paragraph" w:customStyle="1" w:styleId="Source">
    <w:name w:val="Source"/>
    <w:pPr>
      <w:spacing w:before="80" w:after="80" w:line="264" w:lineRule="auto"/>
    </w:pPr>
    <w:rPr>
      <w:rFonts w:ascii="Calibri" w:hAnsi="Calibri"/>
      <w:b w:val="0"/>
      <w:color w:val="657384"/>
      <w:sz w:val="18"/>
    </w:rPr>
  </w:style>
  <w:style w:type="paragraph" w:customStyle="1" w:styleId="Metadata">
    <w:name w:val="Metadata"/>
    <w:pPr>
      <w:spacing w:before="0" w:after="60" w:line="264" w:lineRule="auto"/>
    </w:pPr>
    <w:rPr>
      <w:rFonts w:ascii="Calibri" w:hAnsi="Calibri"/>
      <w:b w:val="0"/>
      <w:color w:val="657384"/>
      <w:sz w:val="18"/>
    </w:rPr>
  </w:style>
  <w:style w:type="paragraph" w:customStyle="1" w:styleId="Lead">
    <w:name w:val="Lead"/>
    <w:pPr>
      <w:spacing w:before="0" w:after="200" w:line="264" w:lineRule="auto"/>
    </w:pPr>
    <w:rPr>
      <w:rFonts w:ascii="Calibri" w:hAnsi="Calibri"/>
      <w:b/>
      <w:color w:val="17324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Fleet360 | UAE/GCC Product Requirements &amp; Market Validation</dc:title>
  <dc:subject>Repository audit, market positioning and proposed MVP</dc:subject>
  <dc:creator>Fleet360 Product Strategy</dc:creator>
  <cp:keywords/>
  <dc:description>generated by python-docx</dc:description>
  <cp:lastModifiedBy/>
  <cp:revision>1</cp:revision>
  <dcterms:created xsi:type="dcterms:W3CDTF">2013-12-23T23:15:00Z</dcterms:created>
  <dcterms:modified xsi:type="dcterms:W3CDTF">2013-12-23T23:15:00Z</dcterms:modified>
  <cp:category/>
</cp:coreProperties>
</file>